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598170</wp:posOffset>
            </wp:positionH>
            <wp:positionV relativeFrom="page">
              <wp:posOffset>735330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760095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159"/>
        </w:trPr>
        <w:tc>
          <w:tcPr>
            <w:tcW w:w="820" w:type="dxa"/>
            <w:vAlign w:val="bottom"/>
            <w:vMerge w:val="restart"/>
          </w:tcPr>
          <w:p>
            <w:pPr>
              <w:ind w:left="100"/>
              <w:spacing w:after="0"/>
              <w:rPr>
                <w:sz w:val="20"/>
                <w:szCs w:val="20"/>
                <w:color w:val="auto"/>
              </w:rPr>
            </w:pPr>
            <w:r>
              <w:rPr>
                <w:rFonts w:ascii="Wingdings" w:cs="Wingdings" w:eastAsia="Wingdings" w:hAnsi="Wingdings"/>
                <w:sz w:val="14"/>
                <w:szCs w:val="14"/>
                <w:b w:val="1"/>
                <w:bCs w:val="1"/>
                <w:color w:val="auto"/>
              </w:rPr>
              <w:t>x</w:t>
            </w:r>
          </w:p>
        </w:tc>
        <w:tc>
          <w:tcPr>
            <w:tcW w:w="10420" w:type="dxa"/>
            <w:vAlign w:val="bottom"/>
            <w:gridSpan w:val="5"/>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95"/>
        </w:trPr>
        <w:tc>
          <w:tcPr>
            <w:tcW w:w="820" w:type="dxa"/>
            <w:vAlign w:val="bottom"/>
            <w:vMerge w:val="continue"/>
          </w:tcPr>
          <w:p>
            <w:pPr>
              <w:spacing w:after="0"/>
              <w:rPr>
                <w:sz w:val="8"/>
                <w:szCs w:val="8"/>
                <w:color w:val="auto"/>
              </w:rPr>
            </w:pPr>
          </w:p>
        </w:tc>
        <w:tc>
          <w:tcPr>
            <w:tcW w:w="2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560" w:type="dxa"/>
            <w:vAlign w:val="bottom"/>
            <w:gridSpan w:val="4"/>
          </w:tcPr>
          <w:p>
            <w:pPr>
              <w:jc w:val="center"/>
              <w:ind w:right="362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or</w:t>
            </w:r>
          </w:p>
        </w:tc>
        <w:tc>
          <w:tcPr>
            <w:tcW w:w="1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20" w:type="dxa"/>
            <w:vAlign w:val="bottom"/>
            <w:vMerge w:val="restart"/>
          </w:tcPr>
          <w:p>
            <w:pPr>
              <w:ind w:left="80"/>
              <w:spacing w:after="0"/>
              <w:rPr>
                <w:sz w:val="20"/>
                <w:szCs w:val="20"/>
                <w:color w:val="auto"/>
              </w:rPr>
            </w:pPr>
            <w:r>
              <w:rPr>
                <w:rFonts w:ascii="Wingdings" w:cs="Wingdings" w:eastAsia="Wingdings" w:hAnsi="Wingdings"/>
                <w:sz w:val="14"/>
                <w:szCs w:val="14"/>
                <w:b w:val="1"/>
                <w:bCs w:val="1"/>
                <w:color w:val="auto"/>
              </w:rPr>
              <w:t>o</w:t>
            </w:r>
          </w:p>
        </w:tc>
        <w:tc>
          <w:tcPr>
            <w:tcW w:w="10420" w:type="dxa"/>
            <w:vAlign w:val="bottom"/>
            <w:gridSpan w:val="5"/>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08"/>
        </w:trPr>
        <w:tc>
          <w:tcPr>
            <w:tcW w:w="82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w:t>
            </w: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7560" w:type="dxa"/>
            <w:vAlign w:val="bottom"/>
            <w:gridSpan w:val="4"/>
          </w:tcPr>
          <w:p>
            <w:pPr>
              <w:jc w:val="center"/>
              <w:ind w:right="3600"/>
              <w:spacing w:after="0"/>
              <w:rPr>
                <w:sz w:val="20"/>
                <w:szCs w:val="20"/>
                <w:color w:val="auto"/>
              </w:rPr>
            </w:pPr>
            <w:r>
              <w:rPr>
                <w:rFonts w:ascii="Times New Roman" w:cs="Times New Roman" w:eastAsia="Times New Roman" w:hAnsi="Times New Roman"/>
                <w:sz w:val="12"/>
                <w:szCs w:val="12"/>
                <w:b w:val="1"/>
                <w:bCs w:val="1"/>
                <w:color w:val="auto"/>
              </w:rPr>
              <w:t>Commission file number: 001-42201</w:t>
            </w:r>
          </w:p>
        </w:tc>
        <w:tc>
          <w:tcPr>
            <w:tcW w:w="0" w:type="dxa"/>
            <w:vAlign w:val="bottom"/>
          </w:tcPr>
          <w:p>
            <w:pPr>
              <w:spacing w:after="0"/>
              <w:rPr>
                <w:sz w:val="1"/>
                <w:szCs w:val="1"/>
                <w:color w:val="auto"/>
              </w:rPr>
            </w:pPr>
          </w:p>
        </w:tc>
      </w:tr>
      <w:tr>
        <w:trPr>
          <w:trHeight w:val="358"/>
        </w:trPr>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560" w:type="dxa"/>
            <w:vAlign w:val="bottom"/>
            <w:gridSpan w:val="4"/>
          </w:tcPr>
          <w:p>
            <w:pPr>
              <w:jc w:val="center"/>
              <w:ind w:right="3620"/>
              <w:spacing w:after="0"/>
              <w:rPr>
                <w:sz w:val="20"/>
                <w:szCs w:val="20"/>
                <w:color w:val="auto"/>
              </w:rPr>
            </w:pPr>
            <w:r>
              <w:rPr>
                <w:rFonts w:ascii="Times New Roman" w:cs="Times New Roman" w:eastAsia="Times New Roman" w:hAnsi="Times New Roman"/>
                <w:sz w:val="24"/>
                <w:szCs w:val="24"/>
                <w:b w:val="1"/>
                <w:bCs w:val="1"/>
                <w:color w:val="auto"/>
              </w:rPr>
              <w:t>Summit Midstream Corporation</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560" w:type="dxa"/>
            <w:vAlign w:val="bottom"/>
            <w:gridSpan w:val="4"/>
          </w:tcPr>
          <w:p>
            <w:pPr>
              <w:jc w:val="center"/>
              <w:ind w:right="36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0" w:type="dxa"/>
            <w:vAlign w:val="bottom"/>
          </w:tcPr>
          <w:p>
            <w:pPr>
              <w:spacing w:after="0"/>
              <w:rPr>
                <w:sz w:val="1"/>
                <w:szCs w:val="1"/>
                <w:color w:val="auto"/>
              </w:rPr>
            </w:pPr>
          </w:p>
        </w:tc>
      </w:tr>
      <w:tr>
        <w:trPr>
          <w:trHeight w:val="219"/>
        </w:trPr>
        <w:tc>
          <w:tcPr>
            <w:tcW w:w="8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20" w:type="dxa"/>
            <w:vAlign w:val="bottom"/>
            <w:gridSpan w:val="3"/>
          </w:tcPr>
          <w:p>
            <w:pPr>
              <w:jc w:val="center"/>
              <w:ind w:right="4740"/>
              <w:spacing w:after="0"/>
              <w:rPr>
                <w:sz w:val="20"/>
                <w:szCs w:val="20"/>
                <w:color w:val="auto"/>
              </w:rPr>
            </w:pPr>
            <w:r>
              <w:rPr>
                <w:rFonts w:ascii="Times New Roman" w:cs="Times New Roman" w:eastAsia="Times New Roman" w:hAnsi="Times New Roman"/>
                <w:sz w:val="12"/>
                <w:szCs w:val="12"/>
                <w:b w:val="1"/>
                <w:bCs w:val="1"/>
                <w:color w:val="auto"/>
                <w:w w:val="98"/>
              </w:rPr>
              <w:t>910 Louisiana Street, Suite 4200</w:t>
            </w: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Houston, TX</w:t>
            </w:r>
          </w:p>
        </w:tc>
        <w:tc>
          <w:tcPr>
            <w:tcW w:w="1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7560" w:type="dxa"/>
            <w:vAlign w:val="bottom"/>
            <w:gridSpan w:val="4"/>
          </w:tcPr>
          <w:p>
            <w:pPr>
              <w:jc w:val="center"/>
              <w:ind w:right="36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60" w:type="dxa"/>
            <w:vAlign w:val="bottom"/>
            <w:gridSpan w:val="2"/>
          </w:tcPr>
          <w:p>
            <w:pPr>
              <w:jc w:val="center"/>
              <w:ind w:left="1174"/>
              <w:spacing w:after="0"/>
              <w:rPr>
                <w:sz w:val="20"/>
                <w:szCs w:val="20"/>
                <w:color w:val="auto"/>
              </w:rPr>
            </w:pPr>
            <w:r>
              <w:rPr>
                <w:rFonts w:ascii="Times New Roman" w:cs="Times New Roman" w:eastAsia="Times New Roman" w:hAnsi="Times New Roman"/>
                <w:sz w:val="12"/>
                <w:szCs w:val="12"/>
                <w:b w:val="1"/>
                <w:bCs w:val="1"/>
                <w:color w:val="auto"/>
                <w:w w:val="99"/>
              </w:rPr>
              <w:t>99-3056990</w:t>
            </w:r>
          </w:p>
        </w:tc>
        <w:tc>
          <w:tcPr>
            <w:tcW w:w="1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(I.R.S. Employer</w:t>
            </w:r>
          </w:p>
        </w:tc>
        <w:tc>
          <w:tcPr>
            <w:tcW w:w="1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rPr>
              <w:t>Identification No.)</w:t>
            </w: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7"/>
        </w:trPr>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60" w:type="dxa"/>
            <w:vAlign w:val="bottom"/>
            <w:gridSpan w:val="2"/>
          </w:tcPr>
          <w:p>
            <w:pPr>
              <w:jc w:val="center"/>
              <w:ind w:left="1174"/>
              <w:spacing w:after="0"/>
              <w:rPr>
                <w:sz w:val="20"/>
                <w:szCs w:val="20"/>
                <w:color w:val="auto"/>
              </w:rPr>
            </w:pPr>
            <w:r>
              <w:rPr>
                <w:rFonts w:ascii="Times New Roman" w:cs="Times New Roman" w:eastAsia="Times New Roman" w:hAnsi="Times New Roman"/>
                <w:sz w:val="12"/>
                <w:szCs w:val="12"/>
                <w:b w:val="1"/>
                <w:bCs w:val="1"/>
                <w:color w:val="auto"/>
                <w:w w:val="99"/>
              </w:rPr>
              <w:t>77002</w:t>
            </w: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8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8"/>
              </w:rPr>
              <w:t>(Zip Code)</w:t>
            </w:r>
          </w:p>
        </w:tc>
        <w:tc>
          <w:tcPr>
            <w:tcW w:w="1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60" w:type="dxa"/>
            <w:vAlign w:val="bottom"/>
            <w:gridSpan w:val="2"/>
          </w:tcPr>
          <w:p>
            <w:pPr>
              <w:jc w:val="center"/>
              <w:ind w:left="1154"/>
              <w:spacing w:after="0"/>
              <w:rPr>
                <w:sz w:val="20"/>
                <w:szCs w:val="20"/>
                <w:color w:val="auto"/>
              </w:rPr>
            </w:pPr>
            <w:r>
              <w:rPr>
                <w:rFonts w:ascii="Times New Roman" w:cs="Times New Roman" w:eastAsia="Times New Roman" w:hAnsi="Times New Roman"/>
                <w:sz w:val="12"/>
                <w:szCs w:val="12"/>
                <w:b w:val="1"/>
                <w:bCs w:val="1"/>
                <w:color w:val="auto"/>
              </w:rPr>
              <w:t>(832) 413-4770</w:t>
            </w:r>
          </w:p>
        </w:tc>
        <w:tc>
          <w:tcPr>
            <w:tcW w:w="1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560" w:type="dxa"/>
            <w:vAlign w:val="bottom"/>
            <w:gridSpan w:val="4"/>
          </w:tcPr>
          <w:p>
            <w:pPr>
              <w:jc w:val="center"/>
              <w:ind w:right="360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0" w:type="dxa"/>
            <w:vAlign w:val="bottom"/>
          </w:tcPr>
          <w:p>
            <w:pPr>
              <w:spacing w:after="0"/>
              <w:rPr>
                <w:sz w:val="1"/>
                <w:szCs w:val="1"/>
                <w:color w:val="auto"/>
              </w:rPr>
            </w:pPr>
          </w:p>
        </w:tc>
      </w:tr>
      <w:tr>
        <w:trPr>
          <w:trHeight w:val="245"/>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8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20" w:type="dxa"/>
            <w:vAlign w:val="bottom"/>
            <w:tcBorders>
              <w:left w:val="single" w:sz="8" w:color="auto"/>
              <w:bottom w:val="single" w:sz="8" w:color="auto"/>
            </w:tcBorders>
          </w:tcPr>
          <w:p>
            <w:pPr>
              <w:spacing w:after="0"/>
              <w:rPr>
                <w:sz w:val="13"/>
                <w:szCs w:val="13"/>
                <w:color w:val="auto"/>
              </w:rPr>
            </w:pPr>
          </w:p>
        </w:tc>
        <w:tc>
          <w:tcPr>
            <w:tcW w:w="286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2"/>
                <w:szCs w:val="12"/>
                <w:color w:val="auto"/>
              </w:rPr>
              <w:t>Title of each class</w:t>
            </w:r>
          </w:p>
        </w:tc>
        <w:tc>
          <w:tcPr>
            <w:tcW w:w="114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rPr>
              <w:t>Trading Symbol(s)</w:t>
            </w:r>
          </w:p>
        </w:tc>
        <w:tc>
          <w:tcPr>
            <w:tcW w:w="100" w:type="dxa"/>
            <w:vAlign w:val="bottom"/>
            <w:tcBorders>
              <w:bottom w:val="single" w:sz="8" w:color="auto"/>
              <w:right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c>
          <w:tcPr>
            <w:tcW w:w="0" w:type="dxa"/>
            <w:vAlign w:val="bottom"/>
          </w:tcPr>
          <w:p>
            <w:pPr>
              <w:spacing w:after="0"/>
              <w:rPr>
                <w:sz w:val="1"/>
                <w:szCs w:val="1"/>
                <w:color w:val="auto"/>
              </w:rPr>
            </w:pPr>
          </w:p>
        </w:tc>
      </w:tr>
      <w:tr>
        <w:trPr>
          <w:trHeight w:val="160"/>
        </w:trPr>
        <w:tc>
          <w:tcPr>
            <w:tcW w:w="820" w:type="dxa"/>
            <w:vAlign w:val="bottom"/>
            <w:tcBorders>
              <w:left w:val="single" w:sz="8" w:color="auto"/>
              <w:bottom w:val="single" w:sz="8" w:color="auto"/>
            </w:tcBorders>
          </w:tcPr>
          <w:p>
            <w:pPr>
              <w:spacing w:after="0"/>
              <w:rPr>
                <w:sz w:val="13"/>
                <w:szCs w:val="13"/>
                <w:color w:val="auto"/>
              </w:rPr>
            </w:pPr>
          </w:p>
        </w:tc>
        <w:tc>
          <w:tcPr>
            <w:tcW w:w="286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114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4"/>
              </w:rPr>
              <w:t>SMC</w:t>
            </w:r>
          </w:p>
        </w:tc>
        <w:tc>
          <w:tcPr>
            <w:tcW w:w="100" w:type="dxa"/>
            <w:vAlign w:val="bottom"/>
            <w:tcBorders>
              <w:bottom w:val="single" w:sz="8" w:color="auto"/>
              <w:right w:val="single" w:sz="8" w:color="auto"/>
            </w:tcBorders>
          </w:tcPr>
          <w:p>
            <w:pPr>
              <w:spacing w:after="0"/>
              <w:rPr>
                <w:sz w:val="13"/>
                <w:szCs w:val="13"/>
                <w:color w:val="auto"/>
              </w:rPr>
            </w:pP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ectPr>
          <w:pgSz w:w="11900" w:h="16838" w:orient="portrait"/>
          <w:cols w:equalWidth="0" w:num="1">
            <w:col w:w="11240"/>
          </w:cols>
          <w:pgMar w:left="320" w:top="1322" w:right="339" w:bottom="1440" w:gutter="0" w:footer="0" w:header="0"/>
        </w:sectPr>
      </w:pP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95" w:lineRule="exact"/>
        <w:rPr>
          <w:sz w:val="24"/>
          <w:szCs w:val="24"/>
          <w:color w:val="auto"/>
        </w:rPr>
      </w:pPr>
    </w:p>
    <w:p>
      <w:pPr>
        <w:sectPr>
          <w:pgSz w:w="11900" w:h="16838" w:orient="portrait"/>
          <w:cols w:equalWidth="0" w:num="4">
            <w:col w:w="6200" w:space="120"/>
            <w:col w:w="200" w:space="180"/>
            <w:col w:w="140" w:space="140"/>
            <w:col w:w="4260"/>
          </w:cols>
          <w:pgMar w:left="320" w:top="13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95" w:lineRule="exact"/>
        <w:rPr>
          <w:sz w:val="24"/>
          <w:szCs w:val="24"/>
          <w:color w:val="auto"/>
        </w:rPr>
      </w:pPr>
    </w:p>
    <w:p>
      <w:pPr>
        <w:sectPr>
          <w:pgSz w:w="11900" w:h="16838" w:orient="portrait"/>
          <w:cols w:equalWidth="0" w:num="4">
            <w:col w:w="6320" w:space="120"/>
            <w:col w:w="200" w:space="180"/>
            <w:col w:w="140" w:space="120"/>
            <w:col w:w="4160"/>
          </w:cols>
          <w:pgMar w:left="320" w:top="1322" w:right="339" w:bottom="1440" w:gutter="0" w:footer="0" w:header="0"/>
          <w:type w:val="continuous"/>
        </w:sectPr>
      </w:pPr>
    </w:p>
    <w:p>
      <w:pPr>
        <w:ind w:right="120"/>
        <w:spacing w:after="0" w:line="27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w:t>
      </w:r>
    </w:p>
    <w:p>
      <w:pPr>
        <w:spacing w:after="0" w:line="43" w:lineRule="exact"/>
        <w:rPr>
          <w:sz w:val="24"/>
          <w:szCs w:val="24"/>
          <w:color w:val="auto"/>
        </w:rPr>
      </w:pPr>
    </w:p>
    <w:p>
      <w:pPr>
        <w:ind w:right="160"/>
        <w:spacing w:after="0" w:line="276"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w:t>
      </w:r>
    </w:p>
    <w:p>
      <w:pPr>
        <w:spacing w:after="0" w:line="56" w:lineRule="exact"/>
        <w:rPr>
          <w:sz w:val="24"/>
          <w:szCs w:val="24"/>
          <w:color w:val="auto"/>
        </w:rPr>
      </w:pPr>
    </w:p>
    <w:p>
      <w:pPr>
        <w:ind w:right="500"/>
        <w:spacing w:after="0" w:line="27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4100" w:type="dxa"/>
            <w:vAlign w:val="bottom"/>
          </w:tcPr>
          <w:p>
            <w:pPr>
              <w:ind w:left="820"/>
              <w:spacing w:after="0"/>
              <w:rPr>
                <w:sz w:val="20"/>
                <w:szCs w:val="20"/>
                <w:color w:val="auto"/>
              </w:rPr>
            </w:pPr>
            <w:r>
              <w:rPr>
                <w:rFonts w:ascii="Wingdings" w:cs="Wingdings" w:eastAsia="Wingdings" w:hAnsi="Wingdings"/>
                <w:sz w:val="13"/>
                <w:szCs w:val="13"/>
                <w:b w:val="1"/>
                <w:bCs w:val="1"/>
                <w:color w:val="auto"/>
              </w:rPr>
              <w:t>o</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Accelerated filer</w:t>
            </w:r>
          </w:p>
        </w:tc>
        <w:tc>
          <w:tcPr>
            <w:tcW w:w="180" w:type="dxa"/>
            <w:vAlign w:val="bottom"/>
          </w:tcPr>
          <w:p>
            <w:pPr>
              <w:jc w:val="right"/>
              <w:spacing w:after="0"/>
              <w:rPr>
                <w:sz w:val="20"/>
                <w:szCs w:val="20"/>
                <w:color w:val="auto"/>
              </w:rPr>
            </w:pPr>
            <w:r>
              <w:rPr>
                <w:rFonts w:ascii="Wingdings" w:cs="Wingdings" w:eastAsia="Wingdings" w:hAnsi="Wingdings"/>
                <w:sz w:val="13"/>
                <w:szCs w:val="13"/>
                <w:b w:val="1"/>
                <w:bCs w:val="1"/>
                <w:color w:val="auto"/>
              </w:rPr>
              <w:t>x</w:t>
            </w:r>
          </w:p>
        </w:tc>
      </w:tr>
      <w:tr>
        <w:trPr>
          <w:trHeight w:val="180"/>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4100" w:type="dxa"/>
            <w:vAlign w:val="bottom"/>
          </w:tcPr>
          <w:p>
            <w:pPr>
              <w:ind w:left="820"/>
              <w:spacing w:after="0"/>
              <w:rPr>
                <w:sz w:val="20"/>
                <w:szCs w:val="20"/>
                <w:color w:val="auto"/>
              </w:rPr>
            </w:pPr>
            <w:r>
              <w:rPr>
                <w:rFonts w:ascii="Wingdings" w:cs="Wingdings" w:eastAsia="Wingdings" w:hAnsi="Wingdings"/>
                <w:sz w:val="13"/>
                <w:szCs w:val="13"/>
                <w:b w:val="1"/>
                <w:bCs w:val="1"/>
                <w:color w:val="auto"/>
              </w:rPr>
              <w:t>o</w:t>
            </w:r>
          </w:p>
        </w:tc>
        <w:tc>
          <w:tcPr>
            <w:tcW w:w="4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80" w:type="dxa"/>
            <w:vAlign w:val="bottom"/>
          </w:tcPr>
          <w:p>
            <w:pPr>
              <w:jc w:val="right"/>
              <w:spacing w:after="0"/>
              <w:rPr>
                <w:sz w:val="20"/>
                <w:szCs w:val="20"/>
                <w:color w:val="auto"/>
              </w:rPr>
            </w:pPr>
            <w:r>
              <w:rPr>
                <w:rFonts w:ascii="Wingdings" w:cs="Wingdings" w:eastAsia="Wingdings" w:hAnsi="Wingdings"/>
                <w:sz w:val="13"/>
                <w:szCs w:val="13"/>
                <w:b w:val="1"/>
                <w:bCs w:val="1"/>
                <w:color w:val="auto"/>
              </w:rPr>
              <w:t>o</w:t>
            </w:r>
          </w:p>
        </w:tc>
      </w:tr>
      <w:tr>
        <w:trPr>
          <w:trHeight w:val="180"/>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4100" w:type="dxa"/>
            <w:vAlign w:val="bottom"/>
          </w:tcPr>
          <w:p>
            <w:pPr>
              <w:ind w:left="820"/>
              <w:spacing w:after="0"/>
              <w:rPr>
                <w:sz w:val="20"/>
                <w:szCs w:val="20"/>
                <w:color w:val="auto"/>
              </w:rPr>
            </w:pPr>
            <w:r>
              <w:rPr>
                <w:rFonts w:ascii="Wingdings" w:cs="Wingdings" w:eastAsia="Wingdings" w:hAnsi="Wingdings"/>
                <w:sz w:val="13"/>
                <w:szCs w:val="13"/>
                <w:b w:val="1"/>
                <w:bCs w:val="1"/>
                <w:color w:val="auto"/>
              </w:rPr>
              <w:t>o</w:t>
            </w:r>
          </w:p>
        </w:tc>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r>
    </w:tbl>
    <w:p>
      <w:pPr>
        <w:spacing w:after="0" w:line="168" w:lineRule="exact"/>
        <w:rPr>
          <w:sz w:val="24"/>
          <w:szCs w:val="24"/>
          <w:color w:val="auto"/>
        </w:rPr>
      </w:pPr>
    </w:p>
    <w:p>
      <w:pPr>
        <w:ind w:right="60"/>
        <w:spacing w:after="0" w:line="276"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56" w:lineRule="exact"/>
        <w:rPr>
          <w:sz w:val="24"/>
          <w:szCs w:val="24"/>
          <w:color w:val="auto"/>
        </w:rPr>
      </w:pPr>
    </w:p>
    <w:p>
      <w:pPr>
        <w:ind w:right="520"/>
        <w:spacing w:after="0" w:line="27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69" w:lineRule="exact"/>
        <w:rPr>
          <w:sz w:val="24"/>
          <w:szCs w:val="24"/>
          <w:color w:val="auto"/>
        </w:rPr>
      </w:pPr>
    </w:p>
    <w:p>
      <w:pPr>
        <w:ind w:right="340"/>
        <w:spacing w:after="0" w:line="171"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spacing w:after="0" w:line="71" w:lineRule="exact"/>
        <w:rPr>
          <w:sz w:val="24"/>
          <w:szCs w:val="24"/>
          <w:color w:val="auto"/>
        </w:rPr>
      </w:pPr>
    </w:p>
    <w:p>
      <w:pPr>
        <w:ind w:right="440"/>
        <w:spacing w:after="0" w:line="276"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3"/>
          <w:szCs w:val="13"/>
          <w:b w:val="1"/>
          <w:bCs w:val="1"/>
          <w:color w:val="auto"/>
        </w:rPr>
        <w:t>o</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8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w:t>
            </w:r>
          </w:p>
        </w:tc>
        <w:tc>
          <w:tcPr>
            <w:tcW w:w="5360" w:type="dxa"/>
            <w:vAlign w:val="bottom"/>
            <w:gridSpan w:val="2"/>
          </w:tcPr>
          <w:p>
            <w:pPr>
              <w:ind w:left="100"/>
              <w:spacing w:after="0"/>
              <w:rPr>
                <w:sz w:val="20"/>
                <w:szCs w:val="20"/>
                <w:color w:val="auto"/>
              </w:rPr>
            </w:pPr>
            <w:r>
              <w:rPr>
                <w:rFonts w:ascii="Wingdings" w:cs="Wingdings" w:eastAsia="Wingdings" w:hAnsi="Wingdings"/>
                <w:sz w:val="13"/>
                <w:szCs w:val="13"/>
                <w:b w:val="1"/>
                <w:bCs w:val="1"/>
                <w:color w:val="auto"/>
              </w:rPr>
              <w:t xml:space="preserve">x </w:t>
            </w:r>
            <w:r>
              <w:rPr>
                <w:rFonts w:ascii="Times New Roman" w:cs="Times New Roman" w:eastAsia="Times New Roman" w:hAnsi="Times New Roman"/>
                <w:sz w:val="13"/>
                <w:szCs w:val="13"/>
                <w:color w:val="auto"/>
              </w:rPr>
              <w:t>No</w:t>
            </w:r>
          </w:p>
        </w:tc>
      </w:tr>
      <w:tr>
        <w:trPr>
          <w:trHeight w:val="212"/>
        </w:trPr>
        <w:tc>
          <w:tcPr>
            <w:tcW w:w="112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aggregate market value of voting stock held by non-affiliates of the registrant as of June 30, 2025 was $300,292,924.</w:t>
            </w:r>
          </w:p>
        </w:tc>
      </w:tr>
      <w:tr>
        <w:trPr>
          <w:trHeight w:val="245"/>
        </w:trPr>
        <w:tc>
          <w:tcPr>
            <w:tcW w:w="112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p>
        </w:tc>
      </w:tr>
      <w:tr>
        <w:trPr>
          <w:trHeight w:val="355"/>
        </w:trPr>
        <w:tc>
          <w:tcPr>
            <w:tcW w:w="5880" w:type="dxa"/>
            <w:vAlign w:val="bottom"/>
            <w:gridSpan w:val="2"/>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Class</w:t>
            </w:r>
          </w:p>
        </w:tc>
        <w:tc>
          <w:tcPr>
            <w:tcW w:w="620" w:type="dxa"/>
            <w:vAlign w:val="bottom"/>
          </w:tcPr>
          <w:p>
            <w:pPr>
              <w:spacing w:after="0"/>
              <w:rPr>
                <w:sz w:val="24"/>
                <w:szCs w:val="24"/>
                <w:color w:val="auto"/>
              </w:rPr>
            </w:pPr>
          </w:p>
        </w:tc>
        <w:tc>
          <w:tcPr>
            <w:tcW w:w="4740" w:type="dxa"/>
            <w:vAlign w:val="bottom"/>
          </w:tcPr>
          <w:p>
            <w:pPr>
              <w:ind w:left="1820"/>
              <w:spacing w:after="0"/>
              <w:rPr>
                <w:sz w:val="20"/>
                <w:szCs w:val="20"/>
                <w:color w:val="auto"/>
              </w:rPr>
            </w:pPr>
            <w:r>
              <w:rPr>
                <w:rFonts w:ascii="Times New Roman" w:cs="Times New Roman" w:eastAsia="Times New Roman" w:hAnsi="Times New Roman"/>
                <w:sz w:val="12"/>
                <w:szCs w:val="12"/>
                <w:b w:val="1"/>
                <w:bCs w:val="1"/>
                <w:color w:val="auto"/>
              </w:rPr>
              <w:t>As of March 15, 2026</w:t>
            </w:r>
          </w:p>
        </w:tc>
      </w:tr>
      <w:tr>
        <w:trPr>
          <w:trHeight w:val="178"/>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par value $0.01 per share</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740" w:type="dxa"/>
            <w:vAlign w:val="bottom"/>
            <w:tcBorders>
              <w:top w:val="single" w:sz="8" w:color="auto"/>
            </w:tcBorders>
          </w:tcPr>
          <w:p>
            <w:pPr>
              <w:jc w:val="right"/>
              <w:ind w:right="1996"/>
              <w:spacing w:after="0"/>
              <w:rPr>
                <w:sz w:val="20"/>
                <w:szCs w:val="20"/>
                <w:color w:val="auto"/>
              </w:rPr>
            </w:pPr>
            <w:r>
              <w:rPr>
                <w:rFonts w:ascii="Times New Roman" w:cs="Times New Roman" w:eastAsia="Times New Roman" w:hAnsi="Times New Roman"/>
                <w:sz w:val="14"/>
                <w:szCs w:val="14"/>
                <w:color w:val="auto"/>
              </w:rPr>
              <w:t>12,440,219</w:t>
            </w:r>
          </w:p>
        </w:tc>
      </w:tr>
      <w:tr>
        <w:trPr>
          <w:trHeight w:val="186"/>
        </w:trPr>
        <w:tc>
          <w:tcPr>
            <w:tcW w:w="58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w w:val="97"/>
              </w:rPr>
              <w:t>Class B Common Stock, par value $0.01 per share</w:t>
            </w:r>
          </w:p>
        </w:tc>
        <w:tc>
          <w:tcPr>
            <w:tcW w:w="5360" w:type="dxa"/>
            <w:vAlign w:val="bottom"/>
            <w:gridSpan w:val="2"/>
          </w:tcPr>
          <w:p>
            <w:pPr>
              <w:jc w:val="right"/>
              <w:ind w:right="2036"/>
              <w:spacing w:after="0"/>
              <w:rPr>
                <w:sz w:val="20"/>
                <w:szCs w:val="20"/>
                <w:color w:val="auto"/>
              </w:rPr>
            </w:pPr>
            <w:r>
              <w:rPr>
                <w:rFonts w:ascii="Times New Roman" w:cs="Times New Roman" w:eastAsia="Times New Roman" w:hAnsi="Times New Roman"/>
                <w:sz w:val="14"/>
                <w:szCs w:val="14"/>
                <w:color w:val="auto"/>
              </w:rPr>
              <w:t>6,524,467</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6" w:lineRule="exact"/>
        <w:rPr>
          <w:sz w:val="24"/>
          <w:szCs w:val="24"/>
          <w:color w:val="auto"/>
        </w:rPr>
      </w:pPr>
    </w:p>
    <w:p>
      <w:pPr>
        <w:ind w:right="640"/>
        <w:spacing w:after="0" w:line="275"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2026 Annual Meeting of Stockholders, which will be filed with the Securities and Exchange Commission within 120 days of December 31, 2025,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81280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type w:val="continuous"/>
        </w:sectPr>
      </w:pPr>
    </w:p>
    <w:bookmarkStart w:id="1" w:name="page2"/>
    <w:bookmarkEnd w:id="1"/>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PART 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1B.</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PART II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8.</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9B.</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Part III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Part IV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Signature Page</w:t>
      </w:r>
    </w:p>
    <w:p>
      <w:pPr>
        <w:spacing w:after="0" w:line="20" w:lineRule="exact"/>
        <w:rPr>
          <w:sz w:val="20"/>
          <w:szCs w:val="20"/>
          <w:color w:val="auto"/>
        </w:rPr>
      </w:pPr>
      <w:r>
        <w:rPr>
          <w:sz w:val="20"/>
          <w:szCs w:val="20"/>
          <w:color w:val="auto"/>
        </w:rPr>
        <w:br w:type="column"/>
      </w:r>
    </w:p>
    <w:p>
      <w:pPr>
        <w:ind w:left="286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86360</wp:posOffset>
            </wp:positionV>
            <wp:extent cx="7138670" cy="139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Risk Factors.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Cybersecurity Risk Management, Strategy, and Governance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Legal Proceedings.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336550</wp:posOffset>
            </wp:positionV>
            <wp:extent cx="7138670" cy="163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Financial Statements and Supplementary Data.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Controls and Procedures.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197485</wp:posOffset>
            </wp:positionV>
            <wp:extent cx="713867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Executive Compensation.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Certain Relationships and Related Transactions, and Director Independence.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336550</wp:posOffset>
            </wp:positionV>
            <wp:extent cx="7138670" cy="163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Exhibits, Financial Statement Schedules.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33655</wp:posOffset>
            </wp:positionV>
            <wp:extent cx="7138670" cy="163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15</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15</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32</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55</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55</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56</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57</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0000FF"/>
        </w:rPr>
        <w:t>57</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58</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58</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60</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61</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85</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86</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u w:val="single" w:color="auto"/>
          <w:color w:val="0000FF"/>
        </w:rPr>
        <w:t>126</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u w:val="single" w:color="auto"/>
          <w:color w:val="0000FF"/>
        </w:rPr>
        <w:t>126</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u w:val="single" w:color="auto"/>
          <w:color w:val="0000FF"/>
        </w:rPr>
        <w:t>128</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u w:val="single" w:color="auto"/>
          <w:color w:val="0000FF"/>
        </w:rPr>
        <w:t>129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136</w:t>
      </w:r>
    </w:p>
    <w:p>
      <w:pPr>
        <w:sectPr>
          <w:pgSz w:w="11900" w:h="16838" w:orient="portrait"/>
          <w:cols w:equalWidth="0" w:num="3">
            <w:col w:w="1040" w:space="560"/>
            <w:col w:w="8560" w:space="720"/>
            <w:col w:w="240"/>
          </w:cols>
          <w:pgMar w:left="380" w:top="1103" w:right="3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Annual Report on Form 10-K (this “Annual Report”).</w:t>
      </w:r>
    </w:p>
    <w:p>
      <w:pPr>
        <w:spacing w:after="0" w:line="7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68" w:lineRule="exact"/>
        <w:rPr>
          <w:sz w:val="20"/>
          <w:szCs w:val="20"/>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decision whether to pay, or our ability to grow, our cash dividends;</w:t>
      </w:r>
    </w:p>
    <w:p>
      <w:pPr>
        <w:spacing w:after="0" w:line="113" w:lineRule="exact"/>
        <w:rPr>
          <w:rFonts w:ascii="Times New Roman" w:cs="Times New Roman" w:eastAsia="Times New Roman" w:hAnsi="Times New Roman"/>
          <w:sz w:val="17"/>
          <w:szCs w:val="17"/>
          <w:color w:val="auto"/>
        </w:rPr>
      </w:pPr>
    </w:p>
    <w:p>
      <w:pPr>
        <w:ind w:left="1240" w:right="42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natural gas, NGLs and crude oil prices, including as a result of political or economic measures taken by various countries or OPEC;</w:t>
      </w:r>
    </w:p>
    <w:p>
      <w:pPr>
        <w:spacing w:after="0" w:line="48" w:lineRule="exact"/>
        <w:rPr>
          <w:rFonts w:ascii="Times New Roman" w:cs="Times New Roman" w:eastAsia="Times New Roman" w:hAnsi="Times New Roman"/>
          <w:sz w:val="17"/>
          <w:szCs w:val="17"/>
          <w:color w:val="auto"/>
        </w:rPr>
      </w:pPr>
    </w:p>
    <w:p>
      <w:pPr>
        <w:ind w:left="1240" w:right="20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and success of our customers’ drilling and completion efforts, as well as the quantity of natural gas, crude oil, freshwater deliveries, and produced water volumes produced within proximity of our assets;</w:t>
      </w:r>
    </w:p>
    <w:p>
      <w:pPr>
        <w:spacing w:after="0" w:line="48"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delays by our customers in achieving expected production in their natural gas, crude oil and produced water projects;</w:t>
      </w:r>
    </w:p>
    <w:p>
      <w:pPr>
        <w:spacing w:after="0" w:line="113" w:lineRule="exact"/>
        <w:rPr>
          <w:rFonts w:ascii="Times New Roman" w:cs="Times New Roman" w:eastAsia="Times New Roman" w:hAnsi="Times New Roman"/>
          <w:sz w:val="17"/>
          <w:szCs w:val="17"/>
          <w:color w:val="auto"/>
        </w:rPr>
      </w:pPr>
    </w:p>
    <w:p>
      <w:pPr>
        <w:ind w:left="1240" w:right="10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conditions in our industry and their impact on our ability to connect hydrocarbon supplies to our gathering and processing assets or systems;</w:t>
      </w:r>
    </w:p>
    <w:p>
      <w:pPr>
        <w:spacing w:after="0" w:line="48" w:lineRule="exact"/>
        <w:rPr>
          <w:rFonts w:ascii="Times New Roman" w:cs="Times New Roman" w:eastAsia="Times New Roman" w:hAnsi="Times New Roman"/>
          <w:sz w:val="17"/>
          <w:szCs w:val="17"/>
          <w:color w:val="auto"/>
        </w:rPr>
      </w:pPr>
    </w:p>
    <w:p>
      <w:pPr>
        <w:ind w:left="1240" w:right="20" w:hanging="463"/>
        <w:spacing w:after="0" w:line="270"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62" w:lineRule="exact"/>
        <w:rPr>
          <w:rFonts w:ascii="Times New Roman" w:cs="Times New Roman" w:eastAsia="Times New Roman" w:hAnsi="Times New Roman"/>
          <w:sz w:val="17"/>
          <w:szCs w:val="17"/>
          <w:color w:val="auto"/>
        </w:rPr>
      </w:pPr>
    </w:p>
    <w:p>
      <w:pPr>
        <w:ind w:left="1240" w:right="42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48"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and retain key management personnel;</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bank and capital market conditions and the potential impact of changes or disruptions in the credit and/or capital markets;</w:t>
      </w:r>
    </w:p>
    <w:p>
      <w:pPr>
        <w:spacing w:after="0" w:line="113" w:lineRule="exact"/>
        <w:rPr>
          <w:rFonts w:ascii="Times New Roman" w:cs="Times New Roman" w:eastAsia="Times New Roman" w:hAnsi="Times New Roman"/>
          <w:sz w:val="17"/>
          <w:szCs w:val="17"/>
          <w:color w:val="auto"/>
        </w:rPr>
      </w:pPr>
    </w:p>
    <w:p>
      <w:pPr>
        <w:ind w:left="1240" w:right="18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availability and cost of capital and the results of our financing efforts, including availability of funds in the credit and/or capital markets;</w:t>
      </w:r>
    </w:p>
    <w:p>
      <w:pPr>
        <w:spacing w:after="0" w:line="48"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placed on us by the agreements governing our debt and preferred equity instruments;</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terms and cost of downstream transportation and processing services;</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accidents, weather-related delays, casualty losses, and other matters beyond our control;</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and potential future impact of pandemics on our business, results of operations, financial position, or cash flows;</w:t>
      </w:r>
    </w:p>
    <w:p>
      <w:pPr>
        <w:spacing w:after="0" w:line="113" w:lineRule="exact"/>
        <w:rPr>
          <w:rFonts w:ascii="Times New Roman" w:cs="Times New Roman" w:eastAsia="Times New Roman" w:hAnsi="Times New Roman"/>
          <w:sz w:val="17"/>
          <w:szCs w:val="17"/>
          <w:color w:val="auto"/>
        </w:rPr>
      </w:pPr>
    </w:p>
    <w:p>
      <w:pPr>
        <w:ind w:left="1240" w:right="50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risks and hazards inherent in the transmission, gathering, compression, treating and/or processing of natural gas, crude oil and produced water;</w:t>
      </w:r>
    </w:p>
    <w:p>
      <w:pPr>
        <w:spacing w:after="0" w:line="48"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terms of the agreements comprising the Global Settlement;</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and terrain in certain areas in which we operate;</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physical and financial risks associated with climate change;</w:t>
      </w:r>
    </w:p>
    <w:p>
      <w:pPr>
        <w:spacing w:after="0" w:line="113" w:lineRule="exact"/>
        <w:rPr>
          <w:rFonts w:ascii="Times New Roman" w:cs="Times New Roman" w:eastAsia="Times New Roman" w:hAnsi="Times New Roman"/>
          <w:sz w:val="17"/>
          <w:szCs w:val="17"/>
          <w:color w:val="auto"/>
        </w:rPr>
      </w:pPr>
    </w:p>
    <w:p>
      <w:pPr>
        <w:ind w:left="1240" w:right="460" w:hanging="463"/>
        <w:spacing w:after="0" w:line="287"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issues that can result in deficiencies in the design, installation or operation of our transmission, gathering, compression, treating, processing and freshwater facilities;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3" w:name="page4"/>
    <w:bookmarkEnd w:id="3"/>
    <w:p>
      <w:pPr>
        <w:ind w:left="1240" w:right="100" w:hanging="463"/>
        <w:spacing w:after="0" w:line="287" w:lineRule="auto"/>
        <w:tabs>
          <w:tab w:leader="none" w:pos="12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48" w:lineRule="exact"/>
        <w:rPr>
          <w:rFonts w:ascii="Times New Roman" w:cs="Times New Roman" w:eastAsia="Times New Roman" w:hAnsi="Times New Roman"/>
          <w:sz w:val="17"/>
          <w:szCs w:val="17"/>
          <w:color w:val="auto"/>
        </w:rPr>
      </w:pPr>
    </w:p>
    <w:p>
      <w:pPr>
        <w:ind w:left="1240" w:right="200" w:hanging="463"/>
        <w:spacing w:after="0" w:line="287" w:lineRule="auto"/>
        <w:tabs>
          <w:tab w:leader="none" w:pos="12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48" w:lineRule="exact"/>
        <w:rPr>
          <w:rFonts w:ascii="Times New Roman" w:cs="Times New Roman" w:eastAsia="Times New Roman" w:hAnsi="Times New Roman"/>
          <w:sz w:val="17"/>
          <w:szCs w:val="17"/>
          <w:color w:val="auto"/>
        </w:rPr>
      </w:pPr>
    </w:p>
    <w:p>
      <w:pPr>
        <w:ind w:left="1240" w:right="460" w:hanging="463"/>
        <w:spacing w:after="0" w:line="287" w:lineRule="auto"/>
        <w:tabs>
          <w:tab w:leader="none" w:pos="12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48"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litigation;</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rates;</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and</w:t>
      </w:r>
    </w:p>
    <w:p>
      <w:pPr>
        <w:spacing w:after="0" w:line="113" w:lineRule="exact"/>
        <w:rPr>
          <w:rFonts w:ascii="Times New Roman" w:cs="Times New Roman" w:eastAsia="Times New Roman" w:hAnsi="Times New Roman"/>
          <w:sz w:val="17"/>
          <w:szCs w:val="17"/>
          <w:color w:val="auto"/>
        </w:rPr>
      </w:pPr>
    </w:p>
    <w:p>
      <w:pPr>
        <w:ind w:left="1240" w:hanging="463"/>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factors discussed elsewhere in this report.</w:t>
      </w:r>
    </w:p>
    <w:p>
      <w:pPr>
        <w:spacing w:after="0" w:line="1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Developments in any of these areas could cause actual results to differ materially from those anticipated or projected or cause a significant reduction in the market price of our common stock, Series A Preferred Stock and 2029 Secured Notes.</w:t>
      </w:r>
    </w:p>
    <w:p>
      <w:pPr>
        <w:spacing w:after="0" w:line="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This summary briefly lists the principal risks and uncertainties facing our business, which are only a select portion of those risks. A more complete discussion of those risks and uncertainties is set forth in Part I, Item 1A of this Annual Report. Additional risks not presently known to us or that we currently deem immaterial may also affect us. If any of these risks occur, our business, financial condition, or results of operations could be materially and adversely affected.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is subject to the following principal risks and uncertainties: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Operations</w:t>
      </w:r>
    </w:p>
    <w:p>
      <w:pPr>
        <w:spacing w:after="0" w:line="120" w:lineRule="exact"/>
        <w:rPr>
          <w:sz w:val="20"/>
          <w:szCs w:val="20"/>
          <w:color w:val="auto"/>
        </w:rPr>
      </w:pPr>
    </w:p>
    <w:p>
      <w:pPr>
        <w:ind w:left="1240" w:right="12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sufficient cash from operations following the establishment of cash reserves and payment of fees and expenses to enable us to pay dividends to holders of our Series A Preferred Stock and common stock.</w:t>
      </w:r>
    </w:p>
    <w:p>
      <w:pPr>
        <w:spacing w:after="0" w:line="48" w:lineRule="exact"/>
        <w:rPr>
          <w:rFonts w:ascii="Times New Roman" w:cs="Times New Roman" w:eastAsia="Times New Roman" w:hAnsi="Times New Roman"/>
          <w:sz w:val="17"/>
          <w:szCs w:val="17"/>
          <w:color w:val="auto"/>
        </w:rPr>
      </w:pPr>
    </w:p>
    <w:p>
      <w:pPr>
        <w:ind w:left="1240" w:right="160" w:hanging="618"/>
        <w:spacing w:after="0" w:line="270"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a relatively small number of customers for a significant portion of our revenues. The loss of, or material nonpayment or nonperformance by, or the curtailment of production by, any one or more of our customers could materially adversely affect our revenues, cash flows, and results of operations.</w:t>
      </w:r>
    </w:p>
    <w:p>
      <w:pPr>
        <w:spacing w:after="0" w:line="62" w:lineRule="exact"/>
        <w:rPr>
          <w:rFonts w:ascii="Times New Roman" w:cs="Times New Roman" w:eastAsia="Times New Roman" w:hAnsi="Times New Roman"/>
          <w:sz w:val="17"/>
          <w:szCs w:val="17"/>
          <w:color w:val="auto"/>
        </w:rPr>
      </w:pPr>
    </w:p>
    <w:p>
      <w:pPr>
        <w:ind w:left="1240" w:right="4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48" w:lineRule="exact"/>
        <w:rPr>
          <w:rFonts w:ascii="Times New Roman" w:cs="Times New Roman" w:eastAsia="Times New Roman" w:hAnsi="Times New Roman"/>
          <w:sz w:val="17"/>
          <w:szCs w:val="17"/>
          <w:color w:val="auto"/>
        </w:rPr>
      </w:pPr>
    </w:p>
    <w:p>
      <w:pPr>
        <w:ind w:left="1240" w:right="4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prolonged weakness in natural gas, NGL and crude oil prices could reduce throughput on our systems and materially adversely affect our revenues and results of operations.</w:t>
      </w:r>
    </w:p>
    <w:p>
      <w:pPr>
        <w:spacing w:after="0" w:line="48" w:lineRule="exact"/>
        <w:rPr>
          <w:rFonts w:ascii="Times New Roman" w:cs="Times New Roman" w:eastAsia="Times New Roman" w:hAnsi="Times New Roman"/>
          <w:sz w:val="17"/>
          <w:szCs w:val="17"/>
          <w:color w:val="auto"/>
        </w:rPr>
      </w:pPr>
    </w:p>
    <w:p>
      <w:pPr>
        <w:ind w:left="1240" w:hanging="618"/>
        <w:spacing w:after="0" w:line="270"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spacing w:after="0" w:line="62" w:lineRule="exact"/>
        <w:rPr>
          <w:rFonts w:ascii="Times New Roman" w:cs="Times New Roman" w:eastAsia="Times New Roman" w:hAnsi="Times New Roman"/>
          <w:sz w:val="17"/>
          <w:szCs w:val="17"/>
          <w:color w:val="auto"/>
        </w:rPr>
      </w:pPr>
    </w:p>
    <w:p>
      <w:pPr>
        <w:ind w:left="1240" w:right="36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customers do not increase the volumes they provide to our gathering systems, our results of operations and financial condition may be materially adversely affected.</w:t>
      </w:r>
    </w:p>
    <w:p>
      <w:pPr>
        <w:spacing w:after="0" w:line="48" w:lineRule="exact"/>
        <w:rPr>
          <w:rFonts w:ascii="Times New Roman" w:cs="Times New Roman" w:eastAsia="Times New Roman" w:hAnsi="Times New Roman"/>
          <w:sz w:val="17"/>
          <w:szCs w:val="17"/>
          <w:color w:val="auto"/>
        </w:rPr>
      </w:pPr>
    </w:p>
    <w:p>
      <w:pPr>
        <w:ind w:left="1240" w:right="10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gathering and processing agreements contain provisions that can reduce the cash flow stability that the agreements were designed to achieve.</w:t>
      </w:r>
    </w:p>
    <w:p>
      <w:pPr>
        <w:spacing w:after="0" w:line="48" w:lineRule="exact"/>
        <w:rPr>
          <w:rFonts w:ascii="Times New Roman" w:cs="Times New Roman" w:eastAsia="Times New Roman" w:hAnsi="Times New Roman"/>
          <w:sz w:val="17"/>
          <w:szCs w:val="17"/>
          <w:color w:val="auto"/>
        </w:rPr>
      </w:pPr>
    </w:p>
    <w:p>
      <w:pPr>
        <w:ind w:left="1240" w:right="54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obtained independent evaluations of all of the reserves connected to our gathering systems; therefore, in the future, customer volumes on our systems could be less than we anticipate.</w:t>
      </w:r>
    </w:p>
    <w:p>
      <w:pPr>
        <w:spacing w:after="0" w:line="48"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industry is highly competitive, and increased competitive pressure could materially adversely affect our business and operating results.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renew or replace expiring contracts at favorable rates or on a long-term basis.</w:t>
      </w:r>
    </w:p>
    <w:p>
      <w:pPr>
        <w:spacing w:after="0" w:line="113" w:lineRule="exact"/>
        <w:rPr>
          <w:rFonts w:ascii="Times New Roman" w:cs="Times New Roman" w:eastAsia="Times New Roman" w:hAnsi="Times New Roman"/>
          <w:sz w:val="17"/>
          <w:szCs w:val="17"/>
          <w:color w:val="auto"/>
        </w:rPr>
      </w:pPr>
    </w:p>
    <w:p>
      <w:pPr>
        <w:ind w:left="1240" w:right="14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third-party pipelines or other midstream facilities interconnected to our gathering systems become partially or fully unavailable, our revenues and cash flows could be materially adversely affected.</w:t>
      </w:r>
    </w:p>
    <w:p>
      <w:pPr>
        <w:spacing w:after="0" w:line="48" w:lineRule="exact"/>
        <w:rPr>
          <w:rFonts w:ascii="Times New Roman" w:cs="Times New Roman" w:eastAsia="Times New Roman" w:hAnsi="Times New Roman"/>
          <w:sz w:val="17"/>
          <w:szCs w:val="17"/>
          <w:color w:val="auto"/>
        </w:rPr>
      </w:pPr>
    </w:p>
    <w:p>
      <w:pPr>
        <w:ind w:left="1240" w:right="2460" w:hanging="618"/>
        <w:spacing w:after="0" w:line="287"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had and continue to have discussions with unaffiliated third parties with respect to potential strategic transactions.</w:t>
      </w:r>
    </w:p>
    <w:p>
      <w:pPr>
        <w:spacing w:after="0" w:line="48"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and other trade measures could adversely affect our business, results of operations, financial position, and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Finances</w:t>
      </w:r>
    </w:p>
    <w:p>
      <w:pPr>
        <w:spacing w:after="0" w:line="120" w:lineRule="exact"/>
        <w:rPr>
          <w:sz w:val="20"/>
          <w:szCs w:val="20"/>
          <w:color w:val="auto"/>
        </w:rPr>
      </w:pPr>
    </w:p>
    <w:p>
      <w:pPr>
        <w:ind w:left="1240" w:right="80" w:hanging="618"/>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access to and/or availability of the commercial bank market or debt and equity capital markets could impair our ability to grow or cause us to be unable to meet future capital requirements.</w:t>
      </w:r>
    </w:p>
    <w:p>
      <w:pPr>
        <w:spacing w:after="0" w:line="48" w:lineRule="exact"/>
        <w:rPr>
          <w:rFonts w:ascii="Times New Roman" w:cs="Times New Roman" w:eastAsia="Times New Roman" w:hAnsi="Times New Roman"/>
          <w:sz w:val="17"/>
          <w:szCs w:val="17"/>
          <w:color w:val="auto"/>
        </w:rPr>
      </w:pPr>
    </w:p>
    <w:p>
      <w:pPr>
        <w:ind w:left="1240" w:right="100" w:hanging="618"/>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spacing w:after="0" w:line="48" w:lineRule="exact"/>
        <w:rPr>
          <w:rFonts w:ascii="Times New Roman" w:cs="Times New Roman" w:eastAsia="Times New Roman" w:hAnsi="Times New Roman"/>
          <w:sz w:val="17"/>
          <w:szCs w:val="17"/>
          <w:color w:val="auto"/>
        </w:rPr>
      </w:pPr>
    </w:p>
    <w:p>
      <w:pPr>
        <w:ind w:left="1240" w:hanging="618"/>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generate sufficient cash to service all of our indebtedness and may be forced to take other actions to satisfy our obligations under our indebtedness or to refinance, which may not be successful.</w:t>
      </w:r>
    </w:p>
    <w:p>
      <w:pPr>
        <w:spacing w:after="0" w:line="48" w:lineRule="exact"/>
        <w:rPr>
          <w:rFonts w:ascii="Times New Roman" w:cs="Times New Roman" w:eastAsia="Times New Roman" w:hAnsi="Times New Roman"/>
          <w:sz w:val="17"/>
          <w:szCs w:val="17"/>
          <w:color w:val="auto"/>
        </w:rPr>
      </w:pPr>
    </w:p>
    <w:p>
      <w:pPr>
        <w:ind w:left="1240" w:right="280" w:hanging="618"/>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in the New Permian Transmission Facility, the indenture governing the 2029 Secured Notes and the Amended and Restated ABL Facility could materially adversely affect our business, financial condition, results of operations and ability to make cash dividends.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5" w:name="page6"/>
    <w:bookmarkEnd w:id="5"/>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interest rates will cause our debt service obligations to increase.</w:t>
      </w:r>
    </w:p>
    <w:p>
      <w:pPr>
        <w:spacing w:after="0" w:line="113" w:lineRule="exact"/>
        <w:rPr>
          <w:rFonts w:ascii="Times New Roman" w:cs="Times New Roman" w:eastAsia="Times New Roman" w:hAnsi="Times New Roman"/>
          <w:sz w:val="17"/>
          <w:szCs w:val="17"/>
          <w:color w:val="auto"/>
        </w:rPr>
      </w:pPr>
    </w:p>
    <w:p>
      <w:pPr>
        <w:ind w:left="1240" w:right="440" w:hanging="618"/>
        <w:spacing w:after="0" w:line="287"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downgrade of our credit rating could impact our liquidity, access to capital and our costs of doing business, and independent third parties determine our credit ratings outside of our control.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and Environmental Policy Risks</w:t>
      </w:r>
    </w:p>
    <w:p>
      <w:pPr>
        <w:spacing w:after="0" w:line="120" w:lineRule="exact"/>
        <w:rPr>
          <w:sz w:val="20"/>
          <w:szCs w:val="20"/>
          <w:color w:val="auto"/>
        </w:rPr>
      </w:pPr>
    </w:p>
    <w:p>
      <w:pPr>
        <w:ind w:left="1240" w:right="60" w:hanging="618"/>
        <w:spacing w:after="0" w:line="270"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spacing w:after="0" w:line="62" w:lineRule="exact"/>
        <w:rPr>
          <w:rFonts w:ascii="Times New Roman" w:cs="Times New Roman" w:eastAsia="Times New Roman" w:hAnsi="Times New Roman"/>
          <w:sz w:val="17"/>
          <w:szCs w:val="17"/>
          <w:color w:val="auto"/>
        </w:rPr>
      </w:pPr>
    </w:p>
    <w:p>
      <w:pPr>
        <w:ind w:left="1240" w:right="280" w:hanging="618"/>
        <w:spacing w:after="0" w:line="287"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spacing w:after="0" w:line="48" w:lineRule="exact"/>
        <w:rPr>
          <w:rFonts w:ascii="Times New Roman" w:cs="Times New Roman" w:eastAsia="Times New Roman" w:hAnsi="Times New Roman"/>
          <w:sz w:val="17"/>
          <w:szCs w:val="17"/>
          <w:color w:val="auto"/>
        </w:rPr>
      </w:pPr>
    </w:p>
    <w:p>
      <w:pPr>
        <w:ind w:left="1240" w:right="300" w:hanging="618"/>
        <w:spacing w:after="0" w:line="287"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48" w:lineRule="exact"/>
        <w:rPr>
          <w:rFonts w:ascii="Times New Roman" w:cs="Times New Roman" w:eastAsia="Times New Roman" w:hAnsi="Times New Roman"/>
          <w:sz w:val="17"/>
          <w:szCs w:val="17"/>
          <w:color w:val="auto"/>
        </w:rPr>
      </w:pPr>
    </w:p>
    <w:p>
      <w:pPr>
        <w:ind w:left="1240" w:right="40" w:hanging="618"/>
        <w:spacing w:after="0" w:line="287"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regulation of hydraulic fracturing could result in reductions or delays in customer production, which could materially adversely impact our revenues.</w:t>
      </w:r>
    </w:p>
    <w:p>
      <w:pPr>
        <w:spacing w:after="0" w:line="48" w:lineRule="exact"/>
        <w:rPr>
          <w:rFonts w:ascii="Times New Roman" w:cs="Times New Roman" w:eastAsia="Times New Roman" w:hAnsi="Times New Roman"/>
          <w:sz w:val="17"/>
          <w:szCs w:val="17"/>
          <w:color w:val="auto"/>
        </w:rPr>
      </w:pPr>
    </w:p>
    <w:p>
      <w:pPr>
        <w:ind w:left="1240" w:hanging="618"/>
        <w:spacing w:after="0" w:line="270"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62"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stringent environmental laws and regulations that may expose us to significant costs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Common Stock and Series A Preferred Stock</w:t>
      </w:r>
    </w:p>
    <w:p>
      <w:pPr>
        <w:spacing w:after="0" w:line="120" w:lineRule="exact"/>
        <w:rPr>
          <w:sz w:val="20"/>
          <w:szCs w:val="20"/>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the common stock or Series A Preferred Stock may experience volatility.</w:t>
      </w:r>
    </w:p>
    <w:p>
      <w:pPr>
        <w:spacing w:after="0" w:line="113" w:lineRule="exact"/>
        <w:rPr>
          <w:rFonts w:ascii="Times New Roman" w:cs="Times New Roman" w:eastAsia="Times New Roman" w:hAnsi="Times New Roman"/>
          <w:sz w:val="17"/>
          <w:szCs w:val="17"/>
          <w:color w:val="auto"/>
        </w:rPr>
      </w:pPr>
    </w:p>
    <w:p>
      <w:pPr>
        <w:ind w:left="1240" w:right="140" w:hanging="618"/>
        <w:spacing w:after="0" w:line="270"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Governing Documents contain provisions that may make it difficult for a third party to acquire control of the Company, even if a change in control would result in the purchase of your shares of common stock or Series A Preferred Stock at a premium to the market price or would otherwise be beneficial to you.</w:t>
      </w:r>
    </w:p>
    <w:p>
      <w:pPr>
        <w:spacing w:after="0" w:line="62"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expect to pay dividends on our common stock for the foreseeable future.</w:t>
      </w:r>
    </w:p>
    <w:p>
      <w:pPr>
        <w:spacing w:after="0" w:line="113" w:lineRule="exact"/>
        <w:rPr>
          <w:rFonts w:ascii="Times New Roman" w:cs="Times New Roman" w:eastAsia="Times New Roman" w:hAnsi="Times New Roman"/>
          <w:sz w:val="17"/>
          <w:szCs w:val="17"/>
          <w:color w:val="auto"/>
        </w:rPr>
      </w:pPr>
    </w:p>
    <w:p>
      <w:pPr>
        <w:ind w:left="1240" w:right="340" w:hanging="618"/>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our common stock may be diluted by future equity issuances and shares eligible for future sale may have adverse effects on our share price.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Tax</w:t>
      </w:r>
    </w:p>
    <w:p>
      <w:pPr>
        <w:spacing w:after="0" w:line="120" w:lineRule="exact"/>
        <w:rPr>
          <w:sz w:val="20"/>
          <w:szCs w:val="20"/>
          <w:color w:val="auto"/>
        </w:rPr>
      </w:pPr>
    </w:p>
    <w:p>
      <w:pPr>
        <w:ind w:left="1240" w:right="40" w:hanging="618"/>
        <w:spacing w:after="0" w:line="287"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holding company, and its principal asset is our ownership of Partnership Common Units. Accordingly, we are dependent upon distributions from SMLP to pay dividends, if any, and to pay taxes and other expenses.</w:t>
      </w:r>
    </w:p>
    <w:p>
      <w:pPr>
        <w:spacing w:after="0" w:line="48" w:lineRule="exact"/>
        <w:rPr>
          <w:rFonts w:ascii="Times New Roman" w:cs="Times New Roman" w:eastAsia="Times New Roman" w:hAnsi="Times New Roman"/>
          <w:sz w:val="17"/>
          <w:szCs w:val="17"/>
          <w:color w:val="auto"/>
        </w:rPr>
      </w:pPr>
    </w:p>
    <w:p>
      <w:pPr>
        <w:ind w:left="1240" w:right="60" w:hanging="618"/>
        <w:spacing w:after="0" w:line="270"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Tall Oak Acquisition and subsequent changes in stock ownership of the Company (including upon the redemption or exchange of the shares of Class B Common Stock and associated Partnership Common Units for common stock) may trigger a limitation on the utilization of net operating loss carryforwards of the Company.</w:t>
      </w:r>
    </w:p>
    <w:p>
      <w:pPr>
        <w:spacing w:after="0" w:line="62"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SMLP were to become a publicly traded partnership taxable as a corporation for U.S. federal income tax purposes, the Company and SMLP might be subject to potentially significant tax inefficiencies.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ind w:left="4260"/>
        <w:spacing w:after="0"/>
        <w:rPr>
          <w:sz w:val="20"/>
          <w:szCs w:val="20"/>
          <w:color w:val="auto"/>
        </w:rPr>
      </w:pPr>
      <w:r>
        <w:rPr>
          <w:rFonts w:ascii="Times New Roman" w:cs="Times New Roman" w:eastAsia="Times New Roman" w:hAnsi="Times New Roman"/>
          <w:sz w:val="21"/>
          <w:szCs w:val="21"/>
          <w:b w:val="1"/>
          <w:bCs w:val="1"/>
          <w:color w:val="auto"/>
        </w:rPr>
        <w:t>ORGANIZATIONAL CHART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provides a summarized view of our legal entity structure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5599430" cy="3143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99430"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sectPr>
      </w:pPr>
    </w:p>
    <w:bookmarkStart w:id="7" w:name="page8"/>
    <w:bookmarkEnd w:id="7"/>
    <w:p>
      <w:pPr>
        <w:spacing w:after="0" w:line="4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2015 Blacktail Release</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2022 DJ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2025 Senior Notes</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2026 Secured Notes</w:t>
      </w:r>
    </w:p>
    <w:p>
      <w:pPr>
        <w:spacing w:after="0" w:line="200" w:lineRule="exact"/>
        <w:rPr>
          <w:sz w:val="20"/>
          <w:szCs w:val="20"/>
          <w:color w:val="auto"/>
        </w:rPr>
      </w:pPr>
    </w:p>
    <w:p>
      <w:pPr>
        <w:spacing w:after="0" w:line="301" w:lineRule="exact"/>
        <w:rPr>
          <w:sz w:val="20"/>
          <w:szCs w:val="20"/>
          <w:color w:val="auto"/>
        </w:rPr>
      </w:pPr>
    </w:p>
    <w:p>
      <w:pPr>
        <w:ind w:left="320" w:right="140"/>
        <w:spacing w:after="0" w:line="287" w:lineRule="auto"/>
        <w:rPr>
          <w:sz w:val="20"/>
          <w:szCs w:val="20"/>
          <w:color w:val="auto"/>
        </w:rPr>
      </w:pPr>
      <w:r>
        <w:rPr>
          <w:rFonts w:ascii="Times New Roman" w:cs="Times New Roman" w:eastAsia="Times New Roman" w:hAnsi="Times New Roman"/>
          <w:sz w:val="17"/>
          <w:szCs w:val="17"/>
          <w:color w:val="auto"/>
        </w:rPr>
        <w:t>2026 Secured Notes Asset Sale Offer</w:t>
      </w:r>
    </w:p>
    <w:p>
      <w:pPr>
        <w:spacing w:after="0" w:line="358" w:lineRule="exact"/>
        <w:rPr>
          <w:sz w:val="20"/>
          <w:szCs w:val="20"/>
          <w:color w:val="auto"/>
        </w:rPr>
      </w:pPr>
    </w:p>
    <w:p>
      <w:pPr>
        <w:ind w:left="320" w:right="40"/>
        <w:spacing w:after="0" w:line="287" w:lineRule="auto"/>
        <w:rPr>
          <w:sz w:val="20"/>
          <w:szCs w:val="20"/>
          <w:color w:val="auto"/>
        </w:rPr>
      </w:pPr>
      <w:r>
        <w:rPr>
          <w:rFonts w:ascii="Times New Roman" w:cs="Times New Roman" w:eastAsia="Times New Roman" w:hAnsi="Times New Roman"/>
          <w:sz w:val="17"/>
          <w:szCs w:val="17"/>
          <w:color w:val="auto"/>
        </w:rPr>
        <w:t>2026 Secured Notes Tender Offer</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2026 Unsecured Notes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2029 Secured Notes</w:t>
      </w:r>
    </w:p>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A&amp;R Partnership</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Agreement</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ABL Agreement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Times New Roman" w:cs="Times New Roman" w:eastAsia="Times New Roman" w:hAnsi="Times New Roman"/>
          <w:sz w:val="21"/>
          <w:szCs w:val="21"/>
          <w:b w:val="1"/>
          <w:bCs w:val="1"/>
          <w:color w:val="auto"/>
        </w:rPr>
        <w:t>COMMONLY USED 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-1902460</wp:posOffset>
            </wp:positionH>
            <wp:positionV relativeFrom="paragraph">
              <wp:posOffset>94615</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2015 rupture of our four-inch produced water gathering pipeline near Williston, North Dakota</w:t>
      </w:r>
    </w:p>
    <w:p>
      <w:pPr>
        <w:spacing w:after="0" w:line="16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acquisition of Outrigger DJ Midstream LLC from Outrigger Energy II LLC, and each of Sterling Energy Investments LLC, Grasslands Energy Marketing LLC and Centennial Water Pipelines LLC from Sterling Investment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-1902460</wp:posOffset>
            </wp:positionH>
            <wp:positionV relativeFrom="paragraph">
              <wp:posOffset>147955</wp:posOffset>
            </wp:positionV>
            <wp:extent cx="7138670" cy="441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441960"/>
                    </a:xfrm>
                    <a:prstGeom prst="rect">
                      <a:avLst/>
                    </a:prstGeom>
                    <a:noFill/>
                  </pic:spPr>
                </pic:pic>
              </a:graphicData>
            </a:graphic>
          </wp:anchor>
        </w:drawing>
      </w:r>
    </w:p>
    <w:p>
      <w:pPr>
        <w:spacing w:after="0" w:line="223" w:lineRule="exact"/>
        <w:rPr>
          <w:sz w:val="20"/>
          <w:szCs w:val="20"/>
          <w:color w:val="auto"/>
        </w:rPr>
      </w:pPr>
    </w:p>
    <w:p>
      <w:pPr>
        <w:ind w:right="1860"/>
        <w:spacing w:after="0" w:line="287" w:lineRule="auto"/>
        <w:rPr>
          <w:sz w:val="20"/>
          <w:szCs w:val="20"/>
          <w:color w:val="auto"/>
        </w:rPr>
      </w:pPr>
      <w:r>
        <w:rPr>
          <w:rFonts w:ascii="Times New Roman" w:cs="Times New Roman" w:eastAsia="Times New Roman" w:hAnsi="Times New Roman"/>
          <w:sz w:val="17"/>
          <w:szCs w:val="17"/>
          <w:color w:val="auto"/>
        </w:rPr>
        <w:t>Summit Holdings’ and Finance Corp.’s 5.75% senior unsecured notes due April 2025, which were fully repaid on August 16, 2024</w:t>
      </w:r>
    </w:p>
    <w:p>
      <w:pPr>
        <w:spacing w:after="0" w:line="22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Summit Holdings’ and Finance Corp.’s 8.500% senior secured second lien notes due October 2026, which were fully repaid on October 15,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cash tender offer by Summit Holdings and Finance Corp. to purchase up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-1902460</wp:posOffset>
            </wp:positionH>
            <wp:positionV relativeFrom="paragraph">
              <wp:posOffset>-121285</wp:posOffset>
            </wp:positionV>
            <wp:extent cx="7138670" cy="523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523875"/>
                    </a:xfrm>
                    <a:prstGeom prst="rect">
                      <a:avLst/>
                    </a:prstGeom>
                    <a:noFill/>
                  </pic:spPr>
                </pic:pic>
              </a:graphicData>
            </a:graphic>
          </wp:anchor>
        </w:drawing>
      </w:r>
    </w:p>
    <w:p>
      <w:pPr>
        <w:ind w:right="1920"/>
        <w:spacing w:after="0" w:line="243" w:lineRule="auto"/>
        <w:rPr>
          <w:sz w:val="20"/>
          <w:szCs w:val="20"/>
          <w:color w:val="auto"/>
        </w:rPr>
      </w:pPr>
      <w:r>
        <w:rPr>
          <w:rFonts w:ascii="Times New Roman" w:cs="Times New Roman" w:eastAsia="Times New Roman" w:hAnsi="Times New Roman"/>
          <w:sz w:val="17"/>
          <w:szCs w:val="17"/>
          <w:color w:val="auto"/>
        </w:rPr>
        <w:t>$215.0 million aggregate principal amount of the outstanding 2026 Secured Notes, pursuant to which $6.9 million aggregate principal amount of the 2026 Secured Notes was tendered and validly accepted, which settled on June 6, 2024</w:t>
      </w:r>
    </w:p>
    <w:p>
      <w:pPr>
        <w:spacing w:after="0" w:line="20" w:lineRule="exact"/>
        <w:rPr>
          <w:sz w:val="20"/>
          <w:szCs w:val="20"/>
          <w:color w:val="auto"/>
        </w:rPr>
      </w:pPr>
    </w:p>
    <w:p>
      <w:pPr>
        <w:ind w:right="1920"/>
        <w:spacing w:after="0" w:line="248" w:lineRule="auto"/>
        <w:rPr>
          <w:sz w:val="20"/>
          <w:szCs w:val="20"/>
          <w:color w:val="auto"/>
        </w:rPr>
      </w:pPr>
      <w:r>
        <w:rPr>
          <w:rFonts w:ascii="Times New Roman" w:cs="Times New Roman" w:eastAsia="Times New Roman" w:hAnsi="Times New Roman"/>
          <w:sz w:val="17"/>
          <w:szCs w:val="17"/>
          <w:color w:val="auto"/>
        </w:rPr>
        <w:t>the cash tender offer by Summit Holdings and Finance Corp. to purchase any and all of the outstanding 2026 Secured Notes, pursuant to which $649.8 million aggregate principal amount of the 2026 Secured Notes was tendered and validly accepted, which settled on July 26, 2024</w:t>
      </w:r>
    </w:p>
    <w:p>
      <w:pPr>
        <w:spacing w:after="0" w:line="24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Summit Holdings’ and Finance Corp.’s 12.00% senior unsecured notes due October 2026, which were fully repaid on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-1902460</wp:posOffset>
            </wp:positionH>
            <wp:positionV relativeFrom="paragraph">
              <wp:posOffset>-275590</wp:posOffset>
            </wp:positionV>
            <wp:extent cx="7138670" cy="278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Summit Holdings’ 8.625% Senior Secured Second Lien Notes due October 2029</w:t>
      </w:r>
    </w:p>
    <w:p>
      <w:pPr>
        <w:spacing w:after="0" w:line="282" w:lineRule="exact"/>
        <w:rPr>
          <w:sz w:val="20"/>
          <w:szCs w:val="20"/>
          <w:color w:val="auto"/>
        </w:rPr>
      </w:pPr>
    </w:p>
    <w:p>
      <w:pPr>
        <w:ind w:right="1860"/>
        <w:spacing w:after="0" w:line="271" w:lineRule="auto"/>
        <w:rPr>
          <w:sz w:val="20"/>
          <w:szCs w:val="20"/>
          <w:color w:val="auto"/>
        </w:rPr>
      </w:pPr>
      <w:r>
        <w:rPr>
          <w:rFonts w:ascii="Times New Roman" w:cs="Times New Roman" w:eastAsia="Times New Roman" w:hAnsi="Times New Roman"/>
          <w:sz w:val="17"/>
          <w:szCs w:val="17"/>
          <w:color w:val="auto"/>
        </w:rPr>
        <w:t>the Sixth Amended and Restated Agreement of Limited Partnership of SMLP, by and among the Company, the General Partner, and Tall Oak Parent, dated as of 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-1902460</wp:posOffset>
            </wp:positionH>
            <wp:positionV relativeFrom="paragraph">
              <wp:posOffset>-277495</wp:posOffset>
            </wp:positionV>
            <wp:extent cx="7138670" cy="425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425450"/>
                    </a:xfrm>
                    <a:prstGeom prst="rect">
                      <a:avLst/>
                    </a:prstGeom>
                    <a:noFill/>
                  </pic:spPr>
                </pic:pic>
              </a:graphicData>
            </a:graphic>
          </wp:anchor>
        </w:drawing>
      </w:r>
    </w:p>
    <w:p>
      <w:pPr>
        <w:spacing w:after="0" w:line="20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spacing w:after="0" w:line="200" w:lineRule="exact"/>
        <w:rPr>
          <w:sz w:val="20"/>
          <w:szCs w:val="20"/>
          <w:color w:val="auto"/>
        </w:rPr>
      </w:pPr>
    </w:p>
    <w:p>
      <w:pPr>
        <w:sectPr>
          <w:pgSz w:w="11900" w:h="16838" w:orient="portrait"/>
          <w:cols w:equalWidth="0" w:num="2">
            <w:col w:w="2280" w:space="720"/>
            <w:col w:w="8240"/>
          </w:cols>
          <w:pgMar w:left="320" w:top="1103" w:right="339" w:bottom="1440" w:gutter="0" w:footer="0" w:header="0"/>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ABL Facility</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the asset-based lending credit facility governed by the ABL Agreement</w:t>
            </w:r>
          </w:p>
        </w:tc>
      </w:tr>
      <w:tr>
        <w:trPr>
          <w:trHeight w:val="216"/>
        </w:trPr>
        <w:tc>
          <w:tcPr>
            <w:tcW w:w="2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Additional 2029 Secured</w:t>
            </w:r>
          </w:p>
        </w:tc>
        <w:tc>
          <w:tcPr>
            <w:tcW w:w="8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$250,000,000 in aggregate principal amount of 2029 Secured Notes issued on January</w:t>
            </w:r>
          </w:p>
        </w:tc>
      </w:tr>
      <w:tr>
        <w:trPr>
          <w:trHeight w:val="223"/>
        </w:trPr>
        <w:tc>
          <w:tcPr>
            <w:tcW w:w="266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10, 2025</w:t>
            </w:r>
          </w:p>
        </w:tc>
      </w:tr>
      <w:tr>
        <w:trPr>
          <w:trHeight w:val="25"/>
        </w:trPr>
        <w:tc>
          <w:tcPr>
            <w:tcW w:w="26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16"/>
        </w:trPr>
        <w:tc>
          <w:tcPr>
            <w:tcW w:w="2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Amended and Restated ABL</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Amended and Restated Loan and Security Agreement, dated as of July 26, 2024, among Summit Holdings, as</w:t>
            </w:r>
          </w:p>
        </w:tc>
      </w:tr>
      <w:tr>
        <w:trPr>
          <w:trHeight w:val="206"/>
        </w:trPr>
        <w:tc>
          <w:tcPr>
            <w:tcW w:w="2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w:t>
            </w: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borrower, SMLP and certain subsidiaries from time to time party thereto, as guarantors, Bank of America, N.A., as</w:t>
            </w:r>
          </w:p>
        </w:tc>
      </w:tr>
      <w:tr>
        <w:trPr>
          <w:trHeight w:val="206"/>
        </w:trPr>
        <w:tc>
          <w:tcPr>
            <w:tcW w:w="2660" w:type="dxa"/>
            <w:vAlign w:val="bottom"/>
            <w:shd w:val="clear" w:color="auto" w:fill="CCEEFF"/>
          </w:tcPr>
          <w:p>
            <w:pPr>
              <w:spacing w:after="0"/>
              <w:rPr>
                <w:sz w:val="17"/>
                <w:szCs w:val="17"/>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agent, and Bank of America, N.A., Royal Bank of Canada, Regions Capital Markets, TD Securities (USA) LLC,</w:t>
            </w:r>
          </w:p>
        </w:tc>
      </w:tr>
      <w:tr>
        <w:trPr>
          <w:trHeight w:val="223"/>
        </w:trPr>
        <w:tc>
          <w:tcPr>
            <w:tcW w:w="2660" w:type="dxa"/>
            <w:vAlign w:val="bottom"/>
            <w:shd w:val="clear" w:color="auto" w:fill="CCEEFF"/>
          </w:tcPr>
          <w:p>
            <w:pPr>
              <w:spacing w:after="0"/>
              <w:rPr>
                <w:sz w:val="19"/>
                <w:szCs w:val="19"/>
                <w:color w:val="auto"/>
              </w:rPr>
            </w:pPr>
          </w:p>
        </w:tc>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JPMorgan Chase Bank, N.A, Citizens Bank, N.A., and Truist Bank, as joint lead arrangers and joint bookrunners</w:t>
            </w:r>
          </w:p>
        </w:tc>
      </w:tr>
      <w:tr>
        <w:trPr>
          <w:trHeight w:val="257"/>
        </w:trPr>
        <w:tc>
          <w:tcPr>
            <w:tcW w:w="2660" w:type="dxa"/>
            <w:vAlign w:val="bottom"/>
            <w:shd w:val="clear" w:color="auto" w:fill="CCEEFF"/>
          </w:tcPr>
          <w:p>
            <w:pPr>
              <w:spacing w:after="0"/>
              <w:rPr>
                <w:sz w:val="22"/>
                <w:szCs w:val="22"/>
                <w:color w:val="auto"/>
              </w:rPr>
            </w:pPr>
          </w:p>
        </w:tc>
        <w:tc>
          <w:tcPr>
            <w:tcW w:w="8580" w:type="dxa"/>
            <w:vAlign w:val="bottom"/>
            <w:shd w:val="clear" w:color="auto" w:fill="CCEEFF"/>
          </w:tcPr>
          <w:p>
            <w:pPr>
              <w:spacing w:after="0"/>
              <w:rPr>
                <w:sz w:val="22"/>
                <w:szCs w:val="22"/>
                <w:color w:val="auto"/>
              </w:rPr>
            </w:pPr>
          </w:p>
        </w:tc>
      </w:tr>
    </w:tbl>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Amended and Restated ABL Facility  the asset-based lending credit facility governed by the Amended and Restated ABL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ABL Facility</w:t>
            </w: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additional $85.0 million of 2026 Secured Notes issued in November 2022 in connection with the 2022 DJ</w:t>
            </w:r>
          </w:p>
        </w:tc>
      </w:tr>
      <w:tr>
        <w:trPr>
          <w:trHeight w:val="228"/>
        </w:trPr>
        <w:tc>
          <w:tcPr>
            <w:tcW w:w="2560" w:type="dxa"/>
            <w:vAlign w:val="bottom"/>
            <w:tcBorders>
              <w:bottom w:val="single" w:sz="8" w:color="CCEEFF"/>
            </w:tcBorders>
            <w:shd w:val="clear" w:color="auto" w:fill="CCEEFF"/>
          </w:tcPr>
          <w:p>
            <w:pPr>
              <w:spacing w:after="0"/>
              <w:rPr>
                <w:sz w:val="19"/>
                <w:szCs w:val="19"/>
                <w:color w:val="auto"/>
              </w:rPr>
            </w:pP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Acquisitions</w:t>
            </w:r>
          </w:p>
        </w:tc>
      </w:tr>
      <w:tr>
        <w:trPr>
          <w:trHeight w:val="216"/>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AMI</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area of mutual interest; AMIs require that any production from wells drilled by our customers within the AMI be</w:t>
            </w:r>
          </w:p>
        </w:tc>
      </w:tr>
      <w:tr>
        <w:trPr>
          <w:trHeight w:val="223"/>
        </w:trPr>
        <w:tc>
          <w:tcPr>
            <w:tcW w:w="2560" w:type="dxa"/>
            <w:vAlign w:val="bottom"/>
          </w:tcPr>
          <w:p>
            <w:pPr>
              <w:spacing w:after="0"/>
              <w:rPr>
                <w:sz w:val="19"/>
                <w:szCs w:val="19"/>
                <w:color w:val="auto"/>
              </w:rPr>
            </w:pP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shipped on and/or processed by our gathering systems</w:t>
            </w:r>
          </w:p>
        </w:tc>
      </w:tr>
      <w:tr>
        <w:trPr>
          <w:trHeight w:val="25"/>
        </w:trPr>
        <w:tc>
          <w:tcPr>
            <w:tcW w:w="256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38"/>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ASC</w:t>
            </w: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Accounting Standards Codification</w:t>
            </w:r>
          </w:p>
        </w:tc>
      </w:tr>
      <w:tr>
        <w:trPr>
          <w:trHeight w:val="180"/>
        </w:trPr>
        <w:tc>
          <w:tcPr>
            <w:tcW w:w="2560" w:type="dxa"/>
            <w:vAlign w:val="bottom"/>
          </w:tcPr>
          <w:p>
            <w:pPr>
              <w:ind w:left="320"/>
              <w:spacing w:after="0" w:line="181" w:lineRule="exact"/>
              <w:rPr>
                <w:sz w:val="20"/>
                <w:szCs w:val="20"/>
                <w:color w:val="auto"/>
              </w:rPr>
            </w:pPr>
            <w:r>
              <w:rPr>
                <w:rFonts w:ascii="Times New Roman" w:cs="Times New Roman" w:eastAsia="Times New Roman" w:hAnsi="Times New Roman"/>
                <w:sz w:val="17"/>
                <w:szCs w:val="17"/>
                <w:color w:val="auto"/>
              </w:rPr>
              <w:t>associated natural gas</w:t>
            </w:r>
          </w:p>
        </w:tc>
        <w:tc>
          <w:tcPr>
            <w:tcW w:w="8680" w:type="dxa"/>
            <w:vAlign w:val="bottom"/>
          </w:tcPr>
          <w:p>
            <w:pPr>
              <w:ind w:left="440"/>
              <w:spacing w:after="0" w:line="181" w:lineRule="exact"/>
              <w:rPr>
                <w:sz w:val="20"/>
                <w:szCs w:val="20"/>
                <w:color w:val="auto"/>
              </w:rPr>
            </w:pPr>
            <w:r>
              <w:rPr>
                <w:rFonts w:ascii="Times New Roman" w:cs="Times New Roman" w:eastAsia="Times New Roman" w:hAnsi="Times New Roman"/>
                <w:sz w:val="17"/>
                <w:szCs w:val="17"/>
                <w:color w:val="auto"/>
              </w:rPr>
              <w:t>a form of natural gas which is found with deposits of petroleum, either dissolved in the crude oil or as a free gas cap</w:t>
            </w:r>
          </w:p>
        </w:tc>
      </w:tr>
      <w:tr>
        <w:trPr>
          <w:trHeight w:val="219"/>
        </w:trPr>
        <w:tc>
          <w:tcPr>
            <w:tcW w:w="2560" w:type="dxa"/>
            <w:vAlign w:val="bottom"/>
          </w:tcPr>
          <w:p>
            <w:pPr>
              <w:spacing w:after="0"/>
              <w:rPr>
                <w:sz w:val="19"/>
                <w:szCs w:val="19"/>
                <w:color w:val="auto"/>
              </w:rPr>
            </w:pP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above the crude oil in the reservoir</w:t>
            </w:r>
          </w:p>
        </w:tc>
      </w:tr>
      <w:tr>
        <w:trPr>
          <w:trHeight w:val="238"/>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ASU</w:t>
            </w: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Accounting Standards Update</w:t>
            </w: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Audit Committee</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audit committee of the Board of Directors</w:t>
            </w:r>
          </w:p>
        </w:tc>
      </w:tr>
      <w:tr>
        <w:trPr>
          <w:trHeight w:val="257"/>
        </w:trPr>
        <w:tc>
          <w:tcPr>
            <w:tcW w:w="2560" w:type="dxa"/>
            <w:vAlign w:val="bottom"/>
          </w:tcPr>
          <w:p>
            <w:pPr>
              <w:spacing w:after="0"/>
              <w:rPr>
                <w:sz w:val="22"/>
                <w:szCs w:val="22"/>
                <w:color w:val="auto"/>
              </w:rPr>
            </w:pPr>
          </w:p>
        </w:tc>
        <w:tc>
          <w:tcPr>
            <w:tcW w:w="8680" w:type="dxa"/>
            <w:vAlign w:val="bottom"/>
          </w:tcPr>
          <w:p>
            <w:pPr>
              <w:spacing w:after="0"/>
              <w:rPr>
                <w:sz w:val="22"/>
                <w:szCs w:val="22"/>
                <w:color w:val="auto"/>
              </w:rPr>
            </w:pPr>
          </w:p>
        </w:tc>
      </w:tr>
      <w:tr>
        <w:trPr>
          <w:trHeight w:val="238"/>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Bbl</w:t>
            </w: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one barrel; used for crude oil and produced water and equivalent to 42 U.S. gallons</w:t>
            </w: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Bcf</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one billion cubic feet</w:t>
            </w:r>
          </w:p>
        </w:tc>
      </w:tr>
      <w:tr>
        <w:trPr>
          <w:trHeight w:val="25"/>
        </w:trPr>
        <w:tc>
          <w:tcPr>
            <w:tcW w:w="256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16"/>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Bcf/d</w:t>
            </w: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equivalent of one billion cubic feet per day; generally calculated when liquids are converted into natural gas;</w:t>
            </w:r>
          </w:p>
        </w:tc>
      </w:tr>
      <w:tr>
        <w:trPr>
          <w:trHeight w:val="228"/>
        </w:trPr>
        <w:tc>
          <w:tcPr>
            <w:tcW w:w="2560" w:type="dxa"/>
            <w:vAlign w:val="bottom"/>
            <w:tcBorders>
              <w:bottom w:val="single" w:sz="8" w:color="CCEEFF"/>
            </w:tcBorders>
            <w:shd w:val="clear" w:color="auto" w:fill="CCEEFF"/>
          </w:tcPr>
          <w:p>
            <w:pPr>
              <w:spacing w:after="0"/>
              <w:rPr>
                <w:sz w:val="19"/>
                <w:szCs w:val="19"/>
                <w:color w:val="auto"/>
              </w:rPr>
            </w:pP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determined using a ratio of six thousand cubic feet of natural gas to one barrel of liquids</w:t>
            </w: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BLM</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Bureau of Land Management</w:t>
            </w:r>
          </w:p>
        </w:tc>
      </w:tr>
      <w:tr>
        <w:trPr>
          <w:trHeight w:val="257"/>
        </w:trPr>
        <w:tc>
          <w:tcPr>
            <w:tcW w:w="2560" w:type="dxa"/>
            <w:vAlign w:val="bottom"/>
          </w:tcPr>
          <w:p>
            <w:pPr>
              <w:spacing w:after="0"/>
              <w:rPr>
                <w:sz w:val="22"/>
                <w:szCs w:val="22"/>
                <w:color w:val="auto"/>
              </w:rPr>
            </w:pPr>
          </w:p>
        </w:tc>
        <w:tc>
          <w:tcPr>
            <w:tcW w:w="8680" w:type="dxa"/>
            <w:vAlign w:val="bottom"/>
          </w:tcPr>
          <w:p>
            <w:pPr>
              <w:spacing w:after="0"/>
              <w:rPr>
                <w:sz w:val="22"/>
                <w:szCs w:val="22"/>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Board of Directors</w:t>
            </w: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board of directors of Summit Midstream Corporation</w:t>
            </w:r>
          </w:p>
        </w:tc>
      </w:tr>
      <w:tr>
        <w:trPr>
          <w:trHeight w:val="257"/>
        </w:trPr>
        <w:tc>
          <w:tcPr>
            <w:tcW w:w="2560" w:type="dxa"/>
            <w:vAlign w:val="bottom"/>
            <w:shd w:val="clear" w:color="auto" w:fill="CCEEFF"/>
          </w:tcPr>
          <w:p>
            <w:pPr>
              <w:spacing w:after="0"/>
              <w:rPr>
                <w:sz w:val="22"/>
                <w:szCs w:val="22"/>
                <w:color w:val="auto"/>
              </w:rPr>
            </w:pPr>
          </w:p>
        </w:tc>
        <w:tc>
          <w:tcPr>
            <w:tcW w:w="8680" w:type="dxa"/>
            <w:vAlign w:val="bottom"/>
            <w:shd w:val="clear" w:color="auto" w:fill="CCEEFF"/>
          </w:tcPr>
          <w:p>
            <w:pPr>
              <w:spacing w:after="0"/>
              <w:rPr>
                <w:sz w:val="22"/>
                <w:szCs w:val="22"/>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CAA</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Clean Air Act</w:t>
            </w:r>
          </w:p>
        </w:tc>
      </w:tr>
      <w:tr>
        <w:trPr>
          <w:trHeight w:val="25"/>
        </w:trPr>
        <w:tc>
          <w:tcPr>
            <w:tcW w:w="256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CCPA</w:t>
            </w: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California Consumer Privacy Act, as amended by the California Privacy Rights Act</w:t>
            </w:r>
          </w:p>
        </w:tc>
      </w:tr>
      <w:tr>
        <w:trPr>
          <w:trHeight w:val="257"/>
        </w:trPr>
        <w:tc>
          <w:tcPr>
            <w:tcW w:w="2560" w:type="dxa"/>
            <w:vAlign w:val="bottom"/>
            <w:shd w:val="clear" w:color="auto" w:fill="CCEEFF"/>
          </w:tcPr>
          <w:p>
            <w:pPr>
              <w:spacing w:after="0"/>
              <w:rPr>
                <w:sz w:val="22"/>
                <w:szCs w:val="22"/>
                <w:color w:val="auto"/>
              </w:rPr>
            </w:pPr>
          </w:p>
        </w:tc>
        <w:tc>
          <w:tcPr>
            <w:tcW w:w="8680" w:type="dxa"/>
            <w:vAlign w:val="bottom"/>
            <w:shd w:val="clear" w:color="auto" w:fill="CCEEFF"/>
          </w:tcPr>
          <w:p>
            <w:pPr>
              <w:spacing w:after="0"/>
              <w:rPr>
                <w:sz w:val="22"/>
                <w:szCs w:val="22"/>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CEA</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Commodity Exchange Act</w:t>
            </w:r>
          </w:p>
        </w:tc>
      </w:tr>
      <w:tr>
        <w:trPr>
          <w:trHeight w:val="25"/>
        </w:trPr>
        <w:tc>
          <w:tcPr>
            <w:tcW w:w="256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38"/>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CERCLA</w:t>
            </w: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Comprehensive Environmental Response, Compensation, and Liability Act</w:t>
            </w: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CFTC</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Commodity Futures Trading Commission</w:t>
            </w:r>
          </w:p>
        </w:tc>
      </w:tr>
      <w:tr>
        <w:trPr>
          <w:trHeight w:val="25"/>
        </w:trPr>
        <w:tc>
          <w:tcPr>
            <w:tcW w:w="256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Class B Common Stock</w:t>
            </w: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Class B common stock of the Company, par value $0.01 per share</w:t>
            </w:r>
          </w:p>
        </w:tc>
      </w:tr>
      <w:tr>
        <w:trPr>
          <w:trHeight w:val="257"/>
        </w:trPr>
        <w:tc>
          <w:tcPr>
            <w:tcW w:w="2560" w:type="dxa"/>
            <w:vAlign w:val="bottom"/>
            <w:shd w:val="clear" w:color="auto" w:fill="CCEEFF"/>
          </w:tcPr>
          <w:p>
            <w:pPr>
              <w:spacing w:after="0"/>
              <w:rPr>
                <w:sz w:val="22"/>
                <w:szCs w:val="22"/>
                <w:color w:val="auto"/>
              </w:rPr>
            </w:pPr>
          </w:p>
        </w:tc>
        <w:tc>
          <w:tcPr>
            <w:tcW w:w="8680" w:type="dxa"/>
            <w:vAlign w:val="bottom"/>
            <w:shd w:val="clear" w:color="auto" w:fill="CCEEFF"/>
          </w:tcPr>
          <w:p>
            <w:pPr>
              <w:spacing w:after="0"/>
              <w:rPr>
                <w:sz w:val="22"/>
                <w:szCs w:val="22"/>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common stock of the Company, par value $0.01 per share</w:t>
            </w:r>
          </w:p>
        </w:tc>
      </w:tr>
      <w:tr>
        <w:trPr>
          <w:trHeight w:val="257"/>
        </w:trPr>
        <w:tc>
          <w:tcPr>
            <w:tcW w:w="2560" w:type="dxa"/>
            <w:vAlign w:val="bottom"/>
          </w:tcPr>
          <w:p>
            <w:pPr>
              <w:spacing w:after="0"/>
              <w:rPr>
                <w:sz w:val="22"/>
                <w:szCs w:val="22"/>
                <w:color w:val="auto"/>
              </w:rPr>
            </w:pPr>
          </w:p>
        </w:tc>
        <w:tc>
          <w:tcPr>
            <w:tcW w:w="8680" w:type="dxa"/>
            <w:vAlign w:val="bottom"/>
          </w:tcPr>
          <w:p>
            <w:pPr>
              <w:spacing w:after="0"/>
              <w:rPr>
                <w:sz w:val="22"/>
                <w:szCs w:val="22"/>
                <w:color w:val="auto"/>
              </w:rPr>
            </w:pPr>
          </w:p>
        </w:tc>
      </w:tr>
      <w:tr>
        <w:trPr>
          <w:trHeight w:val="238"/>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Compensation Committee</w:t>
            </w: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compensation committee of the Board of Directors</w:t>
            </w:r>
          </w:p>
        </w:tc>
      </w:tr>
      <w:tr>
        <w:trPr>
          <w:trHeight w:val="216"/>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condensate</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 natural gas liquid with a low vapor pressure, mainly composed of propane, butane, pentane, and heavier hydrocarbon</w:t>
            </w:r>
          </w:p>
        </w:tc>
      </w:tr>
      <w:tr>
        <w:trPr>
          <w:trHeight w:val="223"/>
        </w:trPr>
        <w:tc>
          <w:tcPr>
            <w:tcW w:w="2560" w:type="dxa"/>
            <w:vAlign w:val="bottom"/>
          </w:tcPr>
          <w:p>
            <w:pPr>
              <w:spacing w:after="0"/>
              <w:rPr>
                <w:sz w:val="19"/>
                <w:szCs w:val="19"/>
                <w:color w:val="auto"/>
              </w:rPr>
            </w:pP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fractions</w:t>
            </w:r>
          </w:p>
        </w:tc>
      </w:tr>
      <w:tr>
        <w:trPr>
          <w:trHeight w:val="25"/>
        </w:trPr>
        <w:tc>
          <w:tcPr>
            <w:tcW w:w="256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16"/>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Corporate Reorganization</w:t>
            </w: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August 1, 2024 consummation of a transaction that resulted in SMLP becoming a wholly owned subsidiary of a</w:t>
            </w:r>
          </w:p>
        </w:tc>
      </w:tr>
      <w:tr>
        <w:trPr>
          <w:trHeight w:val="223"/>
        </w:trPr>
        <w:tc>
          <w:tcPr>
            <w:tcW w:w="2560" w:type="dxa"/>
            <w:vAlign w:val="bottom"/>
            <w:shd w:val="clear" w:color="auto" w:fill="CCEEFF"/>
          </w:tcPr>
          <w:p>
            <w:pPr>
              <w:spacing w:after="0"/>
              <w:rPr>
                <w:sz w:val="19"/>
                <w:szCs w:val="19"/>
                <w:color w:val="auto"/>
              </w:rPr>
            </w:pPr>
          </w:p>
        </w:tc>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newly formed Delaware corporation, Summit Midstream Corporation (taxed as a C-corporation)</w:t>
            </w:r>
          </w:p>
        </w:tc>
      </w:tr>
      <w:tr>
        <w:trPr>
          <w:trHeight w:val="257"/>
        </w:trPr>
        <w:tc>
          <w:tcPr>
            <w:tcW w:w="2560" w:type="dxa"/>
            <w:vAlign w:val="bottom"/>
            <w:shd w:val="clear" w:color="auto" w:fill="CCEEFF"/>
          </w:tcPr>
          <w:p>
            <w:pPr>
              <w:spacing w:after="0"/>
              <w:rPr>
                <w:sz w:val="22"/>
                <w:szCs w:val="22"/>
                <w:color w:val="auto"/>
              </w:rPr>
            </w:pPr>
          </w:p>
        </w:tc>
        <w:tc>
          <w:tcPr>
            <w:tcW w:w="8680" w:type="dxa"/>
            <w:vAlign w:val="bottom"/>
            <w:shd w:val="clear" w:color="auto" w:fill="CCEEFF"/>
          </w:tcPr>
          <w:p>
            <w:pPr>
              <w:spacing w:after="0"/>
              <w:rPr>
                <w:sz w:val="22"/>
                <w:szCs w:val="22"/>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Corps</w:t>
            </w:r>
          </w:p>
        </w:tc>
        <w:tc>
          <w:tcPr>
            <w:tcW w:w="8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U.S. Army Corps of Engineers</w:t>
            </w:r>
          </w:p>
        </w:tc>
      </w:tr>
      <w:tr>
        <w:trPr>
          <w:trHeight w:val="257"/>
        </w:trPr>
        <w:tc>
          <w:tcPr>
            <w:tcW w:w="2560" w:type="dxa"/>
            <w:vAlign w:val="bottom"/>
          </w:tcPr>
          <w:p>
            <w:pPr>
              <w:spacing w:after="0"/>
              <w:rPr>
                <w:sz w:val="22"/>
                <w:szCs w:val="22"/>
                <w:color w:val="auto"/>
              </w:rPr>
            </w:pPr>
          </w:p>
        </w:tc>
        <w:tc>
          <w:tcPr>
            <w:tcW w:w="8680" w:type="dxa"/>
            <w:vAlign w:val="bottom"/>
          </w:tcPr>
          <w:p>
            <w:pPr>
              <w:spacing w:after="0"/>
              <w:rPr>
                <w:sz w:val="22"/>
                <w:szCs w:val="22"/>
                <w:color w:val="auto"/>
              </w:rPr>
            </w:pPr>
          </w:p>
        </w:tc>
      </w:tr>
      <w:tr>
        <w:trPr>
          <w:trHeight w:val="238"/>
        </w:trPr>
        <w:tc>
          <w:tcPr>
            <w:tcW w:w="2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CWA</w:t>
            </w:r>
          </w:p>
        </w:tc>
        <w:tc>
          <w:tcPr>
            <w:tcW w:w="8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Clean Water Act</w:t>
            </w:r>
          </w:p>
        </w:tc>
      </w:tr>
      <w:tr>
        <w:trPr>
          <w:trHeight w:val="864"/>
        </w:trPr>
        <w:tc>
          <w:tcPr>
            <w:tcW w:w="2560" w:type="dxa"/>
            <w:vAlign w:val="bottom"/>
          </w:tcPr>
          <w:p>
            <w:pPr>
              <w:spacing w:after="0"/>
              <w:rPr>
                <w:sz w:val="24"/>
                <w:szCs w:val="24"/>
                <w:color w:val="auto"/>
              </w:rPr>
            </w:pPr>
          </w:p>
        </w:tc>
        <w:tc>
          <w:tcPr>
            <w:tcW w:w="868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9</w:t>
            </w:r>
          </w:p>
        </w:tc>
      </w:tr>
      <w:tr>
        <w:trPr>
          <w:trHeight w:val="108"/>
        </w:trPr>
        <w:tc>
          <w:tcPr>
            <w:tcW w:w="2560" w:type="dxa"/>
            <w:vAlign w:val="bottom"/>
            <w:tcBorders>
              <w:bottom w:val="single" w:sz="8" w:color="9A9A9A"/>
            </w:tcBorders>
          </w:tcPr>
          <w:p>
            <w:pPr>
              <w:spacing w:after="0"/>
              <w:rPr>
                <w:sz w:val="9"/>
                <w:szCs w:val="9"/>
                <w:color w:val="auto"/>
              </w:rPr>
            </w:pPr>
          </w:p>
        </w:tc>
        <w:tc>
          <w:tcPr>
            <w:tcW w:w="8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DFW Midstream</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DFW Midstream Services LLC</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DJ Basin</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Denver-Julesburg Basin</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Dodd-Frank Act</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Dodd-Frank Wall Street Reform and Consumer Protection Act of 2010</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2"/>
        </w:trPr>
        <w:tc>
          <w:tcPr>
            <w:tcW w:w="2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DOI</w:t>
            </w:r>
          </w:p>
        </w:tc>
        <w:tc>
          <w:tcPr>
            <w:tcW w:w="8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U.S. Department of the Interior</w:t>
            </w:r>
          </w:p>
        </w:tc>
      </w:tr>
      <w:tr>
        <w:trPr>
          <w:trHeight w:val="257"/>
        </w:trPr>
        <w:tc>
          <w:tcPr>
            <w:tcW w:w="2300" w:type="dxa"/>
            <w:vAlign w:val="bottom"/>
            <w:shd w:val="clear" w:color="auto" w:fill="CCEEFF"/>
          </w:tcPr>
          <w:p>
            <w:pPr>
              <w:spacing w:after="0"/>
              <w:rPr>
                <w:sz w:val="22"/>
                <w:szCs w:val="22"/>
                <w:color w:val="auto"/>
              </w:rPr>
            </w:pPr>
          </w:p>
        </w:tc>
        <w:tc>
          <w:tcPr>
            <w:tcW w:w="8940" w:type="dxa"/>
            <w:vAlign w:val="bottom"/>
            <w:shd w:val="clear" w:color="auto" w:fill="CCEEFF"/>
          </w:tcPr>
          <w:p>
            <w:pPr>
              <w:spacing w:after="0"/>
              <w:rPr>
                <w:sz w:val="22"/>
                <w:szCs w:val="22"/>
                <w:color w:val="auto"/>
              </w:rPr>
            </w:pP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DOJ</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U.S. Department of Justice</w:t>
            </w:r>
          </w:p>
        </w:tc>
      </w:tr>
      <w:tr>
        <w:trPr>
          <w:trHeight w:val="257"/>
        </w:trPr>
        <w:tc>
          <w:tcPr>
            <w:tcW w:w="2300" w:type="dxa"/>
            <w:vAlign w:val="bottom"/>
          </w:tcPr>
          <w:p>
            <w:pPr>
              <w:spacing w:after="0"/>
              <w:rPr>
                <w:sz w:val="22"/>
                <w:szCs w:val="22"/>
                <w:color w:val="auto"/>
              </w:rPr>
            </w:pPr>
          </w:p>
        </w:tc>
        <w:tc>
          <w:tcPr>
            <w:tcW w:w="8940" w:type="dxa"/>
            <w:vAlign w:val="bottom"/>
          </w:tcPr>
          <w:p>
            <w:pPr>
              <w:spacing w:after="0"/>
              <w:rPr>
                <w:sz w:val="22"/>
                <w:szCs w:val="2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DOT</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U.S. Department of Transportation</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Double E</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Double E Pipeline, LLC</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16"/>
        </w:trPr>
        <w:tc>
          <w:tcPr>
            <w:tcW w:w="2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Double E Pipeline</w:t>
            </w:r>
          </w:p>
        </w:tc>
        <w:tc>
          <w:tcPr>
            <w:tcW w:w="8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 135 mile, 1.6 Bcf/d, FERC-regulated interstate natural gas transmission pipeline provides transportation service from</w:t>
            </w:r>
          </w:p>
        </w:tc>
      </w:tr>
      <w:tr>
        <w:trPr>
          <w:trHeight w:val="228"/>
        </w:trPr>
        <w:tc>
          <w:tcPr>
            <w:tcW w:w="2300" w:type="dxa"/>
            <w:vAlign w:val="bottom"/>
            <w:tcBorders>
              <w:bottom w:val="single" w:sz="8" w:color="CCEEFF"/>
            </w:tcBorders>
            <w:shd w:val="clear" w:color="auto" w:fill="CCEEFF"/>
          </w:tcPr>
          <w:p>
            <w:pPr>
              <w:spacing w:after="0"/>
              <w:rPr>
                <w:sz w:val="19"/>
                <w:szCs w:val="19"/>
                <w:color w:val="auto"/>
              </w:rPr>
            </w:pP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multiple receipt points in the Delaware Basin to various delivery points in and around the Waha hub in Texas</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Dth/d</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one million British Thermal Units per day</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EPA</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Environmental Protection Agency</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Epping</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Epping Transmission Company, LLC</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Epping Pipeline</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an interstate crude oil pipeline in North Dakota, owned and operated by Epping</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EPS</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earnings or loss per share</w:t>
            </w:r>
          </w:p>
        </w:tc>
      </w:tr>
      <w:tr>
        <w:trPr>
          <w:trHeight w:val="257"/>
        </w:trPr>
        <w:tc>
          <w:tcPr>
            <w:tcW w:w="2300" w:type="dxa"/>
            <w:vAlign w:val="bottom"/>
          </w:tcPr>
          <w:p>
            <w:pPr>
              <w:spacing w:after="0"/>
              <w:rPr>
                <w:sz w:val="22"/>
                <w:szCs w:val="22"/>
                <w:color w:val="auto"/>
              </w:rPr>
            </w:pPr>
          </w:p>
        </w:tc>
        <w:tc>
          <w:tcPr>
            <w:tcW w:w="8940" w:type="dxa"/>
            <w:vAlign w:val="bottom"/>
          </w:tcPr>
          <w:p>
            <w:pPr>
              <w:spacing w:after="0"/>
              <w:rPr>
                <w:sz w:val="22"/>
                <w:szCs w:val="22"/>
                <w:color w:val="auto"/>
              </w:rPr>
            </w:pPr>
          </w:p>
        </w:tc>
      </w:tr>
      <w:tr>
        <w:trPr>
          <w:trHeight w:val="232"/>
        </w:trPr>
        <w:tc>
          <w:tcPr>
            <w:tcW w:w="2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ESA</w:t>
            </w:r>
          </w:p>
        </w:tc>
        <w:tc>
          <w:tcPr>
            <w:tcW w:w="8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Endangered Species Act</w:t>
            </w:r>
          </w:p>
        </w:tc>
      </w:tr>
      <w:tr>
        <w:trPr>
          <w:trHeight w:val="257"/>
        </w:trPr>
        <w:tc>
          <w:tcPr>
            <w:tcW w:w="2300" w:type="dxa"/>
            <w:vAlign w:val="bottom"/>
            <w:shd w:val="clear" w:color="auto" w:fill="CCEEFF"/>
          </w:tcPr>
          <w:p>
            <w:pPr>
              <w:spacing w:after="0"/>
              <w:rPr>
                <w:sz w:val="22"/>
                <w:szCs w:val="22"/>
                <w:color w:val="auto"/>
              </w:rPr>
            </w:pPr>
          </w:p>
        </w:tc>
        <w:tc>
          <w:tcPr>
            <w:tcW w:w="8940" w:type="dxa"/>
            <w:vAlign w:val="bottom"/>
            <w:shd w:val="clear" w:color="auto" w:fill="CCEEFF"/>
          </w:tcPr>
          <w:p>
            <w:pPr>
              <w:spacing w:after="0"/>
              <w:rPr>
                <w:sz w:val="22"/>
                <w:szCs w:val="22"/>
                <w:color w:val="auto"/>
              </w:rPr>
            </w:pP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Exchange Act</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Securities Exchange Act of 1934, as amended</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FASB</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Financial Accounting Standards Board</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FERC</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Federal Energy Regulatory Commission</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Finance Corp.</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Summit Midstream Finance Corp.</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FTC</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Federal Trade Commission</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Fundare</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Fundare Resources Company, LLC</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GAAP</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accounting principles generally accepted in the United States of America</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2"/>
        </w:trPr>
        <w:tc>
          <w:tcPr>
            <w:tcW w:w="2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GDPR</w:t>
            </w:r>
          </w:p>
        </w:tc>
        <w:tc>
          <w:tcPr>
            <w:tcW w:w="8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European Union General Data Protection Regulation</w:t>
            </w:r>
          </w:p>
        </w:tc>
      </w:tr>
      <w:tr>
        <w:trPr>
          <w:trHeight w:val="257"/>
        </w:trPr>
        <w:tc>
          <w:tcPr>
            <w:tcW w:w="2300" w:type="dxa"/>
            <w:vAlign w:val="bottom"/>
            <w:shd w:val="clear" w:color="auto" w:fill="CCEEFF"/>
          </w:tcPr>
          <w:p>
            <w:pPr>
              <w:spacing w:after="0"/>
              <w:rPr>
                <w:sz w:val="22"/>
                <w:szCs w:val="22"/>
                <w:color w:val="auto"/>
              </w:rPr>
            </w:pPr>
          </w:p>
        </w:tc>
        <w:tc>
          <w:tcPr>
            <w:tcW w:w="8940" w:type="dxa"/>
            <w:vAlign w:val="bottom"/>
            <w:shd w:val="clear" w:color="auto" w:fill="CCEEFF"/>
          </w:tcPr>
          <w:p>
            <w:pPr>
              <w:spacing w:after="0"/>
              <w:rPr>
                <w:sz w:val="22"/>
                <w:szCs w:val="22"/>
                <w:color w:val="auto"/>
              </w:rPr>
            </w:pP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Partner</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Summit Midstream GP, LLC</w:t>
            </w:r>
          </w:p>
        </w:tc>
      </w:tr>
      <w:tr>
        <w:trPr>
          <w:trHeight w:val="25"/>
        </w:trPr>
        <w:tc>
          <w:tcPr>
            <w:tcW w:w="230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38"/>
        </w:trPr>
        <w:tc>
          <w:tcPr>
            <w:tcW w:w="2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GHG</w:t>
            </w:r>
          </w:p>
        </w:tc>
        <w:tc>
          <w:tcPr>
            <w:tcW w:w="8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greenhouse gas(es)</w:t>
            </w:r>
          </w:p>
        </w:tc>
      </w:tr>
      <w:tr>
        <w:trPr>
          <w:trHeight w:val="232"/>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Grand River</w:t>
            </w:r>
          </w:p>
        </w:tc>
        <w:tc>
          <w:tcPr>
            <w:tcW w:w="89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Grand River Gathering, LLC</w:t>
            </w:r>
          </w:p>
        </w:tc>
      </w:tr>
      <w:tr>
        <w:trPr>
          <w:trHeight w:val="890"/>
        </w:trPr>
        <w:tc>
          <w:tcPr>
            <w:tcW w:w="2300" w:type="dxa"/>
            <w:vAlign w:val="bottom"/>
          </w:tcPr>
          <w:p>
            <w:pPr>
              <w:spacing w:after="0"/>
              <w:rPr>
                <w:sz w:val="24"/>
                <w:szCs w:val="24"/>
                <w:color w:val="auto"/>
              </w:rPr>
            </w:pPr>
          </w:p>
        </w:tc>
        <w:tc>
          <w:tcPr>
            <w:tcW w:w="8940" w:type="dxa"/>
            <w:vAlign w:val="bottom"/>
          </w:tcPr>
          <w:p>
            <w:pPr>
              <w:ind w:left="3240"/>
              <w:spacing w:after="0"/>
              <w:rPr>
                <w:sz w:val="20"/>
                <w:szCs w:val="20"/>
                <w:color w:val="auto"/>
              </w:rPr>
            </w:pPr>
            <w:r>
              <w:rPr>
                <w:rFonts w:ascii="Times New Roman" w:cs="Times New Roman" w:eastAsia="Times New Roman" w:hAnsi="Times New Roman"/>
                <w:sz w:val="17"/>
                <w:szCs w:val="17"/>
                <w:color w:val="auto"/>
              </w:rPr>
              <w:t>10</w:t>
            </w:r>
          </w:p>
        </w:tc>
      </w:tr>
      <w:tr>
        <w:trPr>
          <w:trHeight w:val="108"/>
        </w:trPr>
        <w:tc>
          <w:tcPr>
            <w:tcW w:w="2300" w:type="dxa"/>
            <w:vAlign w:val="bottom"/>
            <w:tcBorders>
              <w:bottom w:val="single" w:sz="8" w:color="9A9A9A"/>
            </w:tcBorders>
          </w:tcPr>
          <w:p>
            <w:pPr>
              <w:spacing w:after="0"/>
              <w:rPr>
                <w:sz w:val="9"/>
                <w:szCs w:val="9"/>
                <w:color w:val="auto"/>
              </w:rPr>
            </w:pPr>
          </w:p>
        </w:tc>
        <w:tc>
          <w:tcPr>
            <w:tcW w:w="8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8"/>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hub</w:t>
            </w: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geographic location of a storage facility and multiple pipeline interconnections</w:t>
            </w: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ICA</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Interstate Commerce Act</w:t>
            </w:r>
          </w:p>
        </w:tc>
      </w:tr>
      <w:tr>
        <w:trPr>
          <w:trHeight w:val="25"/>
        </w:trPr>
        <w:tc>
          <w:tcPr>
            <w:tcW w:w="252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16"/>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Intercreditor Agreement</w:t>
            </w: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Intercreditor Agreement, dated as of November 2, 2021, by and among Bank of America, N.A., as first lien</w:t>
            </w:r>
          </w:p>
        </w:tc>
      </w:tr>
      <w:tr>
        <w:trPr>
          <w:trHeight w:val="206"/>
        </w:trPr>
        <w:tc>
          <w:tcPr>
            <w:tcW w:w="2520" w:type="dxa"/>
            <w:vAlign w:val="bottom"/>
            <w:shd w:val="clear" w:color="auto" w:fill="CCEEFF"/>
          </w:tcPr>
          <w:p>
            <w:pPr>
              <w:spacing w:after="0"/>
              <w:rPr>
                <w:sz w:val="17"/>
                <w:szCs w:val="17"/>
                <w:color w:val="auto"/>
              </w:rPr>
            </w:pP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representative and collateral agent for the initial first lien claimholders, Regions Bank, as second lien representative for</w:t>
            </w:r>
          </w:p>
        </w:tc>
      </w:tr>
      <w:tr>
        <w:trPr>
          <w:trHeight w:val="206"/>
        </w:trPr>
        <w:tc>
          <w:tcPr>
            <w:tcW w:w="2520" w:type="dxa"/>
            <w:vAlign w:val="bottom"/>
            <w:shd w:val="clear" w:color="auto" w:fill="CCEEFF"/>
          </w:tcPr>
          <w:p>
            <w:pPr>
              <w:spacing w:after="0"/>
              <w:rPr>
                <w:sz w:val="17"/>
                <w:szCs w:val="17"/>
                <w:color w:val="auto"/>
              </w:rPr>
            </w:pP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the initial second lien claimholders and as collateral agent for the initial second lien claimholders, acknowledged and</w:t>
            </w:r>
          </w:p>
        </w:tc>
      </w:tr>
      <w:tr>
        <w:trPr>
          <w:trHeight w:val="206"/>
        </w:trPr>
        <w:tc>
          <w:tcPr>
            <w:tcW w:w="2520" w:type="dxa"/>
            <w:vAlign w:val="bottom"/>
            <w:shd w:val="clear" w:color="auto" w:fill="CCEEFF"/>
          </w:tcPr>
          <w:p>
            <w:pPr>
              <w:spacing w:after="0"/>
              <w:rPr>
                <w:sz w:val="17"/>
                <w:szCs w:val="17"/>
                <w:color w:val="auto"/>
              </w:rPr>
            </w:pP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agreed to by Summit Holdings and the other grantors referred to therein as reaffirmed and modified by</w:t>
            </w:r>
          </w:p>
        </w:tc>
      </w:tr>
      <w:tr>
        <w:trPr>
          <w:trHeight w:val="223"/>
        </w:trPr>
        <w:tc>
          <w:tcPr>
            <w:tcW w:w="2520" w:type="dxa"/>
            <w:vAlign w:val="bottom"/>
            <w:shd w:val="clear" w:color="auto" w:fill="CCEEFF"/>
          </w:tcPr>
          <w:p>
            <w:pPr>
              <w:spacing w:after="0"/>
              <w:rPr>
                <w:sz w:val="19"/>
                <w:szCs w:val="19"/>
                <w:color w:val="auto"/>
              </w:rPr>
            </w:pP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the Notice of Reaffirmation</w:t>
            </w:r>
          </w:p>
        </w:tc>
      </w:tr>
      <w:tr>
        <w:trPr>
          <w:trHeight w:val="257"/>
        </w:trPr>
        <w:tc>
          <w:tcPr>
            <w:tcW w:w="2520" w:type="dxa"/>
            <w:vAlign w:val="bottom"/>
            <w:shd w:val="clear" w:color="auto" w:fill="CCEEFF"/>
          </w:tcPr>
          <w:p>
            <w:pPr>
              <w:spacing w:after="0"/>
              <w:rPr>
                <w:sz w:val="22"/>
                <w:szCs w:val="22"/>
                <w:color w:val="auto"/>
              </w:rPr>
            </w:pPr>
          </w:p>
        </w:tc>
        <w:tc>
          <w:tcPr>
            <w:tcW w:w="8720" w:type="dxa"/>
            <w:vAlign w:val="bottom"/>
            <w:shd w:val="clear" w:color="auto" w:fill="CCEEFF"/>
          </w:tcPr>
          <w:p>
            <w:pPr>
              <w:spacing w:after="0"/>
              <w:rPr>
                <w:sz w:val="22"/>
                <w:szCs w:val="22"/>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IRA</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Inflation Reduction Act</w:t>
            </w:r>
          </w:p>
        </w:tc>
      </w:tr>
      <w:tr>
        <w:trPr>
          <w:trHeight w:val="257"/>
        </w:trPr>
        <w:tc>
          <w:tcPr>
            <w:tcW w:w="2520" w:type="dxa"/>
            <w:vAlign w:val="bottom"/>
          </w:tcPr>
          <w:p>
            <w:pPr>
              <w:spacing w:after="0"/>
              <w:rPr>
                <w:sz w:val="22"/>
                <w:szCs w:val="22"/>
                <w:color w:val="auto"/>
              </w:rPr>
            </w:pPr>
          </w:p>
        </w:tc>
        <w:tc>
          <w:tcPr>
            <w:tcW w:w="8720" w:type="dxa"/>
            <w:vAlign w:val="bottom"/>
          </w:tcPr>
          <w:p>
            <w:pPr>
              <w:spacing w:after="0"/>
              <w:rPr>
                <w:sz w:val="22"/>
                <w:szCs w:val="2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IRS</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Internal Revenue Service</w:t>
            </w: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IT</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information technology</w:t>
            </w:r>
          </w:p>
        </w:tc>
      </w:tr>
      <w:tr>
        <w:trPr>
          <w:trHeight w:val="257"/>
        </w:trPr>
        <w:tc>
          <w:tcPr>
            <w:tcW w:w="2520" w:type="dxa"/>
            <w:vAlign w:val="bottom"/>
          </w:tcPr>
          <w:p>
            <w:pPr>
              <w:spacing w:after="0"/>
              <w:rPr>
                <w:sz w:val="22"/>
                <w:szCs w:val="22"/>
                <w:color w:val="auto"/>
              </w:rPr>
            </w:pPr>
          </w:p>
        </w:tc>
        <w:tc>
          <w:tcPr>
            <w:tcW w:w="8720" w:type="dxa"/>
            <w:vAlign w:val="bottom"/>
          </w:tcPr>
          <w:p>
            <w:pPr>
              <w:spacing w:after="0"/>
              <w:rPr>
                <w:sz w:val="22"/>
                <w:szCs w:val="2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LIBOR</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London Interbank Offered Rate</w:t>
            </w: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LNG</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liquefied natural gas</w:t>
            </w:r>
          </w:p>
        </w:tc>
      </w:tr>
      <w:tr>
        <w:trPr>
          <w:trHeight w:val="257"/>
        </w:trPr>
        <w:tc>
          <w:tcPr>
            <w:tcW w:w="2520" w:type="dxa"/>
            <w:vAlign w:val="bottom"/>
          </w:tcPr>
          <w:p>
            <w:pPr>
              <w:spacing w:after="0"/>
              <w:rPr>
                <w:sz w:val="22"/>
                <w:szCs w:val="22"/>
                <w:color w:val="auto"/>
              </w:rPr>
            </w:pPr>
          </w:p>
        </w:tc>
        <w:tc>
          <w:tcPr>
            <w:tcW w:w="8720" w:type="dxa"/>
            <w:vAlign w:val="bottom"/>
          </w:tcPr>
          <w:p>
            <w:pPr>
              <w:spacing w:after="0"/>
              <w:rPr>
                <w:sz w:val="22"/>
                <w:szCs w:val="22"/>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MAOP</w:t>
            </w:r>
          </w:p>
        </w:tc>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Maximum Allowable Operating Pressure</w:t>
            </w:r>
          </w:p>
        </w:tc>
      </w:tr>
      <w:tr>
        <w:trPr>
          <w:trHeight w:val="257"/>
        </w:trPr>
        <w:tc>
          <w:tcPr>
            <w:tcW w:w="2520" w:type="dxa"/>
            <w:vAlign w:val="bottom"/>
            <w:shd w:val="clear" w:color="auto" w:fill="CCEEFF"/>
          </w:tcPr>
          <w:p>
            <w:pPr>
              <w:spacing w:after="0"/>
              <w:rPr>
                <w:sz w:val="22"/>
                <w:szCs w:val="22"/>
                <w:color w:val="auto"/>
              </w:rPr>
            </w:pPr>
          </w:p>
        </w:tc>
        <w:tc>
          <w:tcPr>
            <w:tcW w:w="8720" w:type="dxa"/>
            <w:vAlign w:val="bottom"/>
            <w:shd w:val="clear" w:color="auto" w:fill="CCEEFF"/>
          </w:tcPr>
          <w:p>
            <w:pPr>
              <w:spacing w:after="0"/>
              <w:rPr>
                <w:sz w:val="22"/>
                <w:szCs w:val="22"/>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Mbbl/d</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one thousand barrels per day</w:t>
            </w:r>
          </w:p>
        </w:tc>
      </w:tr>
      <w:tr>
        <w:trPr>
          <w:trHeight w:val="25"/>
        </w:trPr>
        <w:tc>
          <w:tcPr>
            <w:tcW w:w="252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MDTQ</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maximum daily transportation quantity</w:t>
            </w: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Meadowlark Midstream</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Meadowlark Midstream Company, LLC</w:t>
            </w:r>
          </w:p>
        </w:tc>
      </w:tr>
      <w:tr>
        <w:trPr>
          <w:trHeight w:val="25"/>
        </w:trPr>
        <w:tc>
          <w:tcPr>
            <w:tcW w:w="252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MMBtu</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metric million British thermal units</w:t>
            </w: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MMcf</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one million cubic feet</w:t>
            </w:r>
          </w:p>
        </w:tc>
      </w:tr>
      <w:tr>
        <w:trPr>
          <w:trHeight w:val="25"/>
        </w:trPr>
        <w:tc>
          <w:tcPr>
            <w:tcW w:w="252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MMcf/d</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one million cubic feet per day</w:t>
            </w:r>
          </w:p>
        </w:tc>
      </w:tr>
      <w:tr>
        <w:trPr>
          <w:trHeight w:val="190"/>
        </w:trPr>
        <w:tc>
          <w:tcPr>
            <w:tcW w:w="2520" w:type="dxa"/>
            <w:vAlign w:val="bottom"/>
          </w:tcPr>
          <w:p>
            <w:pPr>
              <w:ind w:left="320"/>
              <w:spacing w:after="0" w:line="190" w:lineRule="exact"/>
              <w:rPr>
                <w:sz w:val="20"/>
                <w:szCs w:val="20"/>
                <w:color w:val="auto"/>
              </w:rPr>
            </w:pPr>
            <w:r>
              <w:rPr>
                <w:rFonts w:ascii="Times New Roman" w:cs="Times New Roman" w:eastAsia="Times New Roman" w:hAnsi="Times New Roman"/>
                <w:sz w:val="17"/>
                <w:szCs w:val="17"/>
                <w:color w:val="auto"/>
              </w:rPr>
              <w:t>MMcfe/d</w:t>
            </w:r>
          </w:p>
        </w:tc>
        <w:tc>
          <w:tcPr>
            <w:tcW w:w="8720" w:type="dxa"/>
            <w:vAlign w:val="bottom"/>
          </w:tcPr>
          <w:p>
            <w:pPr>
              <w:ind w:left="480"/>
              <w:spacing w:after="0" w:line="190" w:lineRule="exact"/>
              <w:rPr>
                <w:sz w:val="20"/>
                <w:szCs w:val="20"/>
                <w:color w:val="auto"/>
              </w:rPr>
            </w:pPr>
            <w:r>
              <w:rPr>
                <w:rFonts w:ascii="Times New Roman" w:cs="Times New Roman" w:eastAsia="Times New Roman" w:hAnsi="Times New Roman"/>
                <w:sz w:val="17"/>
                <w:szCs w:val="17"/>
                <w:color w:val="auto"/>
              </w:rPr>
              <w:t>the equivalent of one million cubic feet per day; determined using a ratio of six thousand cubic feet of natural gas to</w:t>
            </w:r>
          </w:p>
        </w:tc>
      </w:tr>
      <w:tr>
        <w:trPr>
          <w:trHeight w:val="223"/>
        </w:trPr>
        <w:tc>
          <w:tcPr>
            <w:tcW w:w="2520" w:type="dxa"/>
            <w:vAlign w:val="bottom"/>
          </w:tcPr>
          <w:p>
            <w:pPr>
              <w:spacing w:after="0"/>
              <w:rPr>
                <w:sz w:val="19"/>
                <w:szCs w:val="19"/>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one barrel of liquids</w:t>
            </w:r>
          </w:p>
        </w:tc>
      </w:tr>
      <w:tr>
        <w:trPr>
          <w:trHeight w:val="257"/>
        </w:trPr>
        <w:tc>
          <w:tcPr>
            <w:tcW w:w="2520" w:type="dxa"/>
            <w:vAlign w:val="bottom"/>
          </w:tcPr>
          <w:p>
            <w:pPr>
              <w:spacing w:after="0"/>
              <w:rPr>
                <w:sz w:val="22"/>
                <w:szCs w:val="22"/>
                <w:color w:val="auto"/>
              </w:rPr>
            </w:pPr>
          </w:p>
        </w:tc>
        <w:tc>
          <w:tcPr>
            <w:tcW w:w="8720" w:type="dxa"/>
            <w:vAlign w:val="bottom"/>
          </w:tcPr>
          <w:p>
            <w:pPr>
              <w:spacing w:after="0"/>
              <w:rPr>
                <w:sz w:val="22"/>
                <w:szCs w:val="2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Moonrise</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Moonrise Midstream, LLC</w:t>
            </w:r>
          </w:p>
        </w:tc>
      </w:tr>
      <w:tr>
        <w:trPr>
          <w:trHeight w:val="216"/>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Moonrise Acquisition</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acquisition of Moonrise from Fundare for approximately $90.0 million, consisting of (i) a $70.0 million cash</w:t>
            </w:r>
          </w:p>
        </w:tc>
      </w:tr>
      <w:tr>
        <w:trPr>
          <w:trHeight w:val="223"/>
        </w:trPr>
        <w:tc>
          <w:tcPr>
            <w:tcW w:w="2520" w:type="dxa"/>
            <w:vAlign w:val="bottom"/>
          </w:tcPr>
          <w:p>
            <w:pPr>
              <w:spacing w:after="0"/>
              <w:rPr>
                <w:sz w:val="19"/>
                <w:szCs w:val="19"/>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payment and (ii) the issuance of 462,265 shares of common stock of the Company</w:t>
            </w:r>
          </w:p>
        </w:tc>
      </w:tr>
      <w:tr>
        <w:trPr>
          <w:trHeight w:val="25"/>
        </w:trPr>
        <w:tc>
          <w:tcPr>
            <w:tcW w:w="252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Mountaineer Midstream</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Mountaineer Midstream Company, LLC</w:t>
            </w:r>
          </w:p>
        </w:tc>
      </w:tr>
      <w:tr>
        <w:trPr>
          <w:trHeight w:val="216"/>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Mountaineer Transaction</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sale of the Mountaineer Midstream system to Antero Midstream LLC for a cash sale</w:t>
            </w:r>
          </w:p>
        </w:tc>
      </w:tr>
      <w:tr>
        <w:trPr>
          <w:trHeight w:val="223"/>
        </w:trPr>
        <w:tc>
          <w:tcPr>
            <w:tcW w:w="2520" w:type="dxa"/>
            <w:vAlign w:val="bottom"/>
          </w:tcPr>
          <w:p>
            <w:pPr>
              <w:spacing w:after="0"/>
              <w:rPr>
                <w:sz w:val="19"/>
                <w:szCs w:val="19"/>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price of $70 million, subject to customary post-closing adjustments</w:t>
            </w:r>
          </w:p>
        </w:tc>
      </w:tr>
      <w:tr>
        <w:trPr>
          <w:trHeight w:val="257"/>
        </w:trPr>
        <w:tc>
          <w:tcPr>
            <w:tcW w:w="2520" w:type="dxa"/>
            <w:vAlign w:val="bottom"/>
          </w:tcPr>
          <w:p>
            <w:pPr>
              <w:spacing w:after="0"/>
              <w:rPr>
                <w:sz w:val="22"/>
                <w:szCs w:val="22"/>
                <w:color w:val="auto"/>
              </w:rPr>
            </w:pPr>
          </w:p>
        </w:tc>
        <w:tc>
          <w:tcPr>
            <w:tcW w:w="8720" w:type="dxa"/>
            <w:vAlign w:val="bottom"/>
          </w:tcPr>
          <w:p>
            <w:pPr>
              <w:spacing w:after="0"/>
              <w:rPr>
                <w:sz w:val="22"/>
                <w:szCs w:val="22"/>
                <w:color w:val="auto"/>
              </w:rPr>
            </w:pPr>
          </w:p>
        </w:tc>
      </w:tr>
      <w:tr>
        <w:trPr>
          <w:trHeight w:val="238"/>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MVC</w:t>
            </w:r>
          </w:p>
        </w:tc>
        <w:tc>
          <w:tcPr>
            <w:tcW w:w="8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minimum volume commitment</w:t>
            </w: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NAAQS</w:t>
            </w:r>
          </w:p>
        </w:tc>
        <w:tc>
          <w:tcPr>
            <w:tcW w:w="8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national ambient air quality standard</w:t>
            </w:r>
          </w:p>
        </w:tc>
      </w:tr>
      <w:tr>
        <w:trPr>
          <w:trHeight w:val="890"/>
        </w:trPr>
        <w:tc>
          <w:tcPr>
            <w:tcW w:w="2520" w:type="dxa"/>
            <w:vAlign w:val="bottom"/>
          </w:tcPr>
          <w:p>
            <w:pPr>
              <w:spacing w:after="0"/>
              <w:rPr>
                <w:sz w:val="24"/>
                <w:szCs w:val="24"/>
                <w:color w:val="auto"/>
              </w:rPr>
            </w:pPr>
          </w:p>
        </w:tc>
        <w:tc>
          <w:tcPr>
            <w:tcW w:w="872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11</w:t>
            </w:r>
          </w:p>
        </w:tc>
      </w:tr>
      <w:tr>
        <w:trPr>
          <w:trHeight w:val="108"/>
        </w:trPr>
        <w:tc>
          <w:tcPr>
            <w:tcW w:w="2520" w:type="dxa"/>
            <w:vAlign w:val="bottom"/>
            <w:tcBorders>
              <w:bottom w:val="single" w:sz="8" w:color="9A9A9A"/>
            </w:tcBorders>
          </w:tcPr>
          <w:p>
            <w:pPr>
              <w:spacing w:after="0"/>
              <w:rPr>
                <w:sz w:val="9"/>
                <w:szCs w:val="9"/>
                <w:color w:val="auto"/>
              </w:rPr>
            </w:pPr>
          </w:p>
        </w:tc>
        <w:tc>
          <w:tcPr>
            <w:tcW w:w="8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8"/>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NEPA</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National Environmental Policy Act</w:t>
            </w:r>
          </w:p>
        </w:tc>
      </w:tr>
      <w:tr>
        <w:trPr>
          <w:trHeight w:val="216"/>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New Permian Transmission Facility</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March 16, 2026, $440.0 million refinancing of the Permian Transmission Credit Facilities and the Permian Term</w:t>
            </w:r>
          </w:p>
        </w:tc>
      </w:tr>
      <w:tr>
        <w:trPr>
          <w:trHeight w:val="223"/>
        </w:trPr>
        <w:tc>
          <w:tcPr>
            <w:tcW w:w="2900" w:type="dxa"/>
            <w:vAlign w:val="bottom"/>
          </w:tcPr>
          <w:p>
            <w:pPr>
              <w:spacing w:after="0"/>
              <w:rPr>
                <w:sz w:val="19"/>
                <w:szCs w:val="19"/>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Loan Facility, in the form of a new term loan facility</w:t>
            </w:r>
          </w:p>
        </w:tc>
      </w:tr>
      <w:tr>
        <w:trPr>
          <w:trHeight w:val="232"/>
        </w:trPr>
        <w:tc>
          <w:tcPr>
            <w:tcW w:w="2900" w:type="dxa"/>
            <w:vAlign w:val="bottom"/>
          </w:tcPr>
          <w:p>
            <w:pPr>
              <w:spacing w:after="0"/>
              <w:rPr>
                <w:sz w:val="20"/>
                <w:szCs w:val="20"/>
                <w:color w:val="auto"/>
              </w:rPr>
            </w:pPr>
          </w:p>
        </w:tc>
        <w:tc>
          <w:tcPr>
            <w:tcW w:w="8340" w:type="dxa"/>
            <w:vAlign w:val="bottom"/>
          </w:tcPr>
          <w:p>
            <w:pPr>
              <w:spacing w:after="0"/>
              <w:rPr>
                <w:sz w:val="20"/>
                <w:szCs w:val="20"/>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NDIC</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North Dakota Industrial Commission</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NGA</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Natural Gas Act</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16"/>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NGLs</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natural gas liquids; the combination of ethane, propane, normal butane, iso-butane, and natural gasolines that when</w:t>
            </w:r>
          </w:p>
        </w:tc>
      </w:tr>
      <w:tr>
        <w:trPr>
          <w:trHeight w:val="206"/>
        </w:trPr>
        <w:tc>
          <w:tcPr>
            <w:tcW w:w="2900" w:type="dxa"/>
            <w:vAlign w:val="bottom"/>
            <w:shd w:val="clear" w:color="auto" w:fill="CCEEFF"/>
          </w:tcPr>
          <w:p>
            <w:pPr>
              <w:spacing w:after="0"/>
              <w:rPr>
                <w:sz w:val="17"/>
                <w:szCs w:val="17"/>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removed from unprocessed natural gas streams become liquid under various levels of higher pressure and lower</w:t>
            </w:r>
          </w:p>
        </w:tc>
      </w:tr>
      <w:tr>
        <w:trPr>
          <w:trHeight w:val="228"/>
        </w:trPr>
        <w:tc>
          <w:tcPr>
            <w:tcW w:w="290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temperature</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NGPA</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Natural Gas Policy Act of 1978</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Niobrara G&amp;P</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Niobrara Gathering and Processing system</w:t>
            </w:r>
          </w:p>
        </w:tc>
      </w:tr>
      <w:tr>
        <w:trPr>
          <w:trHeight w:val="216"/>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Notice of Reaffirmation</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 and Reaffirmation of Intercreditor Agreement, dated as of July 26, 2024, by and</w:t>
            </w:r>
          </w:p>
        </w:tc>
      </w:tr>
      <w:tr>
        <w:trPr>
          <w:trHeight w:val="206"/>
        </w:trPr>
        <w:tc>
          <w:tcPr>
            <w:tcW w:w="2900" w:type="dxa"/>
            <w:vAlign w:val="bottom"/>
          </w:tcPr>
          <w:p>
            <w:pPr>
              <w:spacing w:after="0"/>
              <w:rPr>
                <w:sz w:val="17"/>
                <w:szCs w:val="17"/>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among Bank of America, N.A., as first lien representative and collateral agent for the initial</w:t>
            </w:r>
          </w:p>
        </w:tc>
      </w:tr>
      <w:tr>
        <w:trPr>
          <w:trHeight w:val="206"/>
        </w:trPr>
        <w:tc>
          <w:tcPr>
            <w:tcW w:w="2900" w:type="dxa"/>
            <w:vAlign w:val="bottom"/>
          </w:tcPr>
          <w:p>
            <w:pPr>
              <w:spacing w:after="0"/>
              <w:rPr>
                <w:sz w:val="17"/>
                <w:szCs w:val="17"/>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first lien claimholders, Regions Bank, as second lien representative and collateral agent for</w:t>
            </w:r>
          </w:p>
        </w:tc>
      </w:tr>
      <w:tr>
        <w:trPr>
          <w:trHeight w:val="206"/>
        </w:trPr>
        <w:tc>
          <w:tcPr>
            <w:tcW w:w="2900" w:type="dxa"/>
            <w:vAlign w:val="bottom"/>
          </w:tcPr>
          <w:p>
            <w:pPr>
              <w:spacing w:after="0"/>
              <w:rPr>
                <w:sz w:val="17"/>
                <w:szCs w:val="17"/>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initial second lien claimholders, acknowledged and agreed to by Summit Holdings and</w:t>
            </w:r>
          </w:p>
        </w:tc>
      </w:tr>
      <w:tr>
        <w:trPr>
          <w:trHeight w:val="223"/>
        </w:trPr>
        <w:tc>
          <w:tcPr>
            <w:tcW w:w="2900" w:type="dxa"/>
            <w:vAlign w:val="bottom"/>
          </w:tcPr>
          <w:p>
            <w:pPr>
              <w:spacing w:after="0"/>
              <w:rPr>
                <w:sz w:val="19"/>
                <w:szCs w:val="19"/>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other grantors referred to therein</w:t>
            </w:r>
          </w:p>
        </w:tc>
      </w:tr>
      <w:tr>
        <w:trPr>
          <w:trHeight w:val="257"/>
        </w:trPr>
        <w:tc>
          <w:tcPr>
            <w:tcW w:w="2900" w:type="dxa"/>
            <w:vAlign w:val="bottom"/>
          </w:tcPr>
          <w:p>
            <w:pPr>
              <w:spacing w:after="0"/>
              <w:rPr>
                <w:sz w:val="22"/>
                <w:szCs w:val="22"/>
                <w:color w:val="auto"/>
              </w:rPr>
            </w:pPr>
          </w:p>
        </w:tc>
        <w:tc>
          <w:tcPr>
            <w:tcW w:w="8340" w:type="dxa"/>
            <w:vAlign w:val="bottom"/>
          </w:tcPr>
          <w:p>
            <w:pPr>
              <w:spacing w:after="0"/>
              <w:rPr>
                <w:sz w:val="22"/>
                <w:szCs w:val="2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NYSE</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OCC</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Ohio Condensate Company, L.L.C.</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OGC</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Ohio Gathering Company, L.L.C.</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Ohio Gathering</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Ohio Gathering Company, L.L.C. and Ohio Condensate Company, L.L.C.</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OPA</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Oil Pollution Control Act</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operational technology</w:t>
            </w:r>
          </w:p>
        </w:tc>
      </w:tr>
      <w:tr>
        <w:trPr>
          <w:trHeight w:val="257"/>
        </w:trPr>
        <w:tc>
          <w:tcPr>
            <w:tcW w:w="2900" w:type="dxa"/>
            <w:vAlign w:val="bottom"/>
          </w:tcPr>
          <w:p>
            <w:pPr>
              <w:spacing w:after="0"/>
              <w:rPr>
                <w:sz w:val="22"/>
                <w:szCs w:val="22"/>
                <w:color w:val="auto"/>
              </w:rPr>
            </w:pPr>
          </w:p>
        </w:tc>
        <w:tc>
          <w:tcPr>
            <w:tcW w:w="8340" w:type="dxa"/>
            <w:vAlign w:val="bottom"/>
          </w:tcPr>
          <w:p>
            <w:pPr>
              <w:spacing w:after="0"/>
              <w:rPr>
                <w:sz w:val="22"/>
                <w:szCs w:val="22"/>
                <w:color w:val="auto"/>
              </w:rPr>
            </w:pPr>
          </w:p>
        </w:tc>
      </w:tr>
      <w:tr>
        <w:trPr>
          <w:trHeight w:val="232"/>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Partnership Common Units</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units representing limited partner interests of SMLP</w:t>
            </w:r>
          </w:p>
        </w:tc>
      </w:tr>
      <w:tr>
        <w:trPr>
          <w:trHeight w:val="257"/>
        </w:trPr>
        <w:tc>
          <w:tcPr>
            <w:tcW w:w="2900" w:type="dxa"/>
            <w:vAlign w:val="bottom"/>
            <w:shd w:val="clear" w:color="auto" w:fill="CCEEFF"/>
          </w:tcPr>
          <w:p>
            <w:pPr>
              <w:spacing w:after="0"/>
              <w:rPr>
                <w:sz w:val="22"/>
                <w:szCs w:val="22"/>
                <w:color w:val="auto"/>
              </w:rPr>
            </w:pPr>
          </w:p>
        </w:tc>
        <w:tc>
          <w:tcPr>
            <w:tcW w:w="8340" w:type="dxa"/>
            <w:vAlign w:val="bottom"/>
            <w:shd w:val="clear" w:color="auto" w:fill="CCEEFF"/>
          </w:tcPr>
          <w:p>
            <w:pPr>
              <w:spacing w:after="0"/>
              <w:rPr>
                <w:sz w:val="22"/>
                <w:szCs w:val="22"/>
                <w:color w:val="auto"/>
              </w:rPr>
            </w:pP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PHMSA</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Pipeline and Hazardous Materials Safety Administration</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play</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 proven geological formation that contains commercial amounts of hydrocarbons</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Permian Holdco</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Summit Permian Transmission Holdco, LLC</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16"/>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Permian Term Loan Facility</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the term loan governed by the Credit Agreement, dated as of March 8, 2021, among Summit Permian Transmission,</w:t>
            </w:r>
          </w:p>
        </w:tc>
      </w:tr>
      <w:tr>
        <w:trPr>
          <w:trHeight w:val="206"/>
        </w:trPr>
        <w:tc>
          <w:tcPr>
            <w:tcW w:w="2900" w:type="dxa"/>
            <w:vAlign w:val="bottom"/>
            <w:shd w:val="clear" w:color="auto" w:fill="CCEEFF"/>
          </w:tcPr>
          <w:p>
            <w:pPr>
              <w:spacing w:after="0"/>
              <w:rPr>
                <w:sz w:val="17"/>
                <w:szCs w:val="17"/>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LLC, as borrower, MUFG Bank Ltd., as administrative agent, Mizuho Bank (USA), as collateral agent, ING Capital</w:t>
            </w:r>
          </w:p>
        </w:tc>
      </w:tr>
      <w:tr>
        <w:trPr>
          <w:trHeight w:val="206"/>
        </w:trPr>
        <w:tc>
          <w:tcPr>
            <w:tcW w:w="2900" w:type="dxa"/>
            <w:vAlign w:val="bottom"/>
            <w:shd w:val="clear" w:color="auto" w:fill="CCEEFF"/>
          </w:tcPr>
          <w:p>
            <w:pPr>
              <w:spacing w:after="0"/>
              <w:rPr>
                <w:sz w:val="17"/>
                <w:szCs w:val="17"/>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LLC, Mizuho Bank, Ltd. and MUFG Union Bank, N.A., as L/C issuers, coordinating lead arrangers and joint</w:t>
            </w:r>
          </w:p>
        </w:tc>
      </w:tr>
      <w:tr>
        <w:trPr>
          <w:trHeight w:val="223"/>
        </w:trPr>
        <w:tc>
          <w:tcPr>
            <w:tcW w:w="2900" w:type="dxa"/>
            <w:vAlign w:val="bottom"/>
            <w:shd w:val="clear" w:color="auto" w:fill="CCEEFF"/>
          </w:tcPr>
          <w:p>
            <w:pPr>
              <w:spacing w:after="0"/>
              <w:rPr>
                <w:sz w:val="19"/>
                <w:szCs w:val="19"/>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bookrunners, and the lenders from time to time party thereto</w:t>
            </w:r>
          </w:p>
        </w:tc>
      </w:tr>
      <w:tr>
        <w:trPr>
          <w:trHeight w:val="257"/>
        </w:trPr>
        <w:tc>
          <w:tcPr>
            <w:tcW w:w="2900" w:type="dxa"/>
            <w:vAlign w:val="bottom"/>
            <w:shd w:val="clear" w:color="auto" w:fill="CCEEFF"/>
          </w:tcPr>
          <w:p>
            <w:pPr>
              <w:spacing w:after="0"/>
              <w:rPr>
                <w:sz w:val="22"/>
                <w:szCs w:val="22"/>
                <w:color w:val="auto"/>
              </w:rPr>
            </w:pPr>
          </w:p>
        </w:tc>
        <w:tc>
          <w:tcPr>
            <w:tcW w:w="834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6"/>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Permian Transmission Credit</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credit facilities governed by the Credit Agreement, dated as of March 8, 2021, among Summit Permian</w:t>
            </w:r>
          </w:p>
        </w:tc>
      </w:tr>
      <w:tr>
        <w:trPr>
          <w:trHeight w:val="206"/>
        </w:trPr>
        <w:tc>
          <w:tcPr>
            <w:tcW w:w="29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Facilities</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Transmission, as borrower, MUFG Bank Ltd., as administrative agent, Mizuho Bank (USA), as collateral agent, ING</w:t>
            </w:r>
          </w:p>
        </w:tc>
      </w:tr>
      <w:tr>
        <w:trPr>
          <w:trHeight w:val="206"/>
        </w:trPr>
        <w:tc>
          <w:tcPr>
            <w:tcW w:w="2900" w:type="dxa"/>
            <w:vAlign w:val="bottom"/>
          </w:tcPr>
          <w:p>
            <w:pPr>
              <w:spacing w:after="0"/>
              <w:rPr>
                <w:sz w:val="17"/>
                <w:szCs w:val="17"/>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Capital LLC, Mizuho Bank, Ltd. and MUFG Union Bank, N.A., as L/C issuers, coordinating lead arrangers and joint</w:t>
            </w:r>
          </w:p>
        </w:tc>
      </w:tr>
      <w:tr>
        <w:trPr>
          <w:trHeight w:val="223"/>
        </w:trPr>
        <w:tc>
          <w:tcPr>
            <w:tcW w:w="2900" w:type="dxa"/>
            <w:vAlign w:val="bottom"/>
          </w:tcPr>
          <w:p>
            <w:pPr>
              <w:spacing w:after="0"/>
              <w:rPr>
                <w:sz w:val="19"/>
                <w:szCs w:val="19"/>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bookrunners, and the lenders from time to time party thereto</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Polar and Divide</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the Polar and Divide system; collectively Polar Midstream and Epping</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Polar Midstream</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Polar Midstream, LLC</w:t>
            </w:r>
          </w:p>
        </w:tc>
      </w:tr>
      <w:tr>
        <w:trPr>
          <w:trHeight w:val="257"/>
        </w:trPr>
        <w:tc>
          <w:tcPr>
            <w:tcW w:w="2900" w:type="dxa"/>
            <w:vAlign w:val="bottom"/>
          </w:tcPr>
          <w:p>
            <w:pPr>
              <w:spacing w:after="0"/>
              <w:rPr>
                <w:sz w:val="22"/>
                <w:szCs w:val="22"/>
                <w:color w:val="auto"/>
              </w:rPr>
            </w:pPr>
          </w:p>
        </w:tc>
        <w:tc>
          <w:tcPr>
            <w:tcW w:w="8340" w:type="dxa"/>
            <w:vAlign w:val="bottom"/>
          </w:tcPr>
          <w:p>
            <w:pPr>
              <w:spacing w:after="0"/>
              <w:rPr>
                <w:sz w:val="22"/>
                <w:szCs w:val="22"/>
                <w:color w:val="auto"/>
              </w:rPr>
            </w:pPr>
          </w:p>
        </w:tc>
      </w:tr>
      <w:tr>
        <w:trPr>
          <w:trHeight w:val="232"/>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ppb</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parts per billion</w:t>
            </w:r>
          </w:p>
        </w:tc>
      </w:tr>
      <w:tr>
        <w:trPr>
          <w:trHeight w:val="257"/>
        </w:trPr>
        <w:tc>
          <w:tcPr>
            <w:tcW w:w="2900" w:type="dxa"/>
            <w:vAlign w:val="bottom"/>
            <w:shd w:val="clear" w:color="auto" w:fill="CCEEFF"/>
          </w:tcPr>
          <w:p>
            <w:pPr>
              <w:spacing w:after="0"/>
              <w:rPr>
                <w:sz w:val="22"/>
                <w:szCs w:val="22"/>
                <w:color w:val="auto"/>
              </w:rPr>
            </w:pPr>
          </w:p>
        </w:tc>
        <w:tc>
          <w:tcPr>
            <w:tcW w:w="8340" w:type="dxa"/>
            <w:vAlign w:val="bottom"/>
            <w:shd w:val="clear" w:color="auto" w:fill="CCEEFF"/>
          </w:tcPr>
          <w:p>
            <w:pPr>
              <w:spacing w:after="0"/>
              <w:rPr>
                <w:sz w:val="22"/>
                <w:szCs w:val="22"/>
                <w:color w:val="auto"/>
              </w:rPr>
            </w:pP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produced water</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water from underground geologic formations that is a by-product of natural gas and crude oil production</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PSD</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Prevention of Significant Deterioration</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RCRA</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Resource Conservation and Recovery Act</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2"/>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Securities and Exchange Commission</w:t>
            </w:r>
          </w:p>
        </w:tc>
      </w:tr>
      <w:tr>
        <w:trPr>
          <w:trHeight w:val="257"/>
        </w:trPr>
        <w:tc>
          <w:tcPr>
            <w:tcW w:w="2900" w:type="dxa"/>
            <w:vAlign w:val="bottom"/>
            <w:shd w:val="clear" w:color="auto" w:fill="CCEEFF"/>
          </w:tcPr>
          <w:p>
            <w:pPr>
              <w:spacing w:after="0"/>
              <w:rPr>
                <w:sz w:val="22"/>
                <w:szCs w:val="22"/>
                <w:color w:val="auto"/>
              </w:rPr>
            </w:pPr>
          </w:p>
        </w:tc>
        <w:tc>
          <w:tcPr>
            <w:tcW w:w="8340" w:type="dxa"/>
            <w:vAlign w:val="bottom"/>
            <w:shd w:val="clear" w:color="auto" w:fill="CCEEFF"/>
          </w:tcPr>
          <w:p>
            <w:pPr>
              <w:spacing w:after="0"/>
              <w:rPr>
                <w:sz w:val="22"/>
                <w:szCs w:val="22"/>
                <w:color w:val="auto"/>
              </w:rPr>
            </w:pP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Act</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Securities Act of 1933, as amended</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16"/>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Segment Adjusted EBITDA</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revenues less total costs and expenses; plus (i) other income excluding interest income, (ii) our proportional</w:t>
            </w:r>
          </w:p>
        </w:tc>
      </w:tr>
      <w:tr>
        <w:trPr>
          <w:trHeight w:val="206"/>
        </w:trPr>
        <w:tc>
          <w:tcPr>
            <w:tcW w:w="2900" w:type="dxa"/>
            <w:vAlign w:val="bottom"/>
            <w:shd w:val="clear" w:color="auto" w:fill="CCEEFF"/>
          </w:tcPr>
          <w:p>
            <w:pPr>
              <w:spacing w:after="0"/>
              <w:rPr>
                <w:sz w:val="17"/>
                <w:szCs w:val="17"/>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adjusted EBITDA for equity method investees, (iii) depreciation and amortization, (iv) adjustments related to MVC</w:t>
            </w:r>
          </w:p>
        </w:tc>
      </w:tr>
      <w:tr>
        <w:trPr>
          <w:trHeight w:val="206"/>
        </w:trPr>
        <w:tc>
          <w:tcPr>
            <w:tcW w:w="2900" w:type="dxa"/>
            <w:vAlign w:val="bottom"/>
            <w:shd w:val="clear" w:color="auto" w:fill="CCEEFF"/>
          </w:tcPr>
          <w:p>
            <w:pPr>
              <w:spacing w:after="0"/>
              <w:rPr>
                <w:sz w:val="17"/>
                <w:szCs w:val="17"/>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shortfall payments, (v) adjustments related to capital reimbursement activity, (vi) stock-based and noncash</w:t>
            </w:r>
          </w:p>
        </w:tc>
      </w:tr>
      <w:tr>
        <w:trPr>
          <w:trHeight w:val="223"/>
        </w:trPr>
        <w:tc>
          <w:tcPr>
            <w:tcW w:w="2900" w:type="dxa"/>
            <w:vAlign w:val="bottom"/>
            <w:shd w:val="clear" w:color="auto" w:fill="CCEEFF"/>
          </w:tcPr>
          <w:p>
            <w:pPr>
              <w:spacing w:after="0"/>
              <w:rPr>
                <w:sz w:val="19"/>
                <w:szCs w:val="19"/>
                <w:color w:val="auto"/>
              </w:rPr>
            </w:pP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compensation, (vii) impairments and (viii) other noncash expenses or losses, less other noncash income or gains</w:t>
            </w:r>
          </w:p>
        </w:tc>
      </w:tr>
      <w:tr>
        <w:trPr>
          <w:trHeight w:val="257"/>
        </w:trPr>
        <w:tc>
          <w:tcPr>
            <w:tcW w:w="2900" w:type="dxa"/>
            <w:vAlign w:val="bottom"/>
            <w:shd w:val="clear" w:color="auto" w:fill="CCEEFF"/>
          </w:tcPr>
          <w:p>
            <w:pPr>
              <w:spacing w:after="0"/>
              <w:rPr>
                <w:sz w:val="22"/>
                <w:szCs w:val="22"/>
                <w:color w:val="auto"/>
              </w:rPr>
            </w:pPr>
          </w:p>
        </w:tc>
        <w:tc>
          <w:tcPr>
            <w:tcW w:w="8340" w:type="dxa"/>
            <w:vAlign w:val="bottom"/>
            <w:shd w:val="clear" w:color="auto" w:fill="CCEEFF"/>
          </w:tcPr>
          <w:p>
            <w:pPr>
              <w:spacing w:after="0"/>
              <w:rPr>
                <w:sz w:val="22"/>
                <w:szCs w:val="22"/>
                <w:color w:val="auto"/>
              </w:rPr>
            </w:pPr>
          </w:p>
        </w:tc>
      </w:tr>
      <w:tr>
        <w:trPr>
          <w:trHeight w:val="216"/>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Series A Certificate of Designation</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Certificate of Designation of Series A Floating Rate Cumulative Redeemable</w:t>
            </w:r>
          </w:p>
        </w:tc>
      </w:tr>
      <w:tr>
        <w:trPr>
          <w:trHeight w:val="223"/>
        </w:trPr>
        <w:tc>
          <w:tcPr>
            <w:tcW w:w="2900" w:type="dxa"/>
            <w:vAlign w:val="bottom"/>
          </w:tcPr>
          <w:p>
            <w:pPr>
              <w:spacing w:after="0"/>
              <w:rPr>
                <w:sz w:val="19"/>
                <w:szCs w:val="19"/>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Perpetual Preferred Stock of the Company</w:t>
            </w:r>
          </w:p>
        </w:tc>
      </w:tr>
      <w:tr>
        <w:trPr>
          <w:trHeight w:val="257"/>
        </w:trPr>
        <w:tc>
          <w:tcPr>
            <w:tcW w:w="2900" w:type="dxa"/>
            <w:vAlign w:val="bottom"/>
          </w:tcPr>
          <w:p>
            <w:pPr>
              <w:spacing w:after="0"/>
              <w:rPr>
                <w:sz w:val="22"/>
                <w:szCs w:val="22"/>
                <w:color w:val="auto"/>
              </w:rPr>
            </w:pPr>
          </w:p>
        </w:tc>
        <w:tc>
          <w:tcPr>
            <w:tcW w:w="8340" w:type="dxa"/>
            <w:vAlign w:val="bottom"/>
          </w:tcPr>
          <w:p>
            <w:pPr>
              <w:spacing w:after="0"/>
              <w:rPr>
                <w:sz w:val="22"/>
                <w:szCs w:val="22"/>
                <w:color w:val="auto"/>
              </w:rPr>
            </w:pPr>
          </w:p>
        </w:tc>
      </w:tr>
      <w:tr>
        <w:trPr>
          <w:trHeight w:val="216"/>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Series A Preferred Stock</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Series A Fixed-to-Floating Rate Cumulative Redeemable Perpetual Preferred Stock issued</w:t>
            </w:r>
          </w:p>
        </w:tc>
      </w:tr>
      <w:tr>
        <w:trPr>
          <w:trHeight w:val="228"/>
        </w:trPr>
        <w:tc>
          <w:tcPr>
            <w:tcW w:w="290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by the Company</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Series A Preferred Units</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Series A Fixed-to-Floating Rate Cumulative Redeemable Perpetual Preferred Units issued by SMLP</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shortfall payment</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the payment received from a counterparty when its volume throughput does not meet its MVC for the applicable period</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SMC LTIP</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Summit Midstream Corporation 2024 Long-Term Incentive Plan</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SMLP</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Summit Midstream Partners, LP</w:t>
            </w: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SMLP LTIP</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SMLP 2022 Long-Term Incentive Plan</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2"/>
        </w:trPr>
        <w:tc>
          <w:tcPr>
            <w:tcW w:w="2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SOFR</w:t>
            </w:r>
          </w:p>
        </w:tc>
        <w:tc>
          <w:tcPr>
            <w:tcW w:w="8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Secured Overnight Financing Rate</w:t>
            </w:r>
          </w:p>
        </w:tc>
      </w:tr>
      <w:tr>
        <w:trPr>
          <w:trHeight w:val="257"/>
        </w:trPr>
        <w:tc>
          <w:tcPr>
            <w:tcW w:w="2900" w:type="dxa"/>
            <w:vAlign w:val="bottom"/>
            <w:shd w:val="clear" w:color="auto" w:fill="CCEEFF"/>
          </w:tcPr>
          <w:p>
            <w:pPr>
              <w:spacing w:after="0"/>
              <w:rPr>
                <w:sz w:val="22"/>
                <w:szCs w:val="22"/>
                <w:color w:val="auto"/>
              </w:rPr>
            </w:pPr>
          </w:p>
        </w:tc>
        <w:tc>
          <w:tcPr>
            <w:tcW w:w="8340" w:type="dxa"/>
            <w:vAlign w:val="bottom"/>
            <w:shd w:val="clear" w:color="auto" w:fill="CCEEFF"/>
          </w:tcPr>
          <w:p>
            <w:pPr>
              <w:spacing w:after="0"/>
              <w:rPr>
                <w:sz w:val="22"/>
                <w:szCs w:val="22"/>
                <w:color w:val="auto"/>
              </w:rPr>
            </w:pPr>
          </w:p>
        </w:tc>
      </w:tr>
      <w:tr>
        <w:trPr>
          <w:trHeight w:val="232"/>
        </w:trPr>
        <w:tc>
          <w:tcPr>
            <w:tcW w:w="2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SPCC</w:t>
            </w:r>
          </w:p>
        </w:tc>
        <w:tc>
          <w:tcPr>
            <w:tcW w:w="8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Spill Prevention Control and Countermeasure</w:t>
            </w:r>
          </w:p>
        </w:tc>
      </w:tr>
      <w:tr>
        <w:trPr>
          <w:trHeight w:val="25"/>
        </w:trPr>
        <w:tc>
          <w:tcPr>
            <w:tcW w:w="290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38"/>
        </w:trPr>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Subsidiary Series A Preferred Units</w:t>
            </w:r>
          </w:p>
        </w:tc>
        <w:tc>
          <w:tcPr>
            <w:tcW w:w="8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Series A Fixed Rate Cumulative Redeemable Preferred Units issued by Permian Holdco</w:t>
            </w:r>
          </w:p>
        </w:tc>
      </w:tr>
      <w:tr>
        <w:trPr>
          <w:trHeight w:val="864"/>
        </w:trPr>
        <w:tc>
          <w:tcPr>
            <w:tcW w:w="2900" w:type="dxa"/>
            <w:vAlign w:val="bottom"/>
          </w:tcPr>
          <w:p>
            <w:pPr>
              <w:spacing w:after="0"/>
              <w:rPr>
                <w:sz w:val="24"/>
                <w:szCs w:val="24"/>
                <w:color w:val="auto"/>
              </w:rPr>
            </w:pPr>
          </w:p>
        </w:tc>
        <w:tc>
          <w:tcPr>
            <w:tcW w:w="8340" w:type="dxa"/>
            <w:vAlign w:val="bottom"/>
          </w:tcPr>
          <w:p>
            <w:pPr>
              <w:ind w:left="2640"/>
              <w:spacing w:after="0"/>
              <w:rPr>
                <w:sz w:val="20"/>
                <w:szCs w:val="20"/>
                <w:color w:val="auto"/>
              </w:rPr>
            </w:pPr>
            <w:r>
              <w:rPr>
                <w:rFonts w:ascii="Times New Roman" w:cs="Times New Roman" w:eastAsia="Times New Roman" w:hAnsi="Times New Roman"/>
                <w:sz w:val="17"/>
                <w:szCs w:val="17"/>
                <w:color w:val="auto"/>
              </w:rPr>
              <w:t>13</w:t>
            </w:r>
          </w:p>
        </w:tc>
      </w:tr>
      <w:tr>
        <w:trPr>
          <w:trHeight w:val="108"/>
        </w:trPr>
        <w:tc>
          <w:tcPr>
            <w:tcW w:w="2900" w:type="dxa"/>
            <w:vAlign w:val="bottom"/>
            <w:tcBorders>
              <w:bottom w:val="single" w:sz="8" w:color="9A9A9A"/>
            </w:tcBorders>
          </w:tcPr>
          <w:p>
            <w:pPr>
              <w:spacing w:after="0"/>
              <w:rPr>
                <w:sz w:val="9"/>
                <w:szCs w:val="9"/>
                <w:color w:val="auto"/>
              </w:rPr>
            </w:pPr>
          </w:p>
        </w:tc>
        <w:tc>
          <w:tcPr>
            <w:tcW w:w="8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Summit Holdings</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Summit Midstream Holdings, LLC</w:t>
            </w:r>
          </w:p>
        </w:tc>
      </w:tr>
      <w:tr>
        <w:trPr>
          <w:trHeight w:val="25"/>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38"/>
        </w:trPr>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Summit Investments</w:t>
            </w:r>
          </w:p>
        </w:tc>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Summit Midstream Partners, LLC</w:t>
            </w:r>
          </w:p>
        </w:tc>
      </w:tr>
      <w:tr>
        <w:trPr>
          <w:trHeight w:val="232"/>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Summit Permian Transmission</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Summit Permian Transmission, LLC</w:t>
            </w:r>
          </w:p>
        </w:tc>
      </w:tr>
      <w:tr>
        <w:trPr>
          <w:trHeight w:val="25"/>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38"/>
        </w:trPr>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Summit Utica</w:t>
            </w:r>
          </w:p>
        </w:tc>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Summit Midstream Utica, LLC</w:t>
            </w:r>
          </w:p>
        </w:tc>
      </w:tr>
      <w:tr>
        <w:trPr>
          <w:trHeight w:val="232"/>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Tall Oak</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Tall Oak Midstream Operating, LLC</w:t>
            </w:r>
          </w:p>
        </w:tc>
      </w:tr>
      <w:tr>
        <w:trPr>
          <w:trHeight w:val="257"/>
        </w:trPr>
        <w:tc>
          <w:tcPr>
            <w:tcW w:w="2740" w:type="dxa"/>
            <w:vAlign w:val="bottom"/>
          </w:tcPr>
          <w:p>
            <w:pPr>
              <w:spacing w:after="0"/>
              <w:rPr>
                <w:sz w:val="22"/>
                <w:szCs w:val="22"/>
                <w:color w:val="auto"/>
              </w:rPr>
            </w:pPr>
          </w:p>
        </w:tc>
        <w:tc>
          <w:tcPr>
            <w:tcW w:w="8500" w:type="dxa"/>
            <w:vAlign w:val="bottom"/>
          </w:tcPr>
          <w:p>
            <w:pPr>
              <w:spacing w:after="0"/>
              <w:rPr>
                <w:sz w:val="22"/>
                <w:szCs w:val="22"/>
                <w:color w:val="auto"/>
              </w:rPr>
            </w:pPr>
          </w:p>
        </w:tc>
      </w:tr>
      <w:tr>
        <w:trPr>
          <w:trHeight w:val="232"/>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Tall Oak Acquisition</w:t>
            </w:r>
          </w:p>
        </w:tc>
        <w:tc>
          <w:tcPr>
            <w:tcW w:w="8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the consummation of the transaction contemplated by the Tall Oak Business Contribution Agreement</w:t>
            </w:r>
          </w:p>
        </w:tc>
      </w:tr>
      <w:tr>
        <w:trPr>
          <w:trHeight w:val="257"/>
        </w:trPr>
        <w:tc>
          <w:tcPr>
            <w:tcW w:w="2740" w:type="dxa"/>
            <w:vAlign w:val="bottom"/>
            <w:shd w:val="clear" w:color="auto" w:fill="CCEEFF"/>
          </w:tcPr>
          <w:p>
            <w:pPr>
              <w:spacing w:after="0"/>
              <w:rPr>
                <w:sz w:val="22"/>
                <w:szCs w:val="22"/>
                <w:color w:val="auto"/>
              </w:rPr>
            </w:pPr>
          </w:p>
        </w:tc>
        <w:tc>
          <w:tcPr>
            <w:tcW w:w="8500" w:type="dxa"/>
            <w:vAlign w:val="bottom"/>
            <w:shd w:val="clear" w:color="auto" w:fill="CCEEFF"/>
          </w:tcPr>
          <w:p>
            <w:pPr>
              <w:spacing w:after="0"/>
              <w:rPr>
                <w:sz w:val="22"/>
                <w:szCs w:val="22"/>
                <w:color w:val="auto"/>
              </w:rPr>
            </w:pPr>
          </w:p>
        </w:tc>
      </w:tr>
      <w:tr>
        <w:trPr>
          <w:trHeight w:val="216"/>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Tall Oak Business Contribution</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Business Contribution Agreement, dated as of October 1, 2024, by and among the Company, SMLP, and Tall Oak</w:t>
            </w:r>
          </w:p>
        </w:tc>
      </w:tr>
      <w:tr>
        <w:trPr>
          <w:trHeight w:val="206"/>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Parent, pursuant to which Tall Oak Parent contributed all of its equity interests in Tall Oak to SMLP in exchange for</w:t>
            </w:r>
          </w:p>
        </w:tc>
      </w:tr>
      <w:tr>
        <w:trPr>
          <w:trHeight w:val="223"/>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 consideration equal to $425.0 million</w:t>
            </w:r>
          </w:p>
        </w:tc>
      </w:tr>
      <w:tr>
        <w:trPr>
          <w:trHeight w:val="257"/>
        </w:trPr>
        <w:tc>
          <w:tcPr>
            <w:tcW w:w="2740" w:type="dxa"/>
            <w:vAlign w:val="bottom"/>
          </w:tcPr>
          <w:p>
            <w:pPr>
              <w:spacing w:after="0"/>
              <w:rPr>
                <w:sz w:val="22"/>
                <w:szCs w:val="22"/>
                <w:color w:val="auto"/>
              </w:rPr>
            </w:pPr>
          </w:p>
        </w:tc>
        <w:tc>
          <w:tcPr>
            <w:tcW w:w="8500" w:type="dxa"/>
            <w:vAlign w:val="bottom"/>
          </w:tcPr>
          <w:p>
            <w:pPr>
              <w:spacing w:after="0"/>
              <w:rPr>
                <w:sz w:val="22"/>
                <w:szCs w:val="22"/>
                <w:color w:val="auto"/>
              </w:rPr>
            </w:pPr>
          </w:p>
        </w:tc>
      </w:tr>
      <w:tr>
        <w:trPr>
          <w:trHeight w:val="232"/>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Tall Oak Parent</w:t>
            </w:r>
          </w:p>
        </w:tc>
        <w:tc>
          <w:tcPr>
            <w:tcW w:w="8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Tall Oak Midstream Holdings, LLC</w:t>
            </w:r>
          </w:p>
        </w:tc>
      </w:tr>
      <w:tr>
        <w:trPr>
          <w:trHeight w:val="257"/>
        </w:trPr>
        <w:tc>
          <w:tcPr>
            <w:tcW w:w="2740" w:type="dxa"/>
            <w:vAlign w:val="bottom"/>
            <w:shd w:val="clear" w:color="auto" w:fill="CCEEFF"/>
          </w:tcPr>
          <w:p>
            <w:pPr>
              <w:spacing w:after="0"/>
              <w:rPr>
                <w:sz w:val="22"/>
                <w:szCs w:val="22"/>
                <w:color w:val="auto"/>
              </w:rPr>
            </w:pPr>
          </w:p>
        </w:tc>
        <w:tc>
          <w:tcPr>
            <w:tcW w:w="8500" w:type="dxa"/>
            <w:vAlign w:val="bottom"/>
            <w:shd w:val="clear" w:color="auto" w:fill="CCEEFF"/>
          </w:tcPr>
          <w:p>
            <w:pPr>
              <w:spacing w:after="0"/>
              <w:rPr>
                <w:sz w:val="22"/>
                <w:szCs w:val="22"/>
                <w:color w:val="auto"/>
              </w:rPr>
            </w:pPr>
          </w:p>
        </w:tc>
      </w:tr>
      <w:tr>
        <w:trPr>
          <w:trHeight w:val="232"/>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Tcfe</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equivalent of one trillion cubic feet</w:t>
            </w:r>
          </w:p>
        </w:tc>
      </w:tr>
      <w:tr>
        <w:trPr>
          <w:trHeight w:val="257"/>
        </w:trPr>
        <w:tc>
          <w:tcPr>
            <w:tcW w:w="2740" w:type="dxa"/>
            <w:vAlign w:val="bottom"/>
          </w:tcPr>
          <w:p>
            <w:pPr>
              <w:spacing w:after="0"/>
              <w:rPr>
                <w:sz w:val="22"/>
                <w:szCs w:val="22"/>
                <w:color w:val="auto"/>
              </w:rPr>
            </w:pPr>
          </w:p>
        </w:tc>
        <w:tc>
          <w:tcPr>
            <w:tcW w:w="8500" w:type="dxa"/>
            <w:vAlign w:val="bottom"/>
          </w:tcPr>
          <w:p>
            <w:pPr>
              <w:spacing w:after="0"/>
              <w:rPr>
                <w:sz w:val="22"/>
                <w:szCs w:val="22"/>
                <w:color w:val="auto"/>
              </w:rPr>
            </w:pPr>
          </w:p>
        </w:tc>
      </w:tr>
      <w:tr>
        <w:trPr>
          <w:trHeight w:val="232"/>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the Company</w:t>
            </w:r>
          </w:p>
        </w:tc>
        <w:tc>
          <w:tcPr>
            <w:tcW w:w="8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Summit Midstream Corporation and its subsidiaries</w:t>
            </w:r>
          </w:p>
        </w:tc>
      </w:tr>
      <w:tr>
        <w:trPr>
          <w:trHeight w:val="257"/>
        </w:trPr>
        <w:tc>
          <w:tcPr>
            <w:tcW w:w="2740" w:type="dxa"/>
            <w:vAlign w:val="bottom"/>
            <w:shd w:val="clear" w:color="auto" w:fill="CCEEFF"/>
          </w:tcPr>
          <w:p>
            <w:pPr>
              <w:spacing w:after="0"/>
              <w:rPr>
                <w:sz w:val="22"/>
                <w:szCs w:val="22"/>
                <w:color w:val="auto"/>
              </w:rPr>
            </w:pPr>
          </w:p>
        </w:tc>
        <w:tc>
          <w:tcPr>
            <w:tcW w:w="8500" w:type="dxa"/>
            <w:vAlign w:val="bottom"/>
            <w:shd w:val="clear" w:color="auto" w:fill="CCEEFF"/>
          </w:tcPr>
          <w:p>
            <w:pPr>
              <w:spacing w:after="0"/>
              <w:rPr>
                <w:sz w:val="22"/>
                <w:szCs w:val="22"/>
                <w:color w:val="auto"/>
              </w:rPr>
            </w:pPr>
          </w:p>
        </w:tc>
      </w:tr>
      <w:tr>
        <w:trPr>
          <w:trHeight w:val="216"/>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throughput volume</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volume of natural gas, crude oil, or produced water gathered, transported, or passing through a pipeline, plant, or</w:t>
            </w:r>
          </w:p>
        </w:tc>
      </w:tr>
      <w:tr>
        <w:trPr>
          <w:trHeight w:val="223"/>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facility during a particular period; also referred to as volume throughput</w:t>
            </w:r>
          </w:p>
        </w:tc>
      </w:tr>
      <w:tr>
        <w:trPr>
          <w:trHeight w:val="25"/>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38"/>
        </w:trPr>
        <w:tc>
          <w:tcPr>
            <w:tcW w:w="2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w:t>
            </w:r>
          </w:p>
        </w:tc>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United States of America</w:t>
            </w:r>
          </w:p>
        </w:tc>
      </w:tr>
      <w:tr>
        <w:trPr>
          <w:trHeight w:val="216"/>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unconventional resource basin</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 basin where natural gas or crude oil production is developed from unconventional sources that require hydraulic</w:t>
            </w:r>
          </w:p>
        </w:tc>
      </w:tr>
      <w:tr>
        <w:trPr>
          <w:trHeight w:val="206"/>
        </w:trPr>
        <w:tc>
          <w:tcPr>
            <w:tcW w:w="2740" w:type="dxa"/>
            <w:vAlign w:val="bottom"/>
          </w:tcPr>
          <w:p>
            <w:pPr>
              <w:spacing w:after="0"/>
              <w:rPr>
                <w:sz w:val="17"/>
                <w:szCs w:val="17"/>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fracturing as part of the completion process, for instance, natural gas produced from shale formations and coalbeds;</w:t>
            </w:r>
          </w:p>
        </w:tc>
      </w:tr>
      <w:tr>
        <w:trPr>
          <w:trHeight w:val="223"/>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also referred to as an unconventional resource play</w:t>
            </w:r>
          </w:p>
        </w:tc>
      </w:tr>
      <w:tr>
        <w:trPr>
          <w:trHeight w:val="25"/>
        </w:trPr>
        <w:tc>
          <w:tcPr>
            <w:tcW w:w="274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16"/>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Up-C tax structure</w:t>
            </w:r>
          </w:p>
        </w:tc>
        <w:tc>
          <w:tcPr>
            <w:tcW w:w="8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 corporate structure that consists of a public C Corporation (PubCo) and an operating partnership (OpCo), which acts</w:t>
            </w:r>
          </w:p>
        </w:tc>
      </w:tr>
      <w:tr>
        <w:trPr>
          <w:trHeight w:val="228"/>
        </w:trPr>
        <w:tc>
          <w:tcPr>
            <w:tcW w:w="274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as the subsidiary.</w:t>
            </w:r>
          </w:p>
        </w:tc>
      </w:tr>
      <w:tr>
        <w:trPr>
          <w:trHeight w:val="216"/>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Utica Sale</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sale of Summit Utica to a subsidiary of MPLX LP for a cash sale price of $625.0 million,</w:t>
            </w:r>
          </w:p>
        </w:tc>
      </w:tr>
      <w:tr>
        <w:trPr>
          <w:trHeight w:val="223"/>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subject to customary post-closing adjustments</w:t>
            </w:r>
          </w:p>
        </w:tc>
      </w:tr>
      <w:tr>
        <w:trPr>
          <w:trHeight w:val="257"/>
        </w:trPr>
        <w:tc>
          <w:tcPr>
            <w:tcW w:w="2740" w:type="dxa"/>
            <w:vAlign w:val="bottom"/>
          </w:tcPr>
          <w:p>
            <w:pPr>
              <w:spacing w:after="0"/>
              <w:rPr>
                <w:sz w:val="22"/>
                <w:szCs w:val="22"/>
                <w:color w:val="auto"/>
              </w:rPr>
            </w:pPr>
          </w:p>
        </w:tc>
        <w:tc>
          <w:tcPr>
            <w:tcW w:w="8500" w:type="dxa"/>
            <w:vAlign w:val="bottom"/>
          </w:tcPr>
          <w:p>
            <w:pPr>
              <w:spacing w:after="0"/>
              <w:rPr>
                <w:sz w:val="22"/>
                <w:szCs w:val="22"/>
                <w:color w:val="auto"/>
              </w:rPr>
            </w:pPr>
          </w:p>
        </w:tc>
      </w:tr>
      <w:tr>
        <w:trPr>
          <w:trHeight w:val="238"/>
        </w:trPr>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VOC</w:t>
            </w:r>
          </w:p>
        </w:tc>
        <w:tc>
          <w:tcPr>
            <w:tcW w:w="8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volatile organic compound(s)</w:t>
            </w:r>
          </w:p>
        </w:tc>
      </w:tr>
      <w:tr>
        <w:trPr>
          <w:trHeight w:val="216"/>
        </w:trPr>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wellhead</w:t>
            </w: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the equipment at the surface of a well, used to control the well’s pressure; also, the point at which the hydrocarbons and</w:t>
            </w:r>
          </w:p>
        </w:tc>
      </w:tr>
      <w:tr>
        <w:trPr>
          <w:trHeight w:val="223"/>
        </w:trPr>
        <w:tc>
          <w:tcPr>
            <w:tcW w:w="2740" w:type="dxa"/>
            <w:vAlign w:val="bottom"/>
          </w:tcPr>
          <w:p>
            <w:pPr>
              <w:spacing w:after="0"/>
              <w:rPr>
                <w:sz w:val="19"/>
                <w:szCs w:val="19"/>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water exit the ground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Summit Midstream Corporation, a Delaware corporation (including its subsidiaries, collectively, “we”, “our”, “us”, “SMC”, or “the Company”), is a value-driven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its subsidiary holding company, Summit Holdings.</w:t>
      </w:r>
    </w:p>
    <w:p>
      <w:pPr>
        <w:spacing w:after="0" w:line="6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 was incorporated under the laws of the State of Delaware on May 14, 2024 for the purpose of effecting the Corporate Reorganization of Summit Midstream Partners, LP, a Delaware master limited partnership, in which the Company was incorporated to serve as the new parent holding company of SMLP. The Company’s common stock is listed on the New York Stock Exchange under the ticker symbol “SMC.” SMLP was formed in May 2012, and prior to August 1, 2024, SMLP’s common units were listed on NYSE under the ticker symbol “SMLP.”</w:t>
      </w:r>
    </w:p>
    <w:p>
      <w:pPr>
        <w:spacing w:after="0" w:line="6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Company’s executive offices are located at 910 Louisiana Street, Suite 4200, Houston, Texas 77002, and can be reached by phone at 832-413-4770. The Company also maintains regional field offices in close proximity to its areas of operation to support the operation and development of the Company’s midstream assets.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Strategies</w:t>
      </w:r>
    </w:p>
    <w:p>
      <w:pPr>
        <w:spacing w:after="0" w:line="11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We operate a differentiated midstream platform that is built for long-term, sustainable value creation. Our integrated assets are strategically located in production basins, including the Williston Basin, DJ Basin, Barnett Shale, Piceance Basin, Permian Basin, and the Arkoma Basin. Our primary business objective is to maximize cash flow and provide cash flow stability for our stakeholders while growing prudently and profitably. We intend to accomplish this objective by executing the following strategies:</w:t>
      </w:r>
    </w:p>
    <w:p>
      <w:pPr>
        <w:spacing w:after="0" w:line="62" w:lineRule="exact"/>
        <w:rPr>
          <w:sz w:val="20"/>
          <w:szCs w:val="20"/>
          <w:color w:val="auto"/>
        </w:rPr>
      </w:pPr>
    </w:p>
    <w:p>
      <w:pPr>
        <w:ind w:left="1240" w:hanging="618"/>
        <w:spacing w:after="0" w:line="261"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 structure optimization. </w:t>
      </w:r>
      <w:r>
        <w:rPr>
          <w:rFonts w:ascii="Times New Roman" w:cs="Times New Roman" w:eastAsia="Times New Roman" w:hAnsi="Times New Roman"/>
          <w:sz w:val="17"/>
          <w:szCs w:val="17"/>
          <w:color w:val="auto"/>
        </w:rPr>
        <w:t>We seek to maximize stakeholder value. Our capital structure currently consists of common equity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common stock and Class B common stock and associated Partnership Common Units of SMLP), preferred equity, and indebtedness that is comprised of debt securities and borrowings under our revolving credit facilities, a portion of which is secured by substantially all of our assets. We intend to optimize our capital structure in the future by reducing our indebtedness with free cash flow, and when appropriate, we may pursue opportunistic capital markets transactions, asset acquisitions (such as the Moonrise Acquisition), or asset divestitures with the objective of increasing long-term stakeholder value.</w:t>
      </w:r>
    </w:p>
    <w:p>
      <w:pPr>
        <w:spacing w:after="0" w:line="65" w:lineRule="exact"/>
        <w:rPr>
          <w:rFonts w:ascii="Times New Roman" w:cs="Times New Roman" w:eastAsia="Times New Roman" w:hAnsi="Times New Roman"/>
          <w:sz w:val="17"/>
          <w:szCs w:val="17"/>
          <w:color w:val="auto"/>
        </w:rPr>
      </w:pPr>
    </w:p>
    <w:p>
      <w:pPr>
        <w:ind w:left="1240" w:right="60" w:hanging="618"/>
        <w:spacing w:after="0" w:line="26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Portfolio management. </w:t>
      </w:r>
      <w:r>
        <w:rPr>
          <w:rFonts w:ascii="Times New Roman" w:cs="Times New Roman" w:eastAsia="Times New Roman" w:hAnsi="Times New Roman"/>
          <w:sz w:val="17"/>
          <w:szCs w:val="17"/>
          <w:color w:val="auto"/>
        </w:rPr>
        <w:t>We seek to maximize stakeholder value by strategically managing our portfolio of midstream assets and allocating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based on appropriate risk-informed cash flow assumptions. This may include value enhancing acquisitions (such as the Moonrise Acquisition) or opportunistic divestitures, re-allocation of capital to new or existing areas, and development of joint ventures (such as Double E) involving our existing midstream assets or new investment opportunities.</w:t>
      </w:r>
    </w:p>
    <w:p>
      <w:pPr>
        <w:spacing w:after="0" w:line="58" w:lineRule="exact"/>
        <w:rPr>
          <w:rFonts w:ascii="Times New Roman" w:cs="Times New Roman" w:eastAsia="Times New Roman" w:hAnsi="Times New Roman"/>
          <w:sz w:val="17"/>
          <w:szCs w:val="17"/>
          <w:color w:val="auto"/>
        </w:rPr>
      </w:pPr>
    </w:p>
    <w:p>
      <w:pPr>
        <w:ind w:left="1240" w:right="380" w:hanging="618"/>
        <w:spacing w:after="0" w:line="273"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Maintaining focus on fee-based revenue with minimal direct commodity price exposure. </w:t>
      </w:r>
      <w:r>
        <w:rPr>
          <w:rFonts w:ascii="Times New Roman" w:cs="Times New Roman" w:eastAsia="Times New Roman" w:hAnsi="Times New Roman"/>
          <w:sz w:val="17"/>
          <w:szCs w:val="17"/>
          <w:color w:val="auto"/>
        </w:rPr>
        <w:t>We intend to maintain our focus on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midstream services under primarily long-term and fee-based contracts. We believe that our focus on fee-based revenues with minimal direct commodity price exposure is essential to maintaining stable cash flows.</w:t>
      </w:r>
    </w:p>
    <w:p>
      <w:pPr>
        <w:spacing w:after="0" w:line="54" w:lineRule="exact"/>
        <w:rPr>
          <w:rFonts w:ascii="Times New Roman" w:cs="Times New Roman" w:eastAsia="Times New Roman" w:hAnsi="Times New Roman"/>
          <w:sz w:val="17"/>
          <w:szCs w:val="17"/>
          <w:color w:val="auto"/>
        </w:rPr>
      </w:pPr>
    </w:p>
    <w:p>
      <w:pPr>
        <w:ind w:left="1240" w:hanging="618"/>
        <w:spacing w:after="0" w:line="267"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Maintaining strong producer relationships to maximize utilization of all of our midstream assets. </w:t>
      </w:r>
      <w:r>
        <w:rPr>
          <w:rFonts w:ascii="Times New Roman" w:cs="Times New Roman" w:eastAsia="Times New Roman" w:hAnsi="Times New Roman"/>
          <w:sz w:val="17"/>
          <w:szCs w:val="17"/>
          <w:color w:val="auto"/>
        </w:rPr>
        <w:t>We have cultivated strong producer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relationships by focusing on customer service and reliable project execution and by operating our assets safely and reliably over time. We believe that our strong producer relationships will create future opportunities to expand our midstream services reach and optimize the utilization of our midstream assets for our customers.</w:t>
      </w:r>
    </w:p>
    <w:p>
      <w:pPr>
        <w:spacing w:after="0" w:line="58" w:lineRule="exact"/>
        <w:rPr>
          <w:rFonts w:ascii="Times New Roman" w:cs="Times New Roman" w:eastAsia="Times New Roman" w:hAnsi="Times New Roman"/>
          <w:sz w:val="17"/>
          <w:szCs w:val="17"/>
          <w:color w:val="auto"/>
        </w:rPr>
      </w:pPr>
    </w:p>
    <w:p>
      <w:pPr>
        <w:ind w:left="1240" w:hanging="618"/>
        <w:spacing w:after="0" w:line="273" w:lineRule="auto"/>
        <w:tabs>
          <w:tab w:leader="none" w:pos="12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Continuing to prioritize safe and reliable operations. </w:t>
      </w:r>
      <w:r>
        <w:rPr>
          <w:rFonts w:ascii="Times New Roman" w:cs="Times New Roman" w:eastAsia="Times New Roman" w:hAnsi="Times New Roman"/>
          <w:sz w:val="17"/>
          <w:szCs w:val="17"/>
          <w:color w:val="auto"/>
        </w:rPr>
        <w:t>We believe that providing safe, reliable, and efficient operations is a key component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strategy. We place a strong emphasis on employee training, operational procedures, and enterprise technology, and we intend to continue promoting a high standard with respect to the efficiency of our operations and the safety of all of our constituents.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Recent Developments and Highlights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brief listing of significant developments and highlights for the year ended December 31, 2025, and up through the filing date of this Form 10-K.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information regarding these items may be found elsewhere in this Annual Report.</w:t>
      </w:r>
    </w:p>
    <w:p>
      <w:pPr>
        <w:spacing w:after="0" w:line="93" w:lineRule="exact"/>
        <w:rPr>
          <w:sz w:val="20"/>
          <w:szCs w:val="20"/>
          <w:color w:val="auto"/>
        </w:rPr>
      </w:pPr>
    </w:p>
    <w:p>
      <w:pPr>
        <w:ind w:left="1240" w:right="360" w:hanging="618"/>
        <w:spacing w:after="0" w:line="262"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Moonrise Acquisition. </w:t>
      </w:r>
      <w:r>
        <w:rPr>
          <w:rFonts w:ascii="Times New Roman" w:cs="Times New Roman" w:eastAsia="Times New Roman" w:hAnsi="Times New Roman"/>
          <w:sz w:val="17"/>
          <w:szCs w:val="17"/>
          <w:color w:val="auto"/>
        </w:rPr>
        <w:t>On March 10, 2025, we completed the acquisition of Moonrise Midstream, LLC (the “Moonrise Acquisition”)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Fundare Resources Company, LLC for approximately $90.0 million, consisting of (i) a $70.0 million cash payment and (ii) the issuance of 462,265 shares of our common stock. The Moonrise Acquisition expanded our existing footprint in the DJ Basin and provides our DJ Basin customers with additional processing capacity and flow assurance. The Moonrise Acquisition represents the continued execution of our consolidation efforts in the DJ Basin.</w:t>
      </w:r>
    </w:p>
    <w:p>
      <w:pPr>
        <w:spacing w:after="0" w:line="67" w:lineRule="exact"/>
        <w:rPr>
          <w:rFonts w:ascii="Times New Roman" w:cs="Times New Roman" w:eastAsia="Times New Roman" w:hAnsi="Times New Roman"/>
          <w:sz w:val="17"/>
          <w:szCs w:val="17"/>
          <w:color w:val="auto"/>
        </w:rPr>
      </w:pPr>
    </w:p>
    <w:p>
      <w:pPr>
        <w:ind w:left="1240" w:right="40" w:hanging="618"/>
        <w:spacing w:after="0" w:line="261"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Resumption of Series A Preferred Stock Dividend. </w:t>
      </w:r>
      <w:r>
        <w:rPr>
          <w:rFonts w:ascii="Times New Roman" w:cs="Times New Roman" w:eastAsia="Times New Roman" w:hAnsi="Times New Roman"/>
          <w:sz w:val="17"/>
          <w:szCs w:val="17"/>
          <w:color w:val="auto"/>
        </w:rPr>
        <w:t>On February 28, 2025, we announced that our Board of Directors approved the resumption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 quarterly cash dividend on our Series A Preferred Stock. During 2025, we paid $13.4 million of dividends on our Series A Preferred Stock. In March 2026, the Company’s Board of Directors approved the payment of any and all accrued and unpaid 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w:t>
      </w:r>
    </w:p>
    <w:p>
      <w:pPr>
        <w:spacing w:after="0" w:line="65" w:lineRule="exact"/>
        <w:rPr>
          <w:rFonts w:ascii="Times New Roman" w:cs="Times New Roman" w:eastAsia="Times New Roman" w:hAnsi="Times New Roman"/>
          <w:sz w:val="17"/>
          <w:szCs w:val="17"/>
          <w:color w:val="auto"/>
        </w:rPr>
      </w:pPr>
    </w:p>
    <w:p>
      <w:pPr>
        <w:ind w:left="1240" w:right="280" w:hanging="618"/>
        <w:spacing w:after="0" w:line="272"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Integration of acquired businesses. </w:t>
      </w:r>
      <w:r>
        <w:rPr>
          <w:rFonts w:ascii="Times New Roman" w:cs="Times New Roman" w:eastAsia="Times New Roman" w:hAnsi="Times New Roman"/>
          <w:sz w:val="17"/>
          <w:szCs w:val="17"/>
          <w:color w:val="auto"/>
        </w:rPr>
        <w:t>We spent significant time throughout 2025 integrating both the Moonrise Acquisition and the Tall Oak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Acquisition into our existing operations. Activities included conforming the acquired businesses to our operating policies and procedures and attaining acquisition synergies, including rationalizing compression equipment.</w:t>
      </w:r>
    </w:p>
    <w:p>
      <w:pPr>
        <w:spacing w:after="0" w:line="57" w:lineRule="exact"/>
        <w:rPr>
          <w:rFonts w:ascii="Times New Roman" w:cs="Times New Roman" w:eastAsia="Times New Roman" w:hAnsi="Times New Roman"/>
          <w:sz w:val="17"/>
          <w:szCs w:val="17"/>
          <w:color w:val="auto"/>
        </w:rPr>
      </w:pPr>
    </w:p>
    <w:p>
      <w:pPr>
        <w:ind w:left="1240" w:right="20" w:hanging="618"/>
        <w:spacing w:after="0" w:line="259"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success. </w:t>
      </w:r>
      <w:r>
        <w:rPr>
          <w:rFonts w:ascii="Times New Roman" w:cs="Times New Roman" w:eastAsia="Times New Roman" w:hAnsi="Times New Roman"/>
          <w:sz w:val="17"/>
          <w:szCs w:val="17"/>
          <w:color w:val="auto"/>
        </w:rPr>
        <w:t>During 2025, we executed several new commercial agreements with both existing and new customers, including a 10-year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extension of a gathering agreement with a key customer in the Williston Basin and a new 15-year agreement with a key customer in the Williston Basin. Additionally, in 2025 Double E executed a new precedent agreement for 100 MMcf/d of firm capacity tied to an expansion of a processing plant located in Lea County, New Mexico</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Subsequent to December 31, 2025, Double E (i) executed an agreement which includes 210 MMcf/d of firm capacity, with the first tranche of volume set to begin flowing in the fourth quarter of 2026, and an 11-year term and (ii) executed an agreement which includes 230 MMcf/d of firm capacity, with the first tranche of volume set to begin flowing in the fourth quarter of 2027, and over an 11-year term.</w:t>
      </w:r>
    </w:p>
    <w:p>
      <w:pPr>
        <w:spacing w:after="0" w:line="70" w:lineRule="exact"/>
        <w:rPr>
          <w:rFonts w:ascii="Times New Roman" w:cs="Times New Roman" w:eastAsia="Times New Roman" w:hAnsi="Times New Roman"/>
          <w:sz w:val="17"/>
          <w:szCs w:val="17"/>
          <w:color w:val="auto"/>
        </w:rPr>
      </w:pPr>
    </w:p>
    <w:p>
      <w:pPr>
        <w:ind w:left="1240" w:hanging="618"/>
        <w:spacing w:after="0" w:line="261" w:lineRule="auto"/>
        <w:tabs>
          <w:tab w:leader="none" w:pos="1236"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Summit Permian Transmission and Permian Holdco Refinancing. </w:t>
      </w:r>
      <w:r>
        <w:rPr>
          <w:rFonts w:ascii="Times New Roman" w:cs="Times New Roman" w:eastAsia="Times New Roman" w:hAnsi="Times New Roman"/>
          <w:sz w:val="17"/>
          <w:szCs w:val="17"/>
          <w:color w:val="auto"/>
        </w:rPr>
        <w:t>In March 2026, we completed a $440.0 million refinancing of our Permian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Transmission Credit Facilities in the form of the New Permian Transmission Facility with a maturity in March 2031. The New Permian Transmission Facility consists of $340.0 million in initial term loan commitments, $50.0 million in delayed draw commitments, and a</w:t>
      </w:r>
    </w:p>
    <w:p>
      <w:pPr>
        <w:spacing w:after="0" w:line="1" w:lineRule="exact"/>
        <w:rPr>
          <w:rFonts w:ascii="Times New Roman" w:cs="Times New Roman" w:eastAsia="Times New Roman" w:hAnsi="Times New Roman"/>
          <w:sz w:val="17"/>
          <w:szCs w:val="17"/>
          <w:b w:val="1"/>
          <w:bCs w:val="1"/>
          <w:color w:val="auto"/>
        </w:rPr>
      </w:pPr>
    </w:p>
    <w:p>
      <w:pPr>
        <w:ind w:left="1240" w:right="6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$50.0 million uncommitted incremental facility. The use of proceeds of the New Permian Transmission Facility includes, among other things, repayment in full of the Permian Transmission Credit Facilities and redemption in full of the outstanding Subsidiary Series A Preferred Units. In connection with the New Permian Transmission Facility, Summit Permian Transmission entered into a $7.0 million letter of credit arrangement.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Midstream Assets</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Our midstream assets primarily gather natural gas produced from pad sites, wells and central receipt points connected to our systems. Gathered natural gas volumes are then compressed, dehydrated, treated, and/or processed for delivery to downstream pipelines serving end users. We also contract with producers to gather crude oil and produced water from wells connected to our systems for delivery to downstream pipelines and to third-party rail terminals in the case of crude oil and to third-party disposal wells in the case of produced water. We generally refer to most of the services our systems provide as gathering services. We also provide natural gas transmission services via the Double E Pipeline, a long-haul natural gas pipeline in which we indirectly own a 70% equity interest and serve as the pipeline’s operator. The Double E Pipeline provides natural gas transportation services from multiple receipt points in the Permian Basin to various delivery points in and around the Waha hub in Texas.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6" w:name="page17"/>
    <w:bookmarkEnd w:id="16"/>
    <w:p>
      <w:pPr>
        <w:ind w:right="14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Reportable Segments. </w:t>
      </w:r>
      <w:r>
        <w:rPr>
          <w:rFonts w:ascii="Times New Roman" w:cs="Times New Roman" w:eastAsia="Times New Roman" w:hAnsi="Times New Roman"/>
          <w:sz w:val="17"/>
          <w:szCs w:val="17"/>
          <w:color w:val="auto"/>
        </w:rPr>
        <w:t>As of December 31, 2025, our reportable segments are below along with management’s categorization of the primary commodity driving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 drilling and completion decisions for each segment:</w:t>
      </w:r>
    </w:p>
    <w:p>
      <w:pPr>
        <w:spacing w:after="0" w:line="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Oil price driven. </w:t>
      </w:r>
      <w:r>
        <w:rPr>
          <w:rFonts w:ascii="Times New Roman" w:cs="Times New Roman" w:eastAsia="Times New Roman" w:hAnsi="Times New Roman"/>
          <w:sz w:val="17"/>
          <w:szCs w:val="17"/>
          <w:color w:val="auto"/>
        </w:rPr>
        <w:t>Our cash flows in the Rockies and Permian segments are primarily influenced by the prevailing price of crude oil because the drilling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completion decisions by our customers in these segments are based on well economics most heavily tied to crude oil prices. Our customers’ decisions to drill and complete wells in these segments therefore result in higher volume throughput and cash flows for our midstream assets in which we collect fees for gathering or processing hydrocarbons, gathering produced water, or transporting residue natural gas.</w:t>
      </w:r>
    </w:p>
    <w:p>
      <w:pPr>
        <w:spacing w:after="0" w:line="62" w:lineRule="exact"/>
        <w:rPr>
          <w:sz w:val="20"/>
          <w:szCs w:val="20"/>
          <w:color w:val="auto"/>
        </w:rPr>
      </w:pPr>
    </w:p>
    <w:p>
      <w:pPr>
        <w:ind w:left="1240" w:hanging="618"/>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Rockies </w:t>
      </w:r>
      <w:r>
        <w:rPr>
          <w:rFonts w:ascii="Times New Roman" w:cs="Times New Roman" w:eastAsia="Times New Roman" w:hAnsi="Times New Roman"/>
          <w:sz w:val="17"/>
          <w:szCs w:val="17"/>
          <w:color w:val="auto"/>
        </w:rPr>
        <w:t>– Includes our midstream assets located in the Williston Basin and the DJ Basin.</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Permian </w:t>
      </w:r>
      <w:r>
        <w:rPr>
          <w:rFonts w:ascii="Times New Roman" w:cs="Times New Roman" w:eastAsia="Times New Roman" w:hAnsi="Times New Roman"/>
          <w:sz w:val="17"/>
          <w:szCs w:val="17"/>
          <w:color w:val="auto"/>
        </w:rPr>
        <w:t>– Includes our equity method investment in Double E.</w:t>
      </w:r>
    </w:p>
    <w:p>
      <w:pPr>
        <w:spacing w:after="0" w:line="1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Natural gas price driven. </w:t>
      </w:r>
      <w:r>
        <w:rPr>
          <w:rFonts w:ascii="Times New Roman" w:cs="Times New Roman" w:eastAsia="Times New Roman" w:hAnsi="Times New Roman"/>
          <w:sz w:val="17"/>
          <w:szCs w:val="17"/>
          <w:color w:val="auto"/>
        </w:rPr>
        <w:t>Our cash flows in the Piceance and Mid-Con segments are primarily influenced by the prevailing price of natural gas because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drilling, completion, and recompletion decisions by our customers in these segments are based on well economics most heavily tied to natural gas and NGL prices. Our customers’ decisions to drill, complete or recomplete wells in these segments therefore result in higher throughput and cash flows for those segments in which we collect fees for gathering and/or processing natural gas.</w:t>
      </w:r>
    </w:p>
    <w:p>
      <w:pPr>
        <w:spacing w:after="0" w:line="62" w:lineRule="exact"/>
        <w:rPr>
          <w:sz w:val="20"/>
          <w:szCs w:val="20"/>
          <w:color w:val="auto"/>
        </w:rPr>
      </w:pPr>
    </w:p>
    <w:p>
      <w:pPr>
        <w:ind w:left="1240" w:hanging="618"/>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Mid-Con </w:t>
      </w:r>
      <w:r>
        <w:rPr>
          <w:rFonts w:ascii="Times New Roman" w:cs="Times New Roman" w:eastAsia="Times New Roman" w:hAnsi="Times New Roman"/>
          <w:sz w:val="17"/>
          <w:szCs w:val="17"/>
          <w:color w:val="auto"/>
        </w:rPr>
        <w:t>– Includes our midstream assets located in the Barnett Shale and the Arkoma Basin.</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Piceance </w:t>
      </w:r>
      <w:r>
        <w:rPr>
          <w:rFonts w:ascii="Times New Roman" w:cs="Times New Roman" w:eastAsia="Times New Roman" w:hAnsi="Times New Roman"/>
          <w:sz w:val="17"/>
          <w:szCs w:val="17"/>
          <w:color w:val="auto"/>
        </w:rPr>
        <w:t>– Includes our midstream assets located in the Piceance Basin.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Overview and Commercial Arrangements</w:t>
      </w:r>
    </w:p>
    <w:p>
      <w:pPr>
        <w:spacing w:after="0" w:line="11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compete with other midstream companies, producers, and intrastate and interstate pipelines. Competition for volumes is primarily based on reputation, commercial terms, acreage dedications, service levels, access to end-use markets, geographic proximity of existing assets to a producer’s acreage, and available gathering and processing capacity. We may also face competition to gather production outside of our AMIs and attract producer volumes to our gathering systems.</w:t>
      </w:r>
    </w:p>
    <w:p>
      <w:pPr>
        <w:spacing w:after="0" w:line="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earn revenue by providing gathering, compression, treating and/or processing services pursuant to primarily long-term and fee-based gathering and processing agreements with some of the largest and most active producers in North America. Through our equity method investment in the Double E Pipeline, we earn revenue by providing high pressure transportation services, as both firm and interruptible service, for residue natural gas in the Permian Basin. The fee-based nature of these agreements enhances the stability of our cash flows by limiting our direct commodity price exposure.</w:t>
      </w:r>
    </w:p>
    <w:p>
      <w:pPr>
        <w:spacing w:after="0" w:line="6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 xml:space="preserve">The significant features of our transportation and gathering and processing agreements, and the gathering and transportation systems to which they relate, are discussed in more detail below. For additional operating and financial performance information, on a consolidated basis and by reportable segment, see the “Results of Operations” section in </w:t>
      </w:r>
      <w:r>
        <w:rPr>
          <w:rFonts w:ascii="Times New Roman" w:cs="Times New Roman" w:eastAsia="Times New Roman" w:hAnsi="Times New Roman"/>
          <w:sz w:val="17"/>
          <w:szCs w:val="17"/>
          <w:i w:val="1"/>
          <w:iCs w:val="1"/>
          <w:color w:val="auto"/>
        </w:rPr>
        <w:t>Part II, Item 7. Management’s Discussion and Analysis of Financial Condition and Results of Operations</w:t>
      </w:r>
      <w:r>
        <w:rPr>
          <w:rFonts w:ascii="Times New Roman" w:cs="Times New Roman" w:eastAsia="Times New Roman" w:hAnsi="Times New Roman"/>
          <w:sz w:val="17"/>
          <w:szCs w:val="17"/>
          <w:color w:val="auto"/>
        </w:rPr>
        <w:t>.</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Areas of Mutual Interest. </w:t>
      </w:r>
      <w:r>
        <w:rPr>
          <w:rFonts w:ascii="Times New Roman" w:cs="Times New Roman" w:eastAsia="Times New Roman" w:hAnsi="Times New Roman"/>
          <w:sz w:val="17"/>
          <w:szCs w:val="17"/>
          <w:color w:val="auto"/>
        </w:rPr>
        <w:t>The vast majority of our gathering and processing agreements contain AMIs, some of which extend through 2040. The AMIs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 that any production by our customers within the AMIs will be gathered and/or processed by our assets. In general, our customers have not leased acreage that cover our entire AMIs but, to the extent that they have leased acreage within our AMI, or lease additional acreage within our AMIs, any production from wells within that AMI will be dedicated to our systems.</w:t>
      </w:r>
    </w:p>
    <w:p>
      <w:pPr>
        <w:spacing w:after="0" w:line="6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Under certain of our gathering agreements, we have agreed to construct pipeline laterals to connect our gathering systems to producer pad sites located within the AMI. However, in certain circumstances we may choose not to pursue a pad connection opportunity presented by a customer if we believe that the investment would not meet our internal return expectations. Under this scenario, the customer may, in certain circumstances, construct the gathering infrastructure itself and sell it to us at a price equal to their cost plus an applicable profit margin, or, in some cases, we may release the relevant acreage dedication from the AMI.</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AMIs cover approximately 5.9 million surface acres in the aggregate.</w:t>
      </w:r>
    </w:p>
    <w:p>
      <w:pPr>
        <w:spacing w:after="0" w:line="1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Minimum Volume Commitments. </w:t>
      </w:r>
      <w:r>
        <w:rPr>
          <w:rFonts w:ascii="Times New Roman" w:cs="Times New Roman" w:eastAsia="Times New Roman" w:hAnsi="Times New Roman"/>
          <w:sz w:val="17"/>
          <w:szCs w:val="17"/>
          <w:color w:val="auto"/>
        </w:rPr>
        <w:t>Certain of our gathering and/or processing agreements contain MVCs which, like AMIs, benefit from the development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ongoing operation of a gathering system because they provide a minimum contracted monthly or annual revenue stream. Some of our MVCs, including those of affiliates, extend through 2031. To the extent a customer does not meet its contractual MVC, it is obligated to make an MVC shortfall payment to us to cover the shortfall of required volume throughput not shipped or processed, either on a monthly or annual basis. We have designed our MVC provisions to ensure that we will generate a minimum amount of revenue from each customer over the life of the associated gathering and/or processing agreement, by either collecting gathering or processing fees on actual throughput or from cash payments to cover any MVC shortfall.</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17" w:name="page18"/>
    <w:bookmarkEnd w:id="17"/>
    <w:p>
      <w:pPr>
        <w:ind w:right="240"/>
        <w:spacing w:after="0" w:line="287" w:lineRule="auto"/>
        <w:rPr>
          <w:sz w:val="20"/>
          <w:szCs w:val="20"/>
          <w:color w:val="auto"/>
        </w:rPr>
      </w:pPr>
      <w:r>
        <w:rPr>
          <w:rFonts w:ascii="Times New Roman" w:cs="Times New Roman" w:eastAsia="Times New Roman" w:hAnsi="Times New Roman"/>
          <w:sz w:val="17"/>
          <w:szCs w:val="17"/>
          <w:color w:val="auto"/>
        </w:rPr>
        <w:t>As of December 31, 2025, we had remaining MVCs totaling 0.1 Tcfe, our MVCs had a weighted-average remaining life of 2.0 years, and these MVC’s average approximately 43 MMcfe/d through 2029.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additional information on our MVCs, see Note 4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Revenue and Note 8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Deferred Revenue to the consolidated financial statements.</w:t>
      </w:r>
    </w:p>
    <w:p>
      <w:pPr>
        <w:spacing w:after="0" w:line="1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Throughput and Commodity Price Exposure. </w:t>
      </w:r>
      <w:r>
        <w:rPr>
          <w:rFonts w:ascii="Times New Roman" w:cs="Times New Roman" w:eastAsia="Times New Roman" w:hAnsi="Times New Roman"/>
          <w:sz w:val="17"/>
          <w:szCs w:val="17"/>
          <w:color w:val="auto"/>
        </w:rPr>
        <w:t>Our financial results are primarily driven by volume throughput across our gathering systems and by expense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During 2025, aggregate natural gas volume throughput averaged 904 MMcf/d and crude oil and produced water volume throughput averaged 73 Mbbl/d. A majority of the volumes that we gather, compress, treat and/or process have a fixed-fee rate structure, which enhances the stability of our cash flows by providing a revenue stream that is not subject to direct commodity price risk or volatility.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customers, (iii) the sale of condensate we retain from our gathering services in the Rockies, Mid-Con and Piceance segments and (iv) additional gathering fees that are tied to performance of certain commodity price indexes, which are then added to the fixed gathering rates. During the year ended December 31, 2025, these additional activities accounted for approximately 48% of total revenues.</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Equity Method Investment – Double E. </w:t>
      </w:r>
      <w:r>
        <w:rPr>
          <w:rFonts w:ascii="Times New Roman" w:cs="Times New Roman" w:eastAsia="Times New Roman" w:hAnsi="Times New Roman"/>
          <w:sz w:val="17"/>
          <w:szCs w:val="17"/>
          <w:color w:val="auto"/>
        </w:rPr>
        <w:t>We have an equity method investment in the Double E Pipeline, a 1.6 Bcf/d FERC-regulated interstate natural gas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transmission pipeline that commenced operations in November 2021 and provides transportation service from multiple receipt points in the Delaware Basin to various delivery points in and around the Waha hub in Texas. We are the operator of the joint venture and have made all required capital contributions to Double E. As of December 31, 2025, the Company owns a 70% interest in Double E. A subsidiary of ExxonMobil Corporation is our joint venture partner and owns the remaining 30%.</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Equity Method Investment – Ohio Gathering. </w:t>
      </w:r>
      <w:r>
        <w:rPr>
          <w:rFonts w:ascii="Times New Roman" w:cs="Times New Roman" w:eastAsia="Times New Roman" w:hAnsi="Times New Roman"/>
          <w:sz w:val="17"/>
          <w:szCs w:val="17"/>
          <w:color w:val="auto"/>
        </w:rPr>
        <w:t>Through March 22, 2024, we owned an equity method investment in Ohio Gathering, which was comprised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natural gas gathering system and condensate stabilization facility located in the core of the Utica Shale in southeastern Ohio. On March 22, 2024, we completed the disposition of Summit Utica to a subsidiary of MPLX LP for a cash sale price of $625.0 million, subject to customary post-closing adjustments.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Overview of our Segments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provides an overview of our reportable segments as of December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Rockies.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operating information regarding our Rockies reportable segment as of December 31,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220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throughput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420" w:type="dxa"/>
            <w:vAlign w:val="bottom"/>
          </w:tcPr>
          <w:p>
            <w:pPr>
              <w:spacing w:after="0"/>
              <w:rPr>
                <w:sz w:val="17"/>
                <w:szCs w:val="17"/>
                <w:color w:val="auto"/>
              </w:rPr>
            </w:pPr>
          </w:p>
        </w:tc>
      </w:tr>
      <w:tr>
        <w:trPr>
          <w:trHeight w:val="206"/>
        </w:trPr>
        <w:tc>
          <w:tcPr>
            <w:tcW w:w="220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throughput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capacity -</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Average daily</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Weighted-average</w:t>
            </w:r>
          </w:p>
        </w:tc>
      </w:tr>
      <w:tr>
        <w:trPr>
          <w:trHeight w:val="206"/>
        </w:trPr>
        <w:tc>
          <w:tcPr>
            <w:tcW w:w="220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capacity -</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natural gas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MVCs through</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Remaining MVCs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contract life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MVC</w:t>
            </w:r>
          </w:p>
        </w:tc>
      </w:tr>
      <w:tr>
        <w:trPr>
          <w:trHeight w:val="227"/>
        </w:trPr>
        <w:tc>
          <w:tcPr>
            <w:tcW w:w="22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liquids (Mbbl/d)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(MMcf/d)</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2030 (MMcf/d)</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(Bcfe)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life (Years)</w:t>
            </w:r>
          </w:p>
        </w:tc>
      </w:tr>
      <w:tr>
        <w:trPr>
          <w:trHeight w:val="25"/>
        </w:trPr>
        <w:tc>
          <w:tcPr>
            <w:tcW w:w="2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Rockies - Williston</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325"/>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Rockies - DJ </w:t>
            </w:r>
            <w:r>
              <w:rPr>
                <w:rFonts w:ascii="Times New Roman" w:cs="Times New Roman" w:eastAsia="Times New Roman" w:hAnsi="Times New Roman"/>
                <w:sz w:val="22"/>
                <w:szCs w:val="22"/>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w:t>
      </w:r>
    </w:p>
    <w:p>
      <w:pPr>
        <w:spacing w:after="0" w:line="118" w:lineRule="exact"/>
        <w:rPr>
          <w:sz w:val="20"/>
          <w:szCs w:val="20"/>
          <w:color w:val="auto"/>
        </w:rPr>
      </w:pPr>
    </w:p>
    <w:p>
      <w:pPr>
        <w:ind w:left="320" w:right="100" w:hanging="317"/>
        <w:spacing w:after="0" w:line="226"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Capacity of 335 MMcf/d represents nameplate processing capacity. Operational capacity is estimated at approximately 235 MMcf/d. Weighted average remaining life excludes interruptible off-load contracts.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AMIs for the Rockies reportable segment total approximately 2.6 million surface acres in the aggregate.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Rockies reportable segment is comprised of our Polar and Divide system and the Niobrara G&amp;P system.</w:t>
      </w:r>
    </w:p>
    <w:p>
      <w:pPr>
        <w:spacing w:after="0" w:line="1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u w:val="single" w:color="auto"/>
          <w:color w:val="auto"/>
        </w:rPr>
        <w:t>Polar and Divide system.</w:t>
      </w:r>
      <w:r>
        <w:rPr>
          <w:rFonts w:ascii="Times New Roman" w:cs="Times New Roman" w:eastAsia="Times New Roman" w:hAnsi="Times New Roman"/>
          <w:sz w:val="17"/>
          <w:szCs w:val="17"/>
          <w:color w:val="auto"/>
        </w:rPr>
        <w:t xml:space="preserve"> The Polar and Divide system, which is located primarily in Williams and Divide counties in northwestern North Dakota, owns, operates, and is currently developing crude oil and produced water gathering systems and transmission pipelines serving multiple customers that are targeting crude oil production from the Bakken and Three Forks shale formations. The Polar and Divide system is underpinned by long-term, fee-based gathering agreements, which include acreage dedications. Chord Energy Corporation, Kraken Resources, Formentera, and Zavanna LLC are the key customers of the Polar and Divide system. Crude oil that is gathered by the Polar and Divide system is delivered to interconnects with (i) the Dakota Access Pipeline, (ii) the COLT Hub rail facility and (iii) Enbridge Inc’s North Dakota Pipeline System. Produced water is delivered to third-party or producer owned disposal facilities.</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u w:val="single" w:color="auto"/>
          <w:color w:val="auto"/>
        </w:rPr>
        <w:t>Niobrara G&amp;P system</w:t>
      </w:r>
      <w:r>
        <w:rPr>
          <w:rFonts w:ascii="Times New Roman" w:cs="Times New Roman" w:eastAsia="Times New Roman" w:hAnsi="Times New Roman"/>
          <w:sz w:val="17"/>
          <w:szCs w:val="17"/>
          <w:color w:val="auto"/>
        </w:rPr>
        <w:t xml:space="preserve">. The Niobrara G&amp;P system is located in rural Weld, Morgan and Logan Counties, and in Cheyenne County of Nebraska. Weld County is the largest crude oil and natural gas producing county in Colorado. Gathering and processing services on the Niobrara G&amp;P system are provided pursuant to long-term, fee-based, and percentage of proceeds agreements with producers that are primarily targeting crude oil production from the Niobrara and Codell shale formations. </w:t>
      </w:r>
      <w:r>
        <w:rPr>
          <w:rFonts w:ascii="Times New Roman" w:cs="Times New Roman" w:eastAsia="Times New Roman" w:hAnsi="Times New Roman"/>
          <w:sz w:val="15"/>
          <w:szCs w:val="15"/>
          <w:color w:val="auto"/>
        </w:rPr>
        <w:t>As of December 31, 2025,</w:t>
      </w:r>
      <w:r>
        <w:rPr>
          <w:rFonts w:ascii="Times New Roman" w:cs="Times New Roman" w:eastAsia="Times New Roman" w:hAnsi="Times New Roman"/>
          <w:sz w:val="17"/>
          <w:szCs w:val="17"/>
          <w:color w:val="auto"/>
        </w:rPr>
        <w:t xml:space="preserve"> Bison Oil and Gas IV, Chevron Corporation, SM Energy Company, Fundare and Verdad Resources are the key customers of the Niobrara G&amp;P system and have underpinned our volume throughput with acreage dedications and MVCs.</w:t>
      </w:r>
    </w:p>
    <w:p>
      <w:pPr>
        <w:spacing w:after="0" w:line="7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 xml:space="preserve">The Niobrara G&amp;P system operates a low-pressure associated natural gas gathering system, and natural gas processing plants with processing capacity of up to </w:t>
      </w:r>
      <w:r>
        <w:rPr>
          <w:rFonts w:ascii="Times New Roman" w:cs="Times New Roman" w:eastAsia="Times New Roman" w:hAnsi="Times New Roman"/>
          <w:sz w:val="15"/>
          <w:szCs w:val="15"/>
          <w:color w:val="auto"/>
        </w:rPr>
        <w:t>335</w:t>
      </w:r>
      <w:r>
        <w:rPr>
          <w:rFonts w:ascii="Times New Roman" w:cs="Times New Roman" w:eastAsia="Times New Roman" w:hAnsi="Times New Roman"/>
          <w:sz w:val="17"/>
          <w:szCs w:val="17"/>
          <w:color w:val="auto"/>
        </w:rPr>
        <w:t xml:space="preserve"> MMcf/d.</w:t>
      </w:r>
    </w:p>
    <w:p>
      <w:pPr>
        <w:spacing w:after="0" w:line="4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Residue gas can be delivered to the Cheyenne Plains, Colorado Interstate Gas, Tallgrass Interstate Gas Transmission, Trailblazer Pipeline and Southern Star and processed NGLs are delivered to the Overland Pass Pipeline and the P66 NGL System.</w:t>
      </w:r>
    </w:p>
    <w:p>
      <w:pPr>
        <w:spacing w:after="0" w:line="48"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Additionally, the system has discrete freshwater infrastructure that consists of 19 water wells and other infrastructure to provide its customers with up to approximately 55,000 barrels per day of fresh water for well completion activities. The crude gathering system includes approximately 55 miles of gathering pipeline with delivery into the Pony Express pipeline.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7"/>
        </w:trPr>
        <w:tc>
          <w:tcPr>
            <w:tcW w:w="3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Permian.</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09"/>
        </w:trPr>
        <w:tc>
          <w:tcPr>
            <w:tcW w:w="83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provides operating information regarding our Permian reportable segment as of December 31, 2025.</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0"/>
        </w:trPr>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420" w:type="dxa"/>
            <w:vAlign w:val="bottom"/>
          </w:tcPr>
          <w:p>
            <w:pPr>
              <w:spacing w:after="0"/>
              <w:rPr>
                <w:sz w:val="24"/>
                <w:szCs w:val="24"/>
                <w:color w:val="auto"/>
              </w:rPr>
            </w:pPr>
          </w:p>
        </w:tc>
      </w:tr>
      <w:tr>
        <w:trPr>
          <w:trHeight w:val="206"/>
        </w:trPr>
        <w:tc>
          <w:tcPr>
            <w:tcW w:w="34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Average daily</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r>
      <w:tr>
        <w:trPr>
          <w:trHeight w:val="206"/>
        </w:trPr>
        <w:tc>
          <w:tcPr>
            <w:tcW w:w="34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throughput capacity</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MVCs through</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Remaining MVCs</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contract life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MVC</w:t>
            </w:r>
          </w:p>
        </w:tc>
      </w:tr>
      <w:tr>
        <w:trPr>
          <w:trHeight w:val="227"/>
        </w:trPr>
        <w:tc>
          <w:tcPr>
            <w:tcW w:w="344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(MMcf/d)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2030 (MMcf/d)</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(Bcf)</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life (Years)</w:t>
            </w:r>
          </w:p>
        </w:tc>
      </w:tr>
      <w:tr>
        <w:trPr>
          <w:trHeight w:val="25"/>
        </w:trPr>
        <w:tc>
          <w:tcPr>
            <w:tcW w:w="34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1"/>
        </w:trPr>
        <w:tc>
          <w:tcPr>
            <w:tcW w:w="34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 xml:space="preserve">Double E </w:t>
            </w:r>
            <w:r>
              <w:rPr>
                <w:rFonts w:ascii="Times New Roman" w:cs="Times New Roman" w:eastAsia="Times New Roman" w:hAnsi="Times New Roman"/>
                <w:sz w:val="22"/>
                <w:szCs w:val="22"/>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1,600</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1,115</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2,621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w:t>
      </w:r>
    </w:p>
    <w:p>
      <w:pPr>
        <w:spacing w:after="0" w:line="75" w:lineRule="exact"/>
        <w:rPr>
          <w:sz w:val="20"/>
          <w:szCs w:val="20"/>
          <w:color w:val="auto"/>
        </w:rPr>
      </w:pPr>
    </w:p>
    <w:p>
      <w:pPr>
        <w:ind w:left="160" w:hanging="157"/>
        <w:spacing w:after="0"/>
        <w:tabs>
          <w:tab w:leader="none" w:pos="16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Presented on a gross basis. Existing MVC’s contractually increased to 1.0 Bcf/d beginning in November 2024. As of December 31, 2025, we owned a 70% interest in Double E.</w:t>
      </w:r>
    </w:p>
    <w:p>
      <w:pPr>
        <w:spacing w:after="0" w:line="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u w:val="single" w:color="auto"/>
          <w:color w:val="auto"/>
        </w:rPr>
        <w:t>Double E</w:t>
      </w:r>
      <w:r>
        <w:rPr>
          <w:rFonts w:ascii="Times New Roman" w:cs="Times New Roman" w:eastAsia="Times New Roman" w:hAnsi="Times New Roman"/>
          <w:sz w:val="17"/>
          <w:szCs w:val="17"/>
          <w:color w:val="auto"/>
        </w:rPr>
        <w:t>. The Double E Pipeline is a 135 mile FERC-regulated interstate natural gas transmission pipeline that commenced operations in November 2021 and provides transportation service from receipt points in the Delaware Basin to various delivery points in and around the Waha hub in Texas. Double E is underpinned by 1.1 Bcf/d of long-term take-or-pay contracts with ExxonMobil Corporation, ConocoPhillips Company, EOG Resources Inc. and Matador Resources Company.</w:t>
      </w:r>
    </w:p>
    <w:p>
      <w:pPr>
        <w:spacing w:after="0" w:line="6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In 2021, we entered into negotiated rate agreements with an average term of 10 years from the in-service date of the pipeline, which occurred on November 18, 2021 and with total MDTQs that increase from 585,000 Dth/d during the first year of the agreement to 1,000,000 Dth/d in the fourth year, which equates to approximately 63% of its estimated capacity of 1,600,000 Dth/d.</w:t>
      </w:r>
    </w:p>
    <w:p>
      <w:pPr>
        <w:spacing w:after="0" w:line="6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Volume throughput is received from multiple processing plants, including ONEOK’s Lobo plant, San Mateo’s Marlan plant, XTO Energy’s Cowboy plant, Targa Resources Corp.’s Roadrunner plant, San Mateo’s Black River plant, and Energy Transfer’s Carlsbad plant, EOG Resources Inc.’s Janus plant and the Janus Processing Plant. In 2025, Double E executed a new precedent agreement with Producers Midstream for 100 MMcf/d of firm capacity on the Double E Pipeline with an expected in-service date during the fourth quarter of 2026 and a 10-year term.</w:t>
      </w:r>
    </w:p>
    <w:p>
      <w:pPr>
        <w:spacing w:after="0" w:line="6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Subsequent to December 31, 2025, Double E (i) executed an agreement which includes 210 MMcf/d of firm capacity, with the first tranche of volume set to begin flowing in the fourth quarter of 2026, and an 11-year term and (ii) executed an agreement which includes 230 MMcf/d of firm capacity, with the first tranche of volume set to begin flowing in the fourth quarter of 2027, and over an 11-year term.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own 70% of Double E and operate the pipeline.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Mid-Con.</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09"/>
        </w:trPr>
        <w:tc>
          <w:tcPr>
            <w:tcW w:w="9820" w:type="dxa"/>
            <w:vAlign w:val="bottom"/>
            <w:gridSpan w:val="9"/>
          </w:tcPr>
          <w:p>
            <w:pPr>
              <w:jc w:val="center"/>
              <w:ind w:right="1480"/>
              <w:spacing w:after="0"/>
              <w:rPr>
                <w:sz w:val="20"/>
                <w:szCs w:val="20"/>
                <w:color w:val="auto"/>
              </w:rPr>
            </w:pPr>
            <w:r>
              <w:rPr>
                <w:rFonts w:ascii="Times New Roman" w:cs="Times New Roman" w:eastAsia="Times New Roman" w:hAnsi="Times New Roman"/>
                <w:sz w:val="17"/>
                <w:szCs w:val="17"/>
                <w:color w:val="auto"/>
              </w:rPr>
              <w:t>The following table provides operating information regarding our Mid-Con reportable segment as of December 31, 2025.</w:t>
            </w:r>
          </w:p>
        </w:tc>
        <w:tc>
          <w:tcPr>
            <w:tcW w:w="1420" w:type="dxa"/>
            <w:vAlign w:val="bottom"/>
          </w:tcPr>
          <w:p>
            <w:pPr>
              <w:spacing w:after="0"/>
              <w:rPr>
                <w:sz w:val="24"/>
                <w:szCs w:val="24"/>
                <w:color w:val="auto"/>
              </w:rPr>
            </w:pPr>
          </w:p>
        </w:tc>
      </w:tr>
      <w:tr>
        <w:trPr>
          <w:trHeight w:val="340"/>
        </w:trPr>
        <w:tc>
          <w:tcPr>
            <w:tcW w:w="3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420" w:type="dxa"/>
            <w:vAlign w:val="bottom"/>
          </w:tcPr>
          <w:p>
            <w:pPr>
              <w:spacing w:after="0"/>
              <w:rPr>
                <w:sz w:val="24"/>
                <w:szCs w:val="24"/>
                <w:color w:val="auto"/>
              </w:rPr>
            </w:pPr>
          </w:p>
        </w:tc>
      </w:tr>
      <w:tr>
        <w:trPr>
          <w:trHeight w:val="206"/>
        </w:trPr>
        <w:tc>
          <w:tcPr>
            <w:tcW w:w="3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Average daily</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r>
      <w:tr>
        <w:trPr>
          <w:trHeight w:val="206"/>
        </w:trPr>
        <w:tc>
          <w:tcPr>
            <w:tcW w:w="338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Throughput capacity</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MVCs through</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Remaining MVCs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contract life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MVC</w:t>
            </w:r>
          </w:p>
        </w:tc>
      </w:tr>
      <w:tr>
        <w:trPr>
          <w:trHeight w:val="227"/>
        </w:trPr>
        <w:tc>
          <w:tcPr>
            <w:tcW w:w="338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(MMcf/d)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2030 (MMcf/d)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(Bcf)</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life (Years)</w:t>
            </w:r>
          </w:p>
        </w:tc>
      </w:tr>
      <w:tr>
        <w:trPr>
          <w:trHeight w:val="25"/>
        </w:trPr>
        <w:tc>
          <w:tcPr>
            <w:tcW w:w="3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Mid-Con</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890</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n/a</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6"/>
              </w:rPr>
              <w:t>n/a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r>
      <w:tr>
        <w:trPr>
          <w:trHeight w:val="25"/>
        </w:trPr>
        <w:tc>
          <w:tcPr>
            <w:tcW w:w="33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AMIs for the Mid-Con reportable segment cover approximately 2.9 million surface acres.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Mid-Con reportable segment is comprised of the DFW Midstream and the Tall Oak systems.</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u w:val="single" w:color="auto"/>
          <w:color w:val="auto"/>
        </w:rPr>
        <w:t>DFW Midstream system.</w:t>
      </w:r>
      <w:r>
        <w:rPr>
          <w:rFonts w:ascii="Times New Roman" w:cs="Times New Roman" w:eastAsia="Times New Roman" w:hAnsi="Times New Roman"/>
          <w:sz w:val="17"/>
          <w:szCs w:val="17"/>
          <w:color w:val="auto"/>
        </w:rPr>
        <w:t xml:space="preserve"> The DFW Midstream system is primarily located in southeastern Tarrant County, in north-central Texas near the Dallas-Fort Worth metroplex. We consider this area to be the core of the Barnett Shale because of the quality of the geology and the high production profile of the wells drilled to date in our service area. The DFW Midstream system is underpinned by long-term, fee-based gathering agreements with TotalEnergies Gas &amp; Power North America, Inc. and other customers. TotalEnergies Gas &amp; Power North America, Inc. is the key customer for DFW Midstream.</w:t>
      </w:r>
    </w:p>
    <w:p>
      <w:pPr>
        <w:spacing w:after="0" w:line="6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DFW Midstream system includes natural gas gathering pipelines located under both private and public property and is partially located along existing electric transmission corridors. Compression on the system is powered by electricity. To offset the costs we incur to operate the system’s electric-drive compressors, we either pass through a portion of the power expense to our customers or retain and sell a fixed percentage of the natural gas that we gather.</w:t>
      </w:r>
    </w:p>
    <w:p>
      <w:pPr>
        <w:spacing w:after="0" w:line="6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The DFW Midstream system currently has five primary interconnections with third-parties, primarily intrastate pipelines. These interconnections enable us to connect our customers, directly or indirectly, with the major natural gas market hubs in Texas and Louisiana.</w:t>
      </w:r>
    </w:p>
    <w:p>
      <w:pPr>
        <w:spacing w:after="0" w:line="4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u w:val="single" w:color="auto"/>
          <w:color w:val="auto"/>
        </w:rPr>
        <w:t>Tall Oak system.</w:t>
      </w:r>
      <w:r>
        <w:rPr>
          <w:rFonts w:ascii="Times New Roman" w:cs="Times New Roman" w:eastAsia="Times New Roman" w:hAnsi="Times New Roman"/>
          <w:sz w:val="17"/>
          <w:szCs w:val="17"/>
          <w:color w:val="auto"/>
        </w:rPr>
        <w:t xml:space="preserve"> Following the Tall Oak Acquisition, we operate assets in central Oklahoma. Gathering and processing services are provided pursuant to long-term, primarily fee-based contracts with producers, that are primarily targeting liquids-rich natural gas production from the Woodford and Caney formations. Volume throughput on the Tall Oak system is underpinned by acreage dedications and Calyx Energy is the key customer.</w:t>
      </w:r>
    </w:p>
    <w:p>
      <w:pPr>
        <w:spacing w:after="0" w:line="6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Tall Oak system’s residue gas has access to MarkWest’s Arkoma Connector and Energy Transfer’s Enable Oklahoma Intrastate Transmission and Enable Gas Transmission connections. NGL’s have access to ONEOK’s NGL system and Targa’s Grand Prix pipeline.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Piceance.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09"/>
        </w:trPr>
        <w:tc>
          <w:tcPr>
            <w:tcW w:w="8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The following table provides operating information regarding our Piceance reportable segment as of December 31, 2025.</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4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20" w:type="dxa"/>
            <w:vAlign w:val="bottom"/>
          </w:tcPr>
          <w:p>
            <w:pPr>
              <w:spacing w:after="0"/>
              <w:rPr>
                <w:sz w:val="24"/>
                <w:szCs w:val="24"/>
                <w:color w:val="auto"/>
              </w:rPr>
            </w:pPr>
          </w:p>
        </w:tc>
      </w:tr>
      <w:tr>
        <w:trPr>
          <w:trHeight w:val="206"/>
        </w:trPr>
        <w:tc>
          <w:tcPr>
            <w:tcW w:w="42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6"/>
        </w:trPr>
        <w:tc>
          <w:tcPr>
            <w:tcW w:w="42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throughput</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Average daily</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average</w:t>
            </w:r>
          </w:p>
        </w:tc>
      </w:tr>
      <w:tr>
        <w:trPr>
          <w:trHeight w:val="206"/>
        </w:trPr>
        <w:tc>
          <w:tcPr>
            <w:tcW w:w="426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MVCs through</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contract life</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MVC</w:t>
            </w:r>
          </w:p>
        </w:tc>
      </w:tr>
      <w:tr>
        <w:trPr>
          <w:trHeight w:val="227"/>
        </w:trPr>
        <w:tc>
          <w:tcPr>
            <w:tcW w:w="426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(MMcf/d)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2030 (MMcf/d)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MVCs (Bcf)</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life (Years)</w:t>
            </w:r>
          </w:p>
        </w:tc>
      </w:tr>
      <w:tr>
        <w:trPr>
          <w:trHeight w:val="25"/>
        </w:trPr>
        <w:tc>
          <w:tcPr>
            <w:tcW w:w="4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Piceance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1,259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0.7</w:t>
            </w:r>
          </w:p>
        </w:tc>
      </w:tr>
      <w:tr>
        <w:trPr>
          <w:trHeight w:val="25"/>
        </w:trPr>
        <w:tc>
          <w:tcPr>
            <w:tcW w:w="4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AMIs for the Piceance reportable segment cover approximately 434,000 surface acres in the aggregate.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Piceance reportable segment is comprised of our Grand River gathering system.</w:t>
      </w:r>
    </w:p>
    <w:p>
      <w:pPr>
        <w:spacing w:after="0" w:line="11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u w:val="single" w:color="auto"/>
          <w:color w:val="auto"/>
        </w:rPr>
        <w:t>Grand River system.</w:t>
      </w:r>
      <w:r>
        <w:rPr>
          <w:rFonts w:ascii="Times New Roman" w:cs="Times New Roman" w:eastAsia="Times New Roman" w:hAnsi="Times New Roman"/>
          <w:sz w:val="17"/>
          <w:szCs w:val="17"/>
          <w:color w:val="auto"/>
        </w:rPr>
        <w:t xml:space="preserve"> Grand River is primarily located in Garfield County, one of the largest natural gas producing counties in Colorado. The Grand River system provides natural gas gathering services pursuant to primarily long-term and fee-based agreements with multiple producers, including its key customers, QB Energy, and Flywheel Energy. Volume throughput on the Grand River system is underpinned with acreage dedications and MVCs. The Grand River system is primarily a low-pressure gathering system located in western Colorado that gathers natural gas produced from directional wells targeting the liquids-rich Mesaverde formation. The Grand River system also gathers natural gas produced from the Mancos and Niobrara shale formations. </w:t>
      </w:r>
      <w:r>
        <w:rPr>
          <w:rFonts w:ascii="Times New Roman" w:cs="Times New Roman" w:eastAsia="Times New Roman" w:hAnsi="Times New Roman"/>
          <w:sz w:val="15"/>
          <w:szCs w:val="15"/>
          <w:color w:val="auto"/>
        </w:rPr>
        <w:t>N</w:t>
      </w:r>
      <w:r>
        <w:rPr>
          <w:rFonts w:ascii="Times New Roman" w:cs="Times New Roman" w:eastAsia="Times New Roman" w:hAnsi="Times New Roman"/>
          <w:sz w:val="17"/>
          <w:szCs w:val="17"/>
          <w:color w:val="auto"/>
        </w:rPr>
        <w:t>atural gas gathered and/or processed on the Grand River system is compressed, dehydrated, processed, and/or discharged to downstream pipelines serving (i) the Meeker Processing Complex and (ii) the Williams Processing Complex. Residue gas has access to multiple pipelines and end markets. In addition, certain of our gathering agreements with our customers on the Grand River system permit us to retain, and monetize for our own account, condensate volumes that naturally discharge from the liquids-rich natural gas as it moves across our system.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3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Northeast.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we divested of our Northeast operations which consisted of midstream assets located in the Marcellus shale play and midstream assets located in the Utica shale play together with our previously owned equity method investment in Ohio Gathering that was focused on the Utica Shale.</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434"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1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systems that we operate and/or have significant ownership interests in have a diverse group of customers and counterparties comprising affiliates and/or subsidiaries of some of the largest natural gas and crude oil producers in North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of the Natural Gas and Crude Oil Industries</w:t>
      </w:r>
    </w:p>
    <w:p>
      <w:pPr>
        <w:spacing w:after="0" w:line="1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General. </w:t>
      </w:r>
      <w:r>
        <w:rPr>
          <w:rFonts w:ascii="Times New Roman" w:cs="Times New Roman" w:eastAsia="Times New Roman" w:hAnsi="Times New Roman"/>
          <w:sz w:val="17"/>
          <w:szCs w:val="17"/>
          <w:color w:val="auto"/>
        </w:rPr>
        <w:t>Sales by producers of natural gas, crude oil, condensate and NGLs are currently made at market prices. However, gathering and transportation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subject to various types of regulation, which may affect certain aspects of our business and the market for our services. FERC regulates the transportation of natural gas in interstate commerce and the interstate transportation of crude oil, petroleum products and NGLs. FERC regulation includes reviewing and accepting or approving rates and other terms and conditions for such transportation services and authorizing and regulating the construction and operation of interstate natural gas pipelines. FERC is also authorized to prevent and sanction market manipulation in natural gas markets while the FTC is authorized to prevent and sanction market manipulation in petroleum markets and the CFTC is authorized to prevent and sanction fraud and price manipulations in the commodity and futures markets, including the energy futures markets. State and municipal regulations may apply to the production and gathering of certain natural gas, the construction and operation of natural gas and crude oil facilities and the rates and practices of gathering systems and intrastate pipelines.</w:t>
      </w:r>
    </w:p>
    <w:p>
      <w:pPr>
        <w:spacing w:after="0" w:line="7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Regulation of Crude Oil and Natural Gas Exploration, Production and Sales. </w:t>
      </w:r>
      <w:r>
        <w:rPr>
          <w:rFonts w:ascii="Times New Roman" w:cs="Times New Roman" w:eastAsia="Times New Roman" w:hAnsi="Times New Roman"/>
          <w:sz w:val="17"/>
          <w:szCs w:val="17"/>
          <w:color w:val="auto"/>
        </w:rPr>
        <w:t>Sales of crude oil and NGLs are not currently regulated and are transacted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prices. In 1989, the U.S. Congress enacted the Natural Gas Wellhead Decontrol Act, which removed all remaining price and non-price controls affecting wellhead sales of natural gas. FERC, which has the authority under the NGA to regulate the prices and other terms and conditions of the sale of natural gas for resale in interstate commerce, has issued blanket authorizations for all gas resellers subject to its regulation, except interstate pipelines, to resell natural gas at market prices. Either Congress or FERC (with respect to the resale of gas in interstate commerce), however, could re-impose price controls in the future.</w:t>
      </w:r>
    </w:p>
    <w:p>
      <w:pPr>
        <w:spacing w:after="0" w:line="71"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Exploration and production operations are subject to various types of federal, state, and local regulation, including, but not limited to, permitting, well location, methods of drilling, well operations and conservation of resources. While these regulations do not directly apply to our business, they may affect our customers’ ability to produce natural gas.</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Regulation of the Gathering and Transportation of Natural Gas and Crude Oil. </w:t>
      </w:r>
      <w:r>
        <w:rPr>
          <w:rFonts w:ascii="Times New Roman" w:cs="Times New Roman" w:eastAsia="Times New Roman" w:hAnsi="Times New Roman"/>
          <w:sz w:val="17"/>
          <w:szCs w:val="17"/>
          <w:color w:val="auto"/>
        </w:rPr>
        <w:t>We believe that the majority of our natural gas pipeline facilities qualify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gathering facilities that are exempt from the jurisdiction of FERC. Our Double E Pipeline, which is an interstate natural gas pipeline located in New Mexico and Texas, and the Epping Pipeline, an interstate crude oil pipeline located in North Dakota and owned and operated by Epping, are subject to FERC’s jurisdiction and oversight pursuant to FERC’s authority under the NGA and the ICA, respectively. Epping and Double E have tariffs on file with FERC.</w:t>
      </w:r>
    </w:p>
    <w:p>
      <w:pPr>
        <w:spacing w:after="0" w:line="6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In addition to approving and regulating the construction and operation of interstate natural gas pipelines, FERC also regulates such pipelines’ rates and terms and conditions of service, including transportation service agreements and negotiated rate agreements.</w:t>
      </w:r>
    </w:p>
    <w:p>
      <w:pPr>
        <w:spacing w:after="0" w:line="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FERC’s ICA jurisdiction, rates for interstate movements of liquids by pipelines are currently regulated primarily through an annual indexing methodology, under which pipelines increase or decrease their existing rates in accordance with a FERC-specified adjustment that sets a rate ceiling. This adjustment, which may be positive or negative in a given year, is subject to review every five years. FERC recently initiated the proceeding to set the index for the five year period commencing on July 1, 2026. FERC has proposed to use the producer price index for finished goods minus 1.42%. This proceeding is currently pending.</w:t>
      </w:r>
    </w:p>
    <w:p>
      <w:pPr>
        <w:spacing w:after="0" w:line="68"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7"/>
          <w:szCs w:val="17"/>
          <w:color w:val="auto"/>
        </w:rPr>
        <w:t>Under current FERC regulations, liquids pipelines can request a rate increase that exceeds the rate obtained through the indexing methodology by using a cost-of-service approach, but a pipeline must establish that a substantial divergence exists between its actual costs and the rates resulting from the indexing methodology.</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ICA permits interested persons to challenge proposed new or changed rates and authorizes FERC to suspend the effectiveness of such rates for up to seven months and investigate such rates. If, upon completion of an investigation, FERC finds that the new or changed rate is unlawful, it is authorized to require the pipeline to refund revenues collected in excess of the just and reasonable rate during the term of the investigation. FERC may also investigate, upon complaint or on its own motion, rates that are already in effect and may order a carrier to change its rates prospectively. Under certain circumstances, FERC could limit Epping’s ability to set rates based on costs or could order reduced rates and reparations to complaining shippers for up to two years prior to the date of a complaint. FERC also has the authority to change terms and conditions of service if it determines that they are unjust and unreasonable or unduly discriminatory or preferential. The ICA also imposes potential criminal liability for certain violations of the statute.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17"/>
          <w:szCs w:val="17"/>
          <w:color w:val="auto"/>
        </w:rPr>
        <w:t>FERC has jurisdiction over, among other things, the construction, ownership and commercial operation of pipelines and related facilities used in the transportation and storage of natural gas in interstate commerce, including the modification, extension, enlargement, and abandonment of such facilities. FERC also has jurisdiction over the rates, charges and term and conditions of service for the transportation and storage of natural gas in interstate commerce. With respect to transportation rates, FERC exercises its ratemaking authority by applying cost-of-service principles to limit the maximum and minimum levels of tariff-based recourse rates; however, it also allows for discounted or negotiated rates as an alternative to cost-based rates. In addition, FERC regulations also restrict interstate natural gas pipelines from sharing certain transportation or customer information with marketing affiliates and require that the transmission function personnel of interstate natural gas pipelines operate independently of the marketing function personnel of the pipeline or its affiliates.</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Pursuant to the NGA, existing interstate natural gas transportation and storage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Double E currently holds authority from the FERC to charge and collect (i) “recourse rates,” which are the maximum cost-based rates an interstate natural gas pipeline may charge for its services under its tariff; (ii) “discount rates,” which are rates offered by the natural gas pipeline to shippers at discounts vis-à-vis the recourse rates and that fall within the cost-based maximum and minimum rate levels set forth in the natural gas pipeline’s tariff; and (iii) “negotiated rates,” which are rates negotiated and agreed to by the pipeline and the shipper for the contract term that may fall within or outside of the cost-based maximum and minimum rate levels set forth in the tariff and which are individually filed with the FERC for review and acceptance. When capacity is available and offered for sale, the rates (which include reservation, commodity, surcharges, and fixed fuel and lost and unaccounted for charges) and the terms and conditions at which such capacity is sold are subject to regulatory approval and oversight. Any successful challenge by a regulator or shipper in any of these matters could have a material adverse effect on our business, financial condition, and results of operations.</w:t>
      </w:r>
    </w:p>
    <w:p>
      <w:pPr>
        <w:spacing w:after="0" w:line="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Intrastate pipelines, which may include some pipelines that perform gathering functions, may be subject to safety regulation by the DOT, although typically state regulatory authorities (operating under a federal certification) perform this function. State regulatory authorities also have jurisdiction over the rates and practices of intrastate pipelines and gathering systems, including requirements for ratable takes or non-discriminatory access to pipeline services. The basis for state regulation and the degree of regulatory oversight of gathering systems and intrastate pipelines varies from state to state. In Texas, we are regulated as a gas utility and have filed tariffs with the Railroad Commission of Texas to establish rates and terms of service for our DFW Midstream system assets. We have not been required to file tariffs in the other states in which we operate, although we are required to submit shape files and other information regarding the location and construction of underground gathering pipelines in North Dakota. The states in which we operate have adopted complaint-based regulation that allows natural gas producers and shippers to file complaints with state regulators in an effort to resolve access issues and rate grievances, among other matters. State authorities in the states in which we operate generally have not initiated investigations of the rates or practices of gathering systems or intrastate pipelines in the absence of a complaint. State regulation of intrastate pipelines continues to evolve and may become more stringent in the future.</w:t>
      </w:r>
    </w:p>
    <w:p>
      <w:pPr>
        <w:spacing w:after="0" w:line="7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Natural gas, crude oil and produced water production, gathering and transportation, including the construction of new gathering facilities and expansion of existing gathering facilities may also be subject to local regulation, such as approval and permit requirements.</w:t>
      </w:r>
    </w:p>
    <w:p>
      <w:pPr>
        <w:spacing w:after="0" w:line="4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Statutory Compliance and Anti-Market Manipulation Rules. </w:t>
      </w:r>
      <w:r>
        <w:rPr>
          <w:rFonts w:ascii="Times New Roman" w:cs="Times New Roman" w:eastAsia="Times New Roman" w:hAnsi="Times New Roman"/>
          <w:sz w:val="17"/>
          <w:szCs w:val="17"/>
          <w:color w:val="auto"/>
        </w:rPr>
        <w:t>We are subject to the anti-market manipulation and penalty provisions in the NGA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NGPA, as amended by the Energy Policy Act of 2005, which authorize FERC to impose fines of up to approximately $1.5 million per day per violation of the NGA, the NGPA, or their implementing rules, regulations and orders, subject to future adjustments for inflation. In addition, the FTC holds statutory authority under the Energy Independence and Security Act of 2007 to prevent market manipulation in petroleum markets, including the authority to request that a court impose fines of up to approximately $1.5 million per violation, subject to future adjustment for inflation. These agencies have promulgated broad rules and regulations prohibiting fraud and manipulation in oil and gas markets. The CFTC is directed under the CEA to prevent price manipulations in the commodity and futures markets, including the energy futures markets. Pursuant to statutory authority, the CFTC has adopted anti-market manipulation regulations that prohibit fraud and price manipulation in the commodity and futures markets. The CFTC also has statutory authority to seek civil penalties of up to the greater of approximately $1.5 million per day per violation, subject to future adjustment for inflation, or triple the monetary gain to the violator for violations of the anti-market manipulation sections of the CEA. We are also subject to various reporting requirements that are designed to facilitate transparency and prevent market manipulation.</w:t>
      </w:r>
    </w:p>
    <w:p>
      <w:pPr>
        <w:spacing w:after="0" w:line="6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Safety and Maintenance. </w:t>
      </w:r>
      <w:r>
        <w:rPr>
          <w:rFonts w:ascii="Times New Roman" w:cs="Times New Roman" w:eastAsia="Times New Roman" w:hAnsi="Times New Roman"/>
          <w:sz w:val="17"/>
          <w:szCs w:val="17"/>
          <w:color w:val="auto"/>
        </w:rPr>
        <w:t>We are subject to regulation by the DOT, which establishes federal safety standards for the design, construction, operation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maintenance of natural gas and crude oil pipeline facilities. In the Pipeline Safety Act of 1992, Congress expanded the DOT’s regulatory authority to include regulated gathering lines that had previously been exempt from federal jurisdiction. Additional legislation has been passed over the years to reauthorize federal funding for federal pipeline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7"/>
          <w:szCs w:val="17"/>
          <w:color w:val="auto"/>
        </w:rPr>
        <w:t>programs, increase penalties for safety violations and establish additional safety requirements. For example,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 Legislation is currently pending to extend the reauthorization of PHMSA.</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DOT has delegated the implementation of pipeline safety requirements to PHMSA, which has adopted and enforces safety standards and procedures applicable to a limited number of our pipelines. In addition, many states, including the states in which we operate, have adopted regulations that are identical to or more restrictive than existing PHMSA regulations for intrastate pipelines. Among the regulations applicable to us, PHMSA requires pipeline operators to develop integrity management programs for certain pipelines located in high consequence areas, which include high-population areas such as the Dallas-Fort Worth greater metropolitan area where our DFW Midstream system is located. While the majority of our pipelines have historically met the DOT definition of gathering lines, and were thus exempt from the integrity management requirements of PHMSA, we also operate a limited number of pipelines that are subject to the integrity management requirements. Those regulations require operators, including us, to:</w:t>
      </w:r>
    </w:p>
    <w:p>
      <w:pPr>
        <w:spacing w:after="0" w:line="76" w:lineRule="exact"/>
        <w:rPr>
          <w:sz w:val="20"/>
          <w:szCs w:val="20"/>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ongoing assessments of pipeline integrity;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characterize applicable threats to pipeline segments that could impact a high consequence area;</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processes for data collection, integration and analysis;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repair and remediate pipelines as necessary;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and maintain procedures, standards, and training programs for control room operations;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preventive and mitigating actions.</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 addition, PHMSA has jurisdiction over gathering systems, which includes integrity management requirements. In November 2021, PHMSA issued a final rule that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w:t>
      </w:r>
    </w:p>
    <w:p>
      <w:pPr>
        <w:spacing w:after="0" w:line="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PHMSA has also imposed requirements on onshore gas transmission systems and hazardous liquids pipelines in recent years. PHMSA may issue an emergency order without advance notice or opportunity for a hearing; require pipelines to conduct integrity assessments beyond high consequence areas (“HCAs”) to pipelines in “moderate consequence areas”; and require reporting regarding MAOP, including reporting MAOP exceedances, considering seismicity as a risk factor in integrity management and using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added a requirement to make all lines in or affecting HCAs capable of accommodating in-line inspection tools over the next 20 years. PHMSA also requires natural gas transmission lines to meet certain requirements related to the management of change process, integrity management, corrosion control standards and pipeline inspections, and repairs. In January 2025, PHMSA submitted a final rule to the Federal Register that amends regulations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 However, before the final rule could be published in the Federal Register,</w:t>
      </w:r>
    </w:p>
    <w:p>
      <w:pPr>
        <w:ind w:right="2660"/>
        <w:spacing w:after="0" w:line="259" w:lineRule="auto"/>
        <w:rPr>
          <w:sz w:val="20"/>
          <w:szCs w:val="20"/>
          <w:color w:val="auto"/>
        </w:rPr>
      </w:pPr>
      <w:r>
        <w:rPr>
          <w:rFonts w:ascii="Times New Roman" w:cs="Times New Roman" w:eastAsia="Times New Roman" w:hAnsi="Times New Roman"/>
          <w:sz w:val="17"/>
          <w:szCs w:val="17"/>
          <w:color w:val="auto"/>
        </w:rPr>
        <w:t>President Trump issued a “regulatory freeze” executive order. As a result, the final rule was not published in the Federal Register and has not gone into effect. A bill, H.R. 4818, was introduced in the U.S. House of Representatives in July 2025 to effectuate the January 2025 final rule. This bill is pending.</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Gathering systems like ours are also subject to a number of other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or produced in our operations and that such information be provided to employees, state and local government authorities and the public.</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General. </w:t>
      </w:r>
      <w:r>
        <w:rPr>
          <w:rFonts w:ascii="Times New Roman" w:cs="Times New Roman" w:eastAsia="Times New Roman" w:hAnsi="Times New Roman"/>
          <w:sz w:val="17"/>
          <w:szCs w:val="17"/>
          <w:color w:val="auto"/>
        </w:rPr>
        <w:t>Our operation of pipelines and other assets for the gathering, treating, transportation and/or processing of natural gas and the gathering of crude oil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produced water is subject to stringent and complex federal, state, and local laws and regulations relating to the protection of the environment. As an owner or operator of these assets, we must comply with these laws and regulations at the federal, state, and local levels. These laws and regulations can restrict or impact our business activities in many ways, such as:</w:t>
      </w:r>
    </w:p>
    <w:p>
      <w:pPr>
        <w:spacing w:after="0" w:line="66" w:lineRule="exact"/>
        <w:rPr>
          <w:sz w:val="20"/>
          <w:szCs w:val="20"/>
          <w:color w:val="auto"/>
        </w:rPr>
      </w:pPr>
    </w:p>
    <w:p>
      <w:pPr>
        <w:ind w:left="1240" w:hanging="618"/>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installation of pollution-control equipment or otherwise restricting the way we operate;</w:t>
      </w:r>
    </w:p>
    <w:p>
      <w:pPr>
        <w:spacing w:after="0" w:line="113" w:lineRule="exact"/>
        <w:rPr>
          <w:rFonts w:ascii="Times New Roman" w:cs="Times New Roman" w:eastAsia="Times New Roman" w:hAnsi="Times New Roman"/>
          <w:sz w:val="17"/>
          <w:szCs w:val="17"/>
          <w:color w:val="auto"/>
        </w:rPr>
      </w:pPr>
    </w:p>
    <w:p>
      <w:pPr>
        <w:ind w:left="1240" w:right="80" w:hanging="618"/>
        <w:spacing w:after="0" w:line="287"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or prohibiting construction activities in sensitive areas, such as wetlands, coastal regions or areas inhabited by endangered or threatened species;</w:t>
      </w:r>
    </w:p>
    <w:p>
      <w:pPr>
        <w:spacing w:after="0" w:line="48"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delaying system modification or upgrades during permit reviews;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investigatory and remedial actions to mitigate pollution conditions caused by our operations or attributable to former operations; and</w:t>
      </w:r>
    </w:p>
    <w:p>
      <w:pPr>
        <w:spacing w:after="0" w:line="113" w:lineRule="exact"/>
        <w:rPr>
          <w:rFonts w:ascii="Times New Roman" w:cs="Times New Roman" w:eastAsia="Times New Roman" w:hAnsi="Times New Roman"/>
          <w:sz w:val="17"/>
          <w:szCs w:val="17"/>
          <w:color w:val="auto"/>
        </w:rPr>
      </w:pPr>
    </w:p>
    <w:p>
      <w:pPr>
        <w:ind w:left="1240" w:right="40" w:hanging="618"/>
        <w:spacing w:after="0" w:line="287" w:lineRule="auto"/>
        <w:tabs>
          <w:tab w:leader="none" w:pos="12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enjoining the operations of facilities deemed to be in non-compliance with permits or permit requirements issued pursuant to or imposed by such environmental laws and regulations.</w:t>
      </w:r>
    </w:p>
    <w:p>
      <w:pPr>
        <w:spacing w:after="0" w:line="4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Failure to comply with these laws and regulations may trigger administrative, civil, and criminal enforcement measures, including the assessment of monetary penalties. Certain environmental statutes impose strict joint and several liability for costs required to clean up and restore sites where substances, hydrocarbons, or wastes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spacing w:after="0" w:line="6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7"/>
          <w:szCs w:val="17"/>
          <w:color w:val="auto"/>
        </w:rPr>
        <w:t>The trend in environmental regulation has historically been to place more stringent requirements, resulting in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and future regulations.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discussion of the material environmental laws and regulations that relate to our business.</w:t>
      </w:r>
    </w:p>
    <w:p>
      <w:pPr>
        <w:spacing w:after="0" w:line="1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Hazardous Substances and Waste. </w:t>
      </w:r>
      <w:r>
        <w:rPr>
          <w:rFonts w:ascii="Times New Roman" w:cs="Times New Roman" w:eastAsia="Times New Roman" w:hAnsi="Times New Roman"/>
          <w:sz w:val="17"/>
          <w:szCs w:val="17"/>
          <w:color w:val="auto"/>
        </w:rPr>
        <w:t>Our operations are subject to environmental laws and regulations relating to the management and release of solid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hazardous wastes and other substances, including hydrocarbons. These laws generally regulate the generation, storage, treatment, transportation, and disposal of solid and hazardous waste and may impose strict joint and several liability for the investigation and remediation of affected areas where hazardous substances may have been released or disposed. Furthermore, the Toxic Substances Control Act and analogous state laws impose requirements on the use, storage and disposal of various chemicals and chemical substances at our facilities. CERCLA and comparable state laws impose liability, without regard to fault or the legality of the original conduct, on certain classes of persons that contributed to the release of a hazardous substance into the environment. We may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spacing w:after="0" w:line="7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7"/>
          <w:szCs w:val="17"/>
          <w:color w:val="auto"/>
        </w:rPr>
        <w:t>We also generate industrial wastes that are subject to the requirements of the RCRA and comparable state statutes. While the RCRA regulates both solid and hazardous wastes, it imposes strict requirements on the generation, storage, treatment, transportation, and disposal of hazardous wastes. Although we generate minimal hazardous waste, it is possible that non-hazardous wastes, which could include wastes currently generated during our operations, will in the future be designated as hazardous wastes and, therefore, be subject to more rigorous and costly disposal requirements. Moreover, from time to time, the EPA and state regulatory agencies have considered the adoption of stricter disposal standards for non-hazardous wastes, including natural gas wastes and expansion of the definition of hazardous materials to include new substances, such as per- and polyfluoroalkyl substances.</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currently own or lease properties where hydrocarbons are being or have been handled for many years. Although we believe that the previous operators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transported for treatment or disposal, without our knowledge. These properties and the wastes disposed thereon may be subject to CERCLA, the RCRA and analogous state laws. Under these laws, we could be required to remove or remediate previously disposed wastes (including wastes disposed of or released by prior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owners or operators), to clean up contaminated property (including contaminated groundwater) or to perform remedial operations to prevent future contamination.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not currently aware of any facts, events or conditions relating to such requirements that could materially impact our operations or financial condition.</w:t>
      </w:r>
    </w:p>
    <w:p>
      <w:pPr>
        <w:spacing w:after="0" w:line="9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Air Emissions. </w:t>
      </w:r>
      <w:r>
        <w:rPr>
          <w:rFonts w:ascii="Times New Roman" w:cs="Times New Roman" w:eastAsia="Times New Roman" w:hAnsi="Times New Roman"/>
          <w:sz w:val="17"/>
          <w:szCs w:val="17"/>
          <w:color w:val="auto"/>
        </w:rPr>
        <w:t>Our operations are subject to the federal CAA and comparable state and local laws and regulations. These laws and regulations regulate emissions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air pollutants from various industrial sources, including our facilities, and also impose various monitoring, control,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criminal enforcement actions. Furthermore, we may be required to incur certain capital expenditures in the future to obtain and maintain operating permits and approvals for air pollutant emitting sources.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October 2015, the EPA issued a new lower NAAQS for ozone. The previous ozone standard was set at 75 ppb. The revised standard has been lowered to 70 ppb. The lowered ozone NAAQS could subject us to increased regulatory burdens in the form of more stringent emission controls, emission offset requirements and increased permitting delays and costs. In October 2022, the EPA reclassified the Dallas Fort Worth area as severe nonattainment under the 75 ppb standard and moderate nonattainment under the 70 ppb standard. As part of the same action, the EPA also reclassified portions of Weld County, Colorado as severe nonattainment under the 75 ppb standard. In July 2022, the EPA notified the State of Texas that it was considering redesignating an area comprising several Texas and New Mexico counties in the Permian Basin as a new ozone nonattainment area. However, the EPA deprioritized the redesignation of the Permian Basin in 2023. Such reclassifications and redesignations in areas where we operate could result in additional fees and more stringent permitting requirements for our operations, among other things. In addition, the EPA reviewed the 2015 70 ppb standard in 2020, but retained the standard without revision. Future actions to lower the standard could similarly result in additional fees or more stringent permitting.</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June 2016, the EPA finalized revisions to its 2012 New Source Performance Standard (“NSPS”) OOOO for the oil and gas industry, to reduce emissions of greenhouse gases - most notably methane - along with smog-forming VOCs. The revisions, which are published in the Federal Register under Subpart OOOOa, included the addition of methane to the pollutants covered by the rule, along with requirements for detecting and repairing leaks at gathering and boosting stations. Further, in November 2021, the EPA issued a new proposed rule targeting methane emissions from new and existing oil and gas sources. The proposed rule sought to: (1) update NSPS OOOOa; (2) adopt a new NSPS OOOOb for sources that commence construction, modification or reconstruction after the date the proposed rule is published in the Federal Register; and (3) adopt a new NSPS OOOOc to establish emissions guidelines, which will inform state plans to establish standards for existing sources. The EPA issued a supplemental proposal in November 2022 to update and expand the proposed NSPS OOOOb and OOOOc rules. This supplemental proposal sought to impose more stringent requirements and include sources not previously regulated under this source category. In December 2023, the EPA announced its final methane rules, later published on March 8, 2024, which impose several new methane emission requirements on the oil and gas industry. These increasingly stringent requirements, or the application of new requirements to existing facilities, could result in additional restrictions on operations and increased compliance costs for us or our customers. However, in January 2025, President Trump issued an executive order directing the heads of all federal agencies to identify and begin the processes to suspend, revise, or rescind all agency actions that are unduly burdensome on the identification, development, or use of domestic energy resources. In addition, in March 2025, the EPA announced that it would reconsider the final methane rules, including NSPS OOOOb and OOOOc. In December 2025, the EPA issued a final rule that extends several compliance deadlines in the 2024 NSPS and Emissions Guidelines for OOOOb and OOOOc. Consequently, future implementation and enforcement of the final rules remains uncertain at this time.</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November 2016, the BLM issued a final rule to reduce venting and flaring of natural gas on public and Indian lands. The final rule mirrored many of the requirements found in NSPS OOOOa, with additional natural gas royalty requirements for flared volumes at sites already connected to gas capture infrastructure. The rule was vacated by a Wyoming federal district judge in 2020. However, the BLM finalized a new rule in April 2024, similarly designed to reduce the waste of natural gas from venting, flaring, and leaks during oil and gas production activities on federal and Indian leases. In April 2024, North Dakota, Montana, Texas, Wyoming, and Utah filed a lawsuit in federal district court challenging the rule. In September 2024, the court granted a preliminary injunction enjoining the BLM from enforcing the rule in the plaintiff states and the litigation remains ongoing. The rule, which went into effect in all other states on June 10, 2024, is expected to have little or no direct impact on our operations. In November 2025, the BLM announced that it would postpone enforcement of two provisions from the April 2024 rule that were originally set to take effect in December 2025. These provisions include requirements for measurement devices and sampling for flares with flow rates between 1,050 and 6,000 Mcf per month, as well as the obligation for operators to submit leak detection and repair plans to the state BLM office. However, our customers that are primarily upstream wellhead operators may be impacted by the requirements in this rule.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ind w:right="100"/>
        <w:spacing w:after="0" w:line="261" w:lineRule="auto"/>
        <w:rPr>
          <w:sz w:val="20"/>
          <w:szCs w:val="20"/>
          <w:color w:val="auto"/>
        </w:rPr>
      </w:pPr>
      <w:r>
        <w:rPr>
          <w:rFonts w:ascii="Times New Roman" w:cs="Times New Roman" w:eastAsia="Times New Roman" w:hAnsi="Times New Roman"/>
          <w:sz w:val="17"/>
          <w:szCs w:val="17"/>
          <w:color w:val="auto"/>
        </w:rPr>
        <w:t>In past years, the EPA has also demonstrated an increased focus on CAA compliance for natural gas gathering operations. For example, in September 2019, the EPA issued an enforcement alert noting that the EPA identified CAA noncompliance caused by unauthorized and/or excess emissions from depressurizing pig launchers and receivers in natural gas gathering operations. The alert discussed engineering, design, operations and maintenance practices that the EPA found that can cause noncompliance and summarizes engineering solutions to reduce emissions. This increased focus on natural gas gathering operations and any resulting enforcement actions by the EPA or state agencies could subject us to monetary penalties, injunctions, conditions, or restrictions on operations.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Water Discharges. </w:t>
      </w:r>
      <w:r>
        <w:rPr>
          <w:rFonts w:ascii="Times New Roman" w:cs="Times New Roman" w:eastAsia="Times New Roman" w:hAnsi="Times New Roman"/>
          <w:sz w:val="17"/>
          <w:szCs w:val="17"/>
          <w:color w:val="auto"/>
        </w:rPr>
        <w:t>The CWA and analogous state laws impose restrictions and strict controls regarding the discharge of pollutants into regulated waters,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impacts our ability to conduct construction activities in waters and wetlands. Certain state regulations and the general permits issued under the Federal National Pollutant Discharge Elimination System program prohibit the discharge of pollutants and chemicals. In addition, the CWA and analogous state laws require individual permits or coverage under general permits for discharges of storm water runoff from certain types of facilities. These permits require us to control storm water runoff from some of our facilities. Some states also maintain groundwater protection programs that require permits for discharges or operations that may impact groundwater conditions. Federal and state regulatory agencies can impose administrative, civil, and criminal penalties for non-compliance with discharge permits or other requirements of the CWA and analogous state laws and regulations. Except as otherwise disclosed in this annual report, we believe that we are in substantial compliance with all applicable requirements of the CWA and analogous state laws and regulations relating to water discharges.</w:t>
      </w:r>
    </w:p>
    <w:p>
      <w:pPr>
        <w:spacing w:after="0" w:line="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Oil Pollution Control Act. </w:t>
      </w:r>
      <w:r>
        <w:rPr>
          <w:rFonts w:ascii="Times New Roman" w:cs="Times New Roman" w:eastAsia="Times New Roman" w:hAnsi="Times New Roman"/>
          <w:sz w:val="17"/>
          <w:szCs w:val="17"/>
          <w:color w:val="auto"/>
        </w:rPr>
        <w:t>The OPA requires the preparation of an SPCC plan for facilities engaged in drilling, producing, gathering, storing, processing, refining,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transferring, distributing, using, or consuming oil and oil products and which due to their location, could reasonably be expected to discharge oil in harmful quantities into or upon the navigable waters of the U.S. The owner or operator of an SPCC-regulated facility is required to prepare a written, site-specific spill prevention plan, which details how a facility’s operations comply with the requirements. To be in compliance, the facility’s SPCC plan must satisfy all of the applicable requirements for drainage, bulk storage tanks, tank car and truck loading and unloading, transfer operations (intrafacility piping), inspections and records, security and training. Certain of our facilities are classified as SPCC-regulated facilities. We believe that they are in substantial compliance with all applicable requirements of OPA.</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Hydraulic Fracturing. </w:t>
      </w:r>
      <w:r>
        <w:rPr>
          <w:rFonts w:ascii="Times New Roman" w:cs="Times New Roman" w:eastAsia="Times New Roman" w:hAnsi="Times New Roman"/>
          <w:sz w:val="17"/>
          <w:szCs w:val="17"/>
          <w:color w:val="auto"/>
        </w:rPr>
        <w:t>Hydraulic fracturing is an important practice that is used to stimulate production of natural gas and/or crude oil from dense subsurface rock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formations and is primarily regulated by state agencies. A number of states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California, New York, Maryland, Oregon,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could restrict oil and gas development in the future.</w:t>
      </w:r>
    </w:p>
    <w:p>
      <w:pPr>
        <w:spacing w:after="0" w:line="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EPA has also moved forward with various regulatory actions, including new regulations under the NSPS to expand and strengthen emissions reduction requirements under NSPS OOOOa for new, modified, and reconstructed oil and natural gas sources and require states to reduce methane emissions from existing sources nationwide. For further discussion of NSPS OOOOa and subsequent actions by the EPA, see the “Air Emissions” section above.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A motion by the State of California to voluntarily dismiss the appeal was granted in September 2025. The March 2015 rule currently remains rescinded</w:t>
      </w:r>
    </w:p>
    <w:p>
      <w:pPr>
        <w:spacing w:after="0" w:line="7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Further, several federal governmental agencies (including the EPA) have conducted reviews and studies on the environmental aspects of hydraulic fracturing, including the EPA. The results of such reviews or studies could spur initiatives to further regulate hydraulic fracturing.</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Oklahoma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7"/>
          <w:szCs w:val="17"/>
          <w:color w:val="auto"/>
        </w:rPr>
        <w:t>Additionally, certain of our customers produce oil and gas on federal lands. On January 20, 2021, the Acting Secretary for the DOI signed an order effectively suspending new fossil fuel leasing and permitting on federal lands for 60 days. In April 2024, the DOI issued a final rule updating its onshore oil and gas leasing program, which includes revised royalty rates and bonding requirements and attempts to direct oil and gas development away from wildlife habitat and cultural sites. However, in January 2025, President Trump issued executive orders directing the heads of federal agencies to (i) facilitate the leasing of domestic energy resources, including on federal lands and (ii) identify and begin the processes to suspend, revise, or rescind all agency actions that impose an undue burden on the identification, development, or use of domestic energy resources. In addition, in September 2025, the DOI announced its intent to rescind the April 2024 rule. As a result, future implementation and enforcement of the final rule remains uncertain.</w:t>
      </w:r>
    </w:p>
    <w:p>
      <w:pPr>
        <w:spacing w:after="0" w:line="7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64"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Endangered Species Act. </w:t>
      </w:r>
      <w:r>
        <w:rPr>
          <w:rFonts w:ascii="Times New Roman" w:cs="Times New Roman" w:eastAsia="Times New Roman" w:hAnsi="Times New Roman"/>
          <w:sz w:val="17"/>
          <w:szCs w:val="17"/>
          <w:color w:val="auto"/>
        </w:rPr>
        <w:t>The Endangered Species Act restricts activities that may affect endangered or threatened species or their habitats. Some of our pipelines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located in areas that are designated as habitats for endangered or threatened species.</w:t>
      </w:r>
    </w:p>
    <w:p>
      <w:pPr>
        <w:spacing w:after="0" w:line="4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National Environmental Policy Act. </w:t>
      </w:r>
      <w:r>
        <w:rPr>
          <w:rFonts w:ascii="Times New Roman" w:cs="Times New Roman" w:eastAsia="Times New Roman" w:hAnsi="Times New Roman"/>
          <w:sz w:val="17"/>
          <w:szCs w:val="17"/>
          <w:color w:val="auto"/>
        </w:rPr>
        <w:t>NEPA establishes a national environmental policy and goals for the protection, maintenance and enhancement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 and provides a process for implementing these goals within federal agencies. Major projects requiring federal permits or involving federal funding that have the potential to significantly impact the environment require review under NEPA. Many of our activities are covered under categorical exclusions which result in an expedited NEPA review process. Large upstream and downstream projects with significant cumulative impacts may be subject to longer NEPA review processes, which could impact the timing of those projects and our services associated with them. However, in January 2025, President Trump issued an executive order requiring the White House Council on Environmental Quality (“CEQ”) to propose rescinding the NEPA regulations and provide guidance regarding promulgating consistent NEPA implementing regulations at the agency level. The executive order also instructs federal agencies to adhere to only the relevant legislated requirements for environmental reviews and to prioritize efficiency and certainty over any other objectives in such reviews. In February 2025, CEQ issued an interim final rule to withdraw the NEPA implementing regulations. In January 2026, CEQ finalized the February 2025 rule, immediately rescinding NEPA implementing regulations. The potential impact of further changes to the NEPA regulations and statutory text therefore remains uncertain and could affect our operations.</w:t>
      </w:r>
    </w:p>
    <w:p>
      <w:pPr>
        <w:spacing w:after="0" w:line="6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Climate Change. </w:t>
      </w:r>
      <w:r>
        <w:rPr>
          <w:rFonts w:ascii="Times New Roman" w:cs="Times New Roman" w:eastAsia="Times New Roman" w:hAnsi="Times New Roman"/>
          <w:sz w:val="17"/>
          <w:szCs w:val="17"/>
          <w:color w:val="auto"/>
        </w:rPr>
        <w:t>The EPA has adopted regulations under the CAA that, among other things, establish PSD construction and Title V operating permit reviews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certain large stationary sources that are potential major sources of GHG emissions. Facilities required to obtain PSD permits for their GHG emissions also will be required to meet “best available control technology” standards that will be established by the states or, in some cases, by the EPA on a case-by-case basis.</w:t>
      </w:r>
    </w:p>
    <w:p>
      <w:pPr>
        <w:spacing w:after="0" w:line="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EPA rules also require the reporting of GHG emissions from specified large GHG-emitting sources in the U.S., including onshore and offshore oil and natural gas systems. We are required to report under these rules for our assets that have GHG emissions above the reporting thresholds. In October 2015, the EPA issued revisions to Subpart W of the GHG reporting rule to include reporting requirements for gathering and booster stations, onshore natural gas transmission pipelines and completions and workovers of oil wells with hydraulic fracturing. This development resulted in increased monitoring and reporting for our operations and for upstream producers for whom we provide midstream services. Further, the IRA, signed into law in August 2022, included a Methane Emissions Reduction Program to incentivize methane emission reductions and imposed a “Waste Emissions Charge” (“WEC”) on GHG emissions from certain oil and gas facilities. Emissions reported under the GHG reporting rule would be the basis for any payments under the Methane Emissions Reduction Program. However, in March 2025, President Trump signed Congress’ Joint Resolution of Disapproval of the WEC and in May 2025, the EPA issued a final rule removing the WEC regulations from the Code of Federal Regulations. In July 2025, the One Big Beautiful Bill Act postponed the WEC’s effective date to 2034. Consequently, future implementation and enforcement of these rules remains uncertain at this time.</w:t>
      </w:r>
    </w:p>
    <w:p>
      <w:pPr>
        <w:spacing w:after="0" w:line="7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ind w:right="800"/>
        <w:spacing w:after="0" w:line="287" w:lineRule="auto"/>
        <w:rPr>
          <w:sz w:val="20"/>
          <w:szCs w:val="20"/>
          <w:color w:val="auto"/>
        </w:rPr>
      </w:pPr>
      <w:r>
        <w:rPr>
          <w:rFonts w:ascii="Times New Roman" w:cs="Times New Roman" w:eastAsia="Times New Roman" w:hAnsi="Times New Roman"/>
          <w:sz w:val="17"/>
          <w:szCs w:val="17"/>
          <w:color w:val="auto"/>
        </w:rPr>
        <w:t>focused on large sources of GHG emissions, such as electric power plants, it is possible that certain components of our operations, such as our gas-fired compressors, could become subject to state-level GHG-related regulation.</w:t>
      </w:r>
    </w:p>
    <w:p>
      <w:pPr>
        <w:spacing w:after="0" w:line="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At the international level, the U.S. joined the international community at the 21st Conference of the Parties to the United Nations Framework Convention on Climate Change in Paris, France in 2015, which resulted in the Paris Agreement, an agreement for signatory countries to nationally determine their contributions and set GHG emission reduction goals. In January 2025, President Trump issued an executive order directing the immediate notice to the United Nations of the U.S.’ withdrawal from the Paris Agreement and all other agreements made under the United Nations Framework Convention on Climate Change. The withdrawal became effective in January 2026. The U.S. did not send an official delegation to COP30 and on January 7, 2026, President Trump announced the formal withdrawal of the U.S. from the United Nations Framework Convention on Climate Change in a presidential memorandum. At the same time, various state and local governments have committed to continue furthering the goals of the Paris Agreement and many of these initiatives are expected to continue. Adoption of additional regulations or changes to existing regulations related to climate change could have a material adverse effect on our business and that of our customers.</w:t>
      </w:r>
    </w:p>
    <w:p>
      <w:pPr>
        <w:spacing w:after="0" w:line="7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Legislation or regulations that may be adopted to address climate change could also affect the markets for our products and those of our customers, by making our products more or less desirable than competing sources of energy. For example, a number of local governments across the country have banned or considered instituting bans on gas-fired appliances in newly constructed homes and other buildings. To the extent that our products are competing with higher GHG-emitting energy sources, our products would become more desirable in the market with more stringent limitations on GHG emissions. Conversely, to the extent that our products are competing with lower GHG-emitting energy sources such as solar and wind, our products would become less desirable in the market with more stringent limitations on GHG emissions.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11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Human Capital Resources. </w:t>
      </w:r>
      <w:r>
        <w:rPr>
          <w:rFonts w:ascii="Times New Roman" w:cs="Times New Roman" w:eastAsia="Times New Roman" w:hAnsi="Times New Roman"/>
          <w:sz w:val="17"/>
          <w:szCs w:val="17"/>
          <w:color w:val="auto"/>
        </w:rPr>
        <w:t>We recognize that our continued ability to attract, retain and motivate exceptional employees is vital to ensuring our long-term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competitive advantage and the ability to create value for our shareholders. Our employees are critical to our long-term success and are essential to helping us meet our goals. Among other things, we support and incentivize our employees in the following ways:</w:t>
      </w:r>
    </w:p>
    <w:p>
      <w:pPr>
        <w:spacing w:after="0" w:line="61" w:lineRule="exact"/>
        <w:rPr>
          <w:sz w:val="20"/>
          <w:szCs w:val="20"/>
          <w:color w:val="auto"/>
        </w:rPr>
      </w:pPr>
    </w:p>
    <w:p>
      <w:pPr>
        <w:ind w:left="940" w:right="40" w:hanging="318"/>
        <w:spacing w:after="0" w:line="260"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Talent development, compensation, and retention – We strive to provide our employees with a rewarding work environment, including the opportunity for success and a platform for personal and professional development. We provide a competitive benefits package designed to attract and retain a skilled workforce. We offer our employees a comprehensive benefits package, which includes company funded health plan options, vision and dental coverage, healthcare savings account, paid time off, parental leave and flexible spending accounts. We also provide professional training and development opportunities as well as education reimbursement. We also offer employees immediate eligibility in our 401(k) plan with company matching program.</w:t>
      </w:r>
    </w:p>
    <w:p>
      <w:pPr>
        <w:spacing w:after="0" w:line="70" w:lineRule="exact"/>
        <w:rPr>
          <w:rFonts w:ascii="Times New Roman" w:cs="Times New Roman" w:eastAsia="Times New Roman" w:hAnsi="Times New Roman"/>
          <w:sz w:val="17"/>
          <w:szCs w:val="17"/>
          <w:color w:val="auto"/>
        </w:rPr>
      </w:pPr>
    </w:p>
    <w:p>
      <w:pPr>
        <w:ind w:left="940" w:right="360" w:hanging="318"/>
        <w:spacing w:after="0" w:line="28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and safety – Employee health and safety in the workplace is one of our core values. Some of the ways in which we support the health and safety of our employees include wellness programs with incentives and employee assistance programs.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Inclusion – We are committed to efforts to foster an inclusive work environment that strengthens our workforce.</w:t>
      </w:r>
    </w:p>
    <w:p>
      <w:pPr>
        <w:spacing w:after="0" w:line="11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employed 296 people who provide direct, full-time support to our operations. None of our employees are covered by collective bargaining agreements and we have not experienced any business interruption as a result of any labor disputes.</w:t>
      </w:r>
    </w:p>
    <w:p>
      <w:pPr>
        <w:spacing w:after="0" w:line="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Availability of Reports. </w:t>
      </w:r>
      <w:r>
        <w:rPr>
          <w:rFonts w:ascii="Times New Roman" w:cs="Times New Roman" w:eastAsia="Times New Roman" w:hAnsi="Times New Roman"/>
          <w:sz w:val="17"/>
          <w:szCs w:val="17"/>
          <w:color w:val="auto"/>
        </w:rPr>
        <w:t>We make certain filings with the SEC, including, among other filings, this annual report on Form 10-K, quarterly reports on Form 10-Q,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 reports on Form 8-K and all amendments and exhibits to those reports, available free of charge through our website, www.summitmidstream.com, as soon as reasonably practicable after the date they are filed with, or furnished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 The SEC maintains a website that contains reports, proxy and information statements and other information regarding issuers that file electronically with the SEC through the SEC’s website, https://www.sec.gov.</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You should carefully consider the following risk factors in addition to the other information included in this Annual Report. Each of these risk factors could adversely affect our business, operating results, and financial condition, as well as adversely affect the value of an investment in our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112"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from operations following the establishment of cash reserves and payment of fees and expenses to enable us to pay dividends to holders of our Series A Preferred Stock and common stock</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may not have sufficient available cash from operating surplus each quarter to pay the dividends to holders of our Series A Preferred Stock and common stock. We have not made a distribution on our common stock since we announced suspension of those dividends on May 3, 2020. Because our Series A Preferred Stock rank senior to our common stock with respect to divided rights, any accrued amounts on our Series A Preferred Stock must first be paid prior to our resumption of dividends to our holders of common stock. As of December 31, 2025, the amount of accrued and unpaid dividends on the Series A Preferred Stock totaled $46.6 million. In March 2026, the Company’s Board of Directors approved the payment of any and all accrued and unpaid 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w:t>
      </w:r>
    </w:p>
    <w:p>
      <w:pPr>
        <w:spacing w:after="0" w:line="7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Further, absent a material change to our business, we do not expect to pay dividends on the common stock in the foreseeable future, and our outstanding indebtedness currently restricts our ability to pay cash dividends on any of our equity securities. We intend to use our cash flow to reduce debt and invest in our business.</w:t>
      </w:r>
    </w:p>
    <w:p>
      <w:pPr>
        <w:spacing w:after="0" w:line="6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amount of cash we can distribute on our common stock principally depends upon the amount of cash we generate from our operations, which will fluctuate from quarter to quarter based on, among other things:</w:t>
      </w:r>
    </w:p>
    <w:p>
      <w:pPr>
        <w:spacing w:after="0" w:line="48"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volumes we gather, transport, treat and process;</w:t>
      </w:r>
    </w:p>
    <w:p>
      <w:pPr>
        <w:spacing w:after="0" w:line="113"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production of natural gas and crude oil (and associated volumes of produced water) from wells connected to our gathering systems, which is dependent in part on the demand for, and the market prices of, crude oil, natural gas and NGLs;</w:t>
      </w:r>
    </w:p>
    <w:p>
      <w:pPr>
        <w:spacing w:after="0" w:line="48"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pipelines, facilities, related equipment, and surrounding properties caused by earthquakes, floods, fires, severe weather, explosions and other natural disasters, accidents, and acts of terrorism;</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leaks or accidental releases of hazardous materials into the environment;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and seasonal trends;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fees we charge for our services;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contractual MVCs and our customer’s capacity to make MVC shortfall payments when due;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competition from other midstream energy companies in our areas of operation;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level of our operating, maintenance and general and administrative expenses;</w:t>
      </w:r>
    </w:p>
    <w:p>
      <w:pPr>
        <w:spacing w:after="0" w:line="113" w:lineRule="exact"/>
        <w:rPr>
          <w:rFonts w:ascii="Times New Roman" w:cs="Times New Roman" w:eastAsia="Times New Roman" w:hAnsi="Times New Roman"/>
          <w:sz w:val="17"/>
          <w:szCs w:val="17"/>
          <w:color w:val="auto"/>
        </w:rPr>
      </w:pPr>
    </w:p>
    <w:p>
      <w:pPr>
        <w:ind w:left="620" w:right="44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 affecting the supply of, or demand for, crude oil, natural gas and NGLs, the fees we can charge, how we contract for services, our existing contracts, our operating and maintenance costs or our operating flexibility;</w:t>
      </w:r>
    </w:p>
    <w:p>
      <w:pPr>
        <w:spacing w:after="0" w:line="48"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impacts from epidemics, including disruptions in demand for oil, natural gas and other petroleum products, supply chain disruptions, and decreased productivity resulting from illness, travel restrictions, quarantine, or government mandates;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economic and market conditions.</w:t>
      </w:r>
    </w:p>
    <w:p>
      <w:pPr>
        <w:spacing w:after="0" w:line="1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In addition, the actual amount of cash we have available for distribution to our holders of common stock depends on other factors, some of which are beyond our control, including:</w:t>
      </w:r>
    </w:p>
    <w:p>
      <w:pPr>
        <w:spacing w:after="0" w:line="48"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and timing of capital expenditures we make;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our operating, maintenance and general and administrative expenses;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acquisitions, if any;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sell assets, if any, and the price that we may receive for such assets;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debt service requirements and other liabilities;</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99" w:right="419" w:bottom="1440" w:gutter="0" w:footer="0" w:header="0"/>
        </w:sectPr>
      </w:pPr>
    </w:p>
    <w:bookmarkStart w:id="32" w:name="page33"/>
    <w:bookmarkEnd w:id="32"/>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working capital needs;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borrow funds and access the debt and equity capital markets;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contained in our debt agreements;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cash reserves established by us;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receiving anticipated shortfall payments from our customers;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legal judgments, fines and settlements;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if any, paid on our Series A Preferred Stock or on the preferred stock of our subsidiaries;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business risks affecting our cash levels.</w:t>
      </w:r>
    </w:p>
    <w:p>
      <w:pPr>
        <w:spacing w:after="0" w:line="108"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depend on a relatively small number of customers for a significant portion of our revenues. The loss of, or material nonpayment or nonperformance by, or the curtailment of production by, any one or more of our customers could materially adversely affect our revenues, cash flows, and results of operations.</w:t>
      </w:r>
    </w:p>
    <w:p>
      <w:pPr>
        <w:spacing w:after="0" w:line="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cash flows, and results of operations. We expect our exposure to concentrated risk of nonpayment or nonperformance to continue as long as we remain substantially dependent on a relatively small number of customers for a significant portion of our revenues.</w:t>
      </w:r>
    </w:p>
    <w:p>
      <w:pPr>
        <w:spacing w:after="0" w:line="6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If any of our customers curtail or reduce production in our areas of operation, it could reduce throughput on our systems and, therefore, materially adversely affect our revenues, cash flows, and results of operations.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Further, we are subject to the risk of non-payment or non-performance by our larger customers. We cannot predict the extent to which our customers’ businesses would be impacted if conditions in the energy industry deteriorate, nor can we estimate the impact such conditions would have on any of our customers’ abilities to execute their drilling and development programs or perform under our gathering and processing agreements. An extended low commodity price environment negatively impacts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spacing w:after="0" w:line="70" w:lineRule="exact"/>
        <w:rPr>
          <w:sz w:val="20"/>
          <w:szCs w:val="20"/>
          <w:color w:val="auto"/>
        </w:rPr>
      </w:pPr>
    </w:p>
    <w:p>
      <w:pPr>
        <w:ind w:right="9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43"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cash flows. In addition, there can be no assurance that our contract counterparties will perform or adhere to existing or future contractual arrangements, including making any required shortfall payments or other payments due under their respective contracts.</w:t>
      </w:r>
    </w:p>
    <w:p>
      <w:pPr>
        <w:spacing w:after="0" w:line="68"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7"/>
          <w:szCs w:val="17"/>
          <w:color w:val="auto"/>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spacing w:after="0" w:line="6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spacing w:after="0" w:line="6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Significant prolonged weakness in natural gas, NGL and crude oil prices could reduce throughput on our systems and materially adversely affect our revenues and results of operations.</w:t>
      </w:r>
    </w:p>
    <w:p>
      <w:pPr>
        <w:spacing w:after="0" w:line="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Lower natural gas, NGL and crude oil prices could negatively impact exploration, development and production of natural gas and crude oil, thereby resulting in reduced throughput on our gathering systems. If natural gas, NGL and/or crude oil prices decrease, it could cause sustained reductions in exploration or production activity in our areas of operation and result in a further reduction in throughput on our systems, which could have a material adverse effect on our business, financial condition, results of operations and cash flows. In the first half of 2025, the Henry Hub Natural Gas Spot Price declined from a monthly average of $4.13 per MMBtu in January 2025 to a monthly average of $2.91 per MMBtu in August 2025, before trending upward in the latter months of 2025 to close the year at $4.00 per MMBtu on December 31, 2025. As of January 31, 2026, Henry Hub 12-month strip pricing closed at $7.71 per MMBtu. In the first half of 2025, Cushing, Oklahoma West Texas Intermediate crude oil spot prices decreased from a monthly average of $75.74 per barrel in January 2025 to a monthly average of $63.54 per barrel in April 2025, before trending downward in the latter half of 2025 to close the year at $57.26 per barrel on December 31, 2025. As of January 31, 2026, West Texas Intermediate 12-month strip pricing closed at $60.26 per barrel. Currently, oil prices are experiencing significant volatility due to the ongoing U.S. military operation in Iran.</w:t>
      </w:r>
    </w:p>
    <w:p>
      <w:pPr>
        <w:spacing w:after="0" w:line="6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spacing w:after="0" w:line="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spacing w:after="0" w:line="7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spacing w:after="0" w:line="62"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capital;</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and projected hydrocarbon commodity prices;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crude oil, natural gas, and other hydrocarbon products, including NGLs;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levels of reserves;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geological considerations;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or other governmental regulations, including the availability of drilling permits and the regulation of hydraulic fracturing;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drilling rigs and other costs of production and equipment.</w:t>
      </w:r>
    </w:p>
    <w:p>
      <w:pPr>
        <w:spacing w:after="0" w:line="11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Fluctuations in energy prices can also greatly affect the development of new crude oil and natural gas reserves. Drilling and production activities generally decrease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spacing w:after="0" w:line="62"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economic and geopolitical conditions, including the ongoing U.S. military operation in Iran;</w:t>
      </w:r>
    </w:p>
    <w:p>
      <w:pPr>
        <w:spacing w:after="0" w:line="113"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or national health concerns, including the outbreak of pandemic or contagious disease, such as COVID-19, which may reduce demand for crude oil, natural gas, and NGLs because of reduced global or national economic activity;</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and seasonal trends;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levels of domestic production and consumer demand;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imported LNG;</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export LNG;</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transportation and storage systems with adequate capacity;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and uncertainty of regional pricing differentials and premiums;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and availability of alternative fuels, including alternative fuels that benefit from government subsidies;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energy conservation measures;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availability of alternative energy sources;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and extent of governmental regulation and taxation;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future prices of crude oil, natural gas and other hydrocarbon products, including NGLs.</w:t>
      </w:r>
    </w:p>
    <w:p>
      <w:pPr>
        <w:spacing w:after="0" w:line="11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results of operations.</w:t>
      </w:r>
    </w:p>
    <w:p>
      <w:pPr>
        <w:spacing w:after="0" w:line="6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transportation,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spacing w:after="0" w:line="7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Many of our costs are fixed and do not vary with our throughput. These costs will not decline ratably or at all should we experience a reduction in throughput, which could result in a decline in our revenues and cash flows and materially adversely affect our results of operations and financial condition.</w:t>
      </w:r>
    </w:p>
    <w:p>
      <w:pPr>
        <w:spacing w:after="0" w:line="42"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customers do not increase the volumes they provide to our gathering systems, our results of operations and financial condition may be materially adversely affected.</w:t>
      </w:r>
    </w:p>
    <w:p>
      <w:pPr>
        <w:spacing w:after="0" w:line="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we are unsuccessful in attracting new customers and/or new gathering opportunities with existing customers, our results of operations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results of operations and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gathering and processing agreements contain provisions that can reduce the cash flow stability that the agreements were designed to achieve.</w:t>
      </w:r>
    </w:p>
    <w:p>
      <w:pPr>
        <w:spacing w:after="0" w:line="1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w:t>
      </w:r>
    </w:p>
    <w:p>
      <w:pPr>
        <w:spacing w:after="0" w:line="72"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not obtained independent evaluations of all of the reserves connected to our gathering systems; therefore, in the future, customer volumes on our systems could be less than we anticipate.</w:t>
      </w:r>
    </w:p>
    <w:p>
      <w:pPr>
        <w:spacing w:after="0" w:line="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spacing w:after="0" w:line="6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Accordingly, we may not have accurate estimates of total reserves dedicated to our systems or the anticipated life of such reserves. If the total reserves or estimated life of the reserves connected to our gathering systems are less than we anticipate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we are unable to secure additional volumes, it could have a material adverse effect on our business,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industry is highly competitive, and increased competitive pressure could materially adversely affect our business and operating results.</w:t>
      </w:r>
    </w:p>
    <w:p>
      <w:pPr>
        <w:spacing w:after="0" w:line="12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spacing w:after="0" w:line="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and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renew or replace expiring contracts at favorable rates or on a long-term basis.</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Our gathering, treating, transportation,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w:t>
      </w:r>
    </w:p>
    <w:p>
      <w:pPr>
        <w:jc w:val="both"/>
        <w:ind w:right="40"/>
        <w:spacing w:after="0" w:line="266" w:lineRule="auto"/>
        <w:rPr>
          <w:sz w:val="20"/>
          <w:szCs w:val="20"/>
          <w:color w:val="auto"/>
        </w:rPr>
      </w:pPr>
      <w:r>
        <w:rPr>
          <w:rFonts w:ascii="Times New Roman" w:cs="Times New Roman" w:eastAsia="Times New Roman" w:hAnsi="Times New Roman"/>
          <w:sz w:val="17"/>
          <w:szCs w:val="17"/>
          <w:color w:val="auto"/>
        </w:rPr>
        <w:t>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spacing w:after="0" w:line="66"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existing and new competition to provide gathering and/or processing services in our areas of operation;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macroeconomic factors affecting gathering, treating, transporting, and processing economics for our current and potential customers;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of supply and demand, on a short-term, seasonal, and long-term basis, in our markets;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customers in our areas of operation are willing to contract on a long-term basis;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federal, state, or local regulations on the contracting practices of our customers.</w:t>
      </w:r>
    </w:p>
    <w:p>
      <w:pPr>
        <w:spacing w:after="0" w:line="114"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To the extent we are unable to renew our existing contracts on terms that are favorable to us or successfully manage our overall contract mix over time, our revenues and cash flows could decline.</w:t>
      </w:r>
    </w:p>
    <w:p>
      <w:pPr>
        <w:spacing w:after="0" w:line="42"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third-party pipelines or other midstream facilities interconnected to our gathering systems become partially or fully unavailable, our revenues and cash flows could be materially adversely affected.</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results of operations could be materially adversely affected.</w:t>
      </w:r>
    </w:p>
    <w:p>
      <w:pPr>
        <w:spacing w:after="0" w:line="276"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Crude oil and natural gas production and gathering may be adversely affected by weather conditions and terrain, which in turn could negatively impact the operations of our gathering, treating, transportation, and processing facilities and our construction of additional facilities.</w:t>
      </w:r>
    </w:p>
    <w:p>
      <w:pPr>
        <w:spacing w:after="0" w:line="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Extended periods of below freezing weather and unseasonably wet weather conditions, especially in North Dakota, Colorado and Texas,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 continuous operations of our gathering, treating, transporting, and processing systems, including interruptions in service. These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6" w:name="page37"/>
    <w:bookmarkEnd w:id="36"/>
    <w:p>
      <w:pPr>
        <w:ind w:right="240"/>
        <w:spacing w:after="0" w:line="287" w:lineRule="auto"/>
        <w:rPr>
          <w:sz w:val="20"/>
          <w:szCs w:val="20"/>
          <w:color w:val="auto"/>
        </w:rPr>
      </w:pPr>
      <w:r>
        <w:rPr>
          <w:rFonts w:ascii="Times New Roman" w:cs="Times New Roman" w:eastAsia="Times New Roman" w:hAnsi="Times New Roman"/>
          <w:sz w:val="17"/>
          <w:szCs w:val="17"/>
          <w:color w:val="auto"/>
        </w:rPr>
        <w:t>types of interruptions could negatively impact our ability to meet our contractual obligations to our customers and thereby give rise to certain termination rights and/or the release of dedicated acreage. Any resulting terminations or releases could materially adversely affect our business and results of operations.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also may be required to incur additional costs and expenses in connection with the design and installation of our facilities due to their locations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locations with significant elevation changes,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Finally, most scientists have concluded that increasing concentrations of GHGs in the Earth’s atmosphere may produce climate changes that have significant physical effects, such as increased frequency and severity of storms, wildfires, droughts and floods, changes in weather patterns, extreme temperatures, and other climatic events. While we cannot predict with any certainty at this time whether we will be affected by these possibilities, severe weather associated with climate change could result in disruptions or delays to our operations, damage to our assets and facilities and increased operating costs, any of which could materially adversely affect our business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Interruptions in operations at any of our facilities may adversely affect our operations and cash flows available for dividends.</w:t>
      </w:r>
    </w:p>
    <w:p>
      <w:pPr>
        <w:spacing w:after="0" w:line="12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Our operations depend upon the infrastructure that we have developed and constructed. Any significant interruption at any of our gathering, treating, transporting, or processing facilities, or in our ability to provide gathering, treating, transporting, or processing services, could adversely affect our operations and cash flows available for dividends. Operations at our facilities could be partially or completely shut down, temporarily or permanently, as the result of circumstances not within our control, such as:</w:t>
      </w:r>
    </w:p>
    <w:p>
      <w:pPr>
        <w:spacing w:after="0" w:line="68"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unscheduled turnarounds or catastrophic events at our physical plants or pipeline facilities;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imposed by governmental authorities or court proceedings;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difficulties that result in a work stoppage or slowdown;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in the supply of resources necessary to operate our midstream facilities;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facilities resulting from production volumes that do not comply with applicable specifications;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transportation and/or market access to support production volumes, including lack of pipeline, rail terminals, produced water disposal facilities and/or third-party processing capacity.</w:t>
      </w:r>
    </w:p>
    <w:p>
      <w:pPr>
        <w:spacing w:after="0" w:line="4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Any significant interruption at any of our gathering, treating, transporting, or processing facilities, or in our ability to provide gathering, treating, transporting, or processing services, could adversely affect our operations.</w:t>
      </w:r>
    </w:p>
    <w:p>
      <w:pPr>
        <w:spacing w:after="0" w:line="4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operations are subject to all of the risks and hazards inherent in the operation of gathering, treating, transporting, and processing systems, including:</w:t>
      </w:r>
    </w:p>
    <w:p>
      <w:pPr>
        <w:spacing w:after="0" w:line="114" w:lineRule="exact"/>
        <w:rPr>
          <w:sz w:val="20"/>
          <w:szCs w:val="20"/>
          <w:color w:val="auto"/>
        </w:rPr>
      </w:pPr>
    </w:p>
    <w:p>
      <w:pPr>
        <w:ind w:left="620" w:right="10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pipelines, processing plants, compression assets, related equipment, and surrounding properties caused by tornadoes, floods, freezes, fires and other natural disasters, and acts of terrorism;</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inadvertent damage from construction, vehicles, farm, and utility equipment;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leaks or losses resulting from the malfunction of equipment or facilities;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ruptures, fires, and explosions;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hazards that could also result in personal injury and loss of life, pollution, and suspension of operations.</w:t>
      </w:r>
    </w:p>
    <w:p>
      <w:pPr>
        <w:spacing w:after="0" w:line="11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These risks could result in substantial losses due to personal injury and/or loss of life, severe damage to and destruction of property and equipment, and pollution or other environmental damage. The location of certain of our systems in or near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populated areas, including residential areas, commercial business centers and industrial sites, could increase the damages resulting from such events.</w:t>
      </w:r>
    </w:p>
    <w:p>
      <w:pPr>
        <w:spacing w:after="0" w:line="1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These events may also result in the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MVCs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As a result of industry or market conditions, including any reluctance by insurance companies to insure oil and gas operations for political or other reasons,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had and continue to have discussions with unaffiliated third parties with respect to potential strategic transactions.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had and continue to have discussions with unaffiliated third parties with respect to potential strategic transactions (each such transaction, a “Potential Transaction”). These discussions include Potential Transactions that would be material acquisitions. There can be no assurance that these discussions will result in the consummation of a Potential Transaction. If the Board of Directors decides to proceed with a Potential Transaction, or any other strategic alternative, it may not be at a valuation that our investors view as attractive relative to the value of our standalone business. Depending on the structure of any such Potential Transaction, we may be required to seek the approval of the transaction from our stockholders and raise additional equity or debt financing in connection with such Potential Transaction. In addition, the closing of any such transaction would be dependent upon a number of factors that may be beyond our control, including, among other factors, market conditions, and regulatory factors.</w:t>
      </w:r>
    </w:p>
    <w:p>
      <w:pPr>
        <w:spacing w:after="0" w:line="7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construction of new assets may not result in revenue increases and will be subject to regulatory, environmental, political, legal, and economic risks, which could materially adversely affect our results of operations and financial condition.</w:t>
      </w:r>
    </w:p>
    <w:p>
      <w:pPr>
        <w:spacing w:after="0" w:line="4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The construction of new assets, including for example, the Double E Pipeline, which was placed into service in November 2021, involve numerous regulatory, environmental, political, legal and economic uncertainties that are beyond our control.</w:t>
      </w:r>
    </w:p>
    <w:p>
      <w:pPr>
        <w:spacing w:after="0" w:line="4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Such construction projects may also require the expenditure of significant amounts of capital and financing, traditional or otherwise, that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spacing w:after="0" w:line="62"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7"/>
          <w:szCs w:val="17"/>
          <w:color w:val="auto"/>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 to achieve our expected investment return, which could materially adversely affect our results of operations and financial condition.</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color w:val="auto"/>
        </w:rPr>
        <w:t>In addition, the construction of additions or modifications to our existing gathering, treating, transporting, and processing assets and the construction of new midstream assets may require us to obtain federal, state, and local regulatory environmental or other authorizations. The approval process for gathering, treating, transporting, and processing activities has become increasingly challenging, due in part to state and local concerns related to unregulated exploration and production and gathering, treating, transporting, and processing activities in new production areas. Such authorization may not be granted or, if granted, such authorization may include burdensome or expensive conditions. In addition, various officials and candidates at the federal, state, and local levels have made climate-related pledges or proposed banning hydraulic fracturing altogether. As a result, we may be unable to obtain such authorizations and may, therefore, be unable to connect new volumes to our systems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ind w:right="20"/>
        <w:spacing w:after="0" w:line="270" w:lineRule="auto"/>
        <w:rPr>
          <w:sz w:val="20"/>
          <w:szCs w:val="20"/>
          <w:color w:val="auto"/>
        </w:rPr>
      </w:pPr>
      <w:r>
        <w:rPr>
          <w:rFonts w:ascii="Times New Roman" w:cs="Times New Roman" w:eastAsia="Times New Roman" w:hAnsi="Times New Roman"/>
          <w:sz w:val="17"/>
          <w:szCs w:val="17"/>
          <w:color w:val="auto"/>
        </w:rPr>
        <w:t>capitalize on other attractive expansion opportunities. A future government shutdown could delay the receipt of any federal regulatory approvals. Additionally, it may become more expensive or difficult for us to obtain authorizations or to renew existing authorizations. If the cost of renewing or obtaining new authorizations increases materially, our cash flows could be materially adversely affected.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own all of the land on which our pipelines and facilities are located, which could result in disruptions to our operations.</w:t>
      </w:r>
    </w:p>
    <w:p>
      <w:pPr>
        <w:spacing w:after="0" w:line="12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relocate our pipelines and related infrastructure. Our loss of these rights, through our inability to renew right-of-way contracts or otherwise, could have a material adverse effect on our business, results of operations and financial condition.</w:t>
      </w:r>
    </w:p>
    <w:p>
      <w:pPr>
        <w:spacing w:after="0" w:line="64" w:lineRule="exact"/>
        <w:rPr>
          <w:sz w:val="20"/>
          <w:szCs w:val="20"/>
          <w:color w:val="auto"/>
        </w:rPr>
      </w:pPr>
    </w:p>
    <w:p>
      <w:pPr>
        <w:jc w:val="both"/>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operate our business effectively could be impaired if we fail to attract and retain key personnel, and a shortage of skilled labor in the midstream energy industry could reduce employee productivity and increase costs, which could have a material adverse effect on our business and results of operations.</w:t>
      </w:r>
    </w:p>
    <w:p>
      <w:pPr>
        <w:spacing w:after="0" w:line="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Furthermore, as a result of labor shortages, we have experienced difficulty in recruiting and hiring skilled labor throughout our organization. The operation of gathering, treating, transporting, and processing systems requires skilled laborers in multiple disciplines such as equipment operators, mechanics, and engineers, among others. If we continue to experience shortages of skilled labor in the future, our labor and overall productivity or costs could be materially adversely affected. If our labor prices increase or if we experience materially increased health and benefit costs with respect to our employees, our business and results of operations could be materially adversely affected.</w:t>
      </w:r>
    </w:p>
    <w:p>
      <w:pPr>
        <w:spacing w:after="0" w:line="66"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transition from hydrocarbon energy sources to alternative energy sources could lead to changes in demand, technology, and public sentiment, which could have material adverse effects on our business and results of operations.</w:t>
      </w:r>
    </w:p>
    <w:p>
      <w:pPr>
        <w:spacing w:after="0" w:line="4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Increased public attention on climate change and corresponding changes in consumer, commercial and industrial preferences and behavior regarding energy use and generation may result in:</w:t>
      </w:r>
    </w:p>
    <w:p>
      <w:pPr>
        <w:spacing w:after="0" w:line="48" w:lineRule="exact"/>
        <w:rPr>
          <w:sz w:val="20"/>
          <w:szCs w:val="20"/>
          <w:color w:val="auto"/>
        </w:rPr>
      </w:pPr>
    </w:p>
    <w:p>
      <w:pPr>
        <w:ind w:left="620" w:right="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with respect to the generation, transmission, storage, and consumption of energy (including advances in wind, solar and hydrogen power as well as battery technology);</w:t>
      </w:r>
    </w:p>
    <w:p>
      <w:pPr>
        <w:spacing w:after="0" w:line="48" w:lineRule="exact"/>
        <w:rPr>
          <w:rFonts w:ascii="Times New Roman" w:cs="Times New Roman" w:eastAsia="Times New Roman" w:hAnsi="Times New Roman"/>
          <w:sz w:val="17"/>
          <w:szCs w:val="17"/>
          <w:color w:val="auto"/>
        </w:rPr>
      </w:pPr>
    </w:p>
    <w:p>
      <w:pPr>
        <w:ind w:left="620" w:right="28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availability of, and increased demand from consumers and industry for, energy sources other than crude oil and natural gas (including wind, solar, nuclear, and geothermal sources as well as electric vehicles);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4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Such developments relating to a transition from oil and gas to alternative energy sources and a lower-carbon economy may reduce the demand for natural gas and crude oil and other products made from hydrocarbons. Any significant decrease in the demand for natural gas and crude oil resulting from such developments could reduce the volumes of natural gas and crude oil that we gather and process, which could adversely affect our business and operating results.</w:t>
      </w:r>
    </w:p>
    <w:p>
      <w:pPr>
        <w:spacing w:after="0" w:line="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Furthermore, if any such developments reduce the desirability of participating in the midstream oil and gas industry, then such developments could also reduce the availability to us of necessary third-party services or facilities that we rely on, which could increase our operational costs and have an adverse effect on our business and results of operations.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Such developments and accompanying societal expectations on companies to address climate change, investor, and societal expectations regarding voluntary environmental, social and governance (“ESG”) initiatives and disclosures could, among other things, increase costs related to compliance and stakeholder engagement, increase reputational risk and negatively impact our access to and cost of accessing capital. For example, some prominent investors have announced their intention to no longer invest in the oil and gas sector, citing climate change concerns. If other financial institutions and investors refuse to invest in or provide capital to the oil and gas sector in the future because of these reputational risks, that could result in capital being</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39" w:name="page40"/>
    <w:bookmarkEnd w:id="39"/>
    <w:p>
      <w:pPr>
        <w:ind w:right="100"/>
        <w:spacing w:after="0" w:line="257" w:lineRule="auto"/>
        <w:rPr>
          <w:sz w:val="20"/>
          <w:szCs w:val="20"/>
          <w:color w:val="auto"/>
        </w:rPr>
      </w:pPr>
      <w:r>
        <w:rPr>
          <w:rFonts w:ascii="Times New Roman" w:cs="Times New Roman" w:eastAsia="Times New Roman" w:hAnsi="Times New Roman"/>
          <w:sz w:val="17"/>
          <w:szCs w:val="17"/>
          <w:color w:val="auto"/>
        </w:rPr>
        <w:t>unavailable to us, or only at significantly increased cost. In addition, we have established a corporate strategy intended to meet ESG-related objectives. However, we cannot guarantee that our strategy will meet our ESG-related objectives on the timelines communicated or at all. Such initiatives are voluntary, not binding on our business or management and subject to change. We may determine in our discretion that it is not feasible or practical to implement or complete certain of our ESG-related initiatives, or to meet previously set goals and targets based on cost, timing, or other considerations. If we do not adapt to or comply with investor or other stakeholder expectations and standards on ESG matters (or meet ESG-related goals and targets that we have set), as they continue to evolve, if we are perceived to have not responded appropriately or quickly enough to growing concern for ESG and sustainability issues, regardless of whether there is a regulatory or legal requirement to do so, or if estimates, assumptions, and/or third-party information we currently believe to be reasonable are subsequently considered erroneous or misinterpreted, we may suffer from reputational damage and our business, financial condition, and/or stock price could be materially and adversely affected.</w:t>
      </w:r>
    </w:p>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Further, our operations, projects and growth opportunities require us to have strong relationships with various key stakeholders, including our stockholders, employees, suppliers, customers, local communities, and others. We may face pressure from stakeholders, many of whom are increasingly focused on climate change, to prioritize sustainable energy practices and reduce our carbon footprint. At the same time, others may disagree with the ESG initiatives we have set and recent political developments could subject the Company to increased risk of criticism or litigation risks from certain “anti-ESG” parties. If we do not successfully manage expectations across these varied stakeholder interests, it could erode stakeholder trust and thereby affect our brand and reputation.</w:t>
      </w:r>
    </w:p>
    <w:p>
      <w:pPr>
        <w:spacing w:after="0" w:line="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In addition, organizations that provide information to investors on corporate governance and related matters have developed ratings systems for evaluating companies on their approach to ESG and sustainability matters. These ratings are used by some investors to inform their investment and voting decisions. Unfavorable ESG and sustainability ratings may lead to increased negative investor sentiment toward us and our industry and to the diversion of investment to other industries, which could have a negative impact on our stock price and our access to and costs of capital. To the extent unfavorable ESG and sustainability ratings negatively affect our reputation, it may also harm our ability to attract or retain employees or customers.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Furthermore, negative public perception regarding the oil and gas industry resulting from, among other things, concerns raised by advocacy groups about climate change, emissions, hydraulic fracturing, seismicity, or oil spills may lead to increased litigation risk and regulatory, legislative and judicial scrutiny, which may, in turn, lead to new state and federal safety and environmental laws, regulations, guidelines and enforcement interpretations. These actions may cause operational delays or restrictions, increased operating costs, additional regulatory burdens, including enhanced disclosure obligations, and increased risk of litigation. More broadly, the enactment of climate change-related policies and initiatives across the market at the corporate level and/or investor community level may in the future result in increases in our compliance costs and other operating costs and have other adverse effects (e.g., greater potential for governmental investigations or litigation, driving down demand for our products, or stimulating demand for alternative forms of energy that do not rely on combustion of fossil fuels).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Tariffs and other trade measures could adversely affect our business, results of operations, financial position, and cash flows.</w:t>
      </w:r>
    </w:p>
    <w:p>
      <w:pPr>
        <w:spacing w:after="0" w:line="200" w:lineRule="exact"/>
        <w:rPr>
          <w:sz w:val="20"/>
          <w:szCs w:val="20"/>
          <w:color w:val="auto"/>
        </w:rPr>
      </w:pP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cost of raw materials, parts, and components that are manufactured and supplied for our operations may be adversely affected by tariffs imposed by the U.S. government on products imported into the U.S. and tariffs or other retaliatory trade measures imposed by other jurisdictions. Tariffs and other trade restrictions could also disrupt our supply chain and logistics, restrict or limit the availability of materials or supplies, and cause adverse financial impacts due to volatility in foreign exchange rates and interest rates or inflationary pressures on raw materials and energy. We may not be able to fully mitigate the impact of these increased costs or pass price increases on to our customers. While tariffs and other retaliatory trade measures imposed by other countries on U.S. goods have not yet had a significant impact on our business or results of operations, we cannot predict further developments, and such existing or future tariffs could have a material adverse effect on our results of operations, financial position, and cash flows. Recently, the U.S. has proposed changes in trade policies that include export control restrictions, the negotiation or termination of trade agreements, the imposition of higher tariffs on imports into the U.S., increased economic sanctions on individuals, companies, or countries, and other government regulations affecting trade between the U.S. and other countries, and a number of other nations have proposed similar measures directed at trade with the U.S.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Risks Related to Our Finances</w:t>
      </w:r>
    </w:p>
    <w:p>
      <w:pPr>
        <w:spacing w:after="0" w:line="112"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Limited access to and/or availability of the commercial bank market or debt and equity capital markets could impair our ability to grow or cause us to be unable to meet future capital requirements.</w:t>
      </w:r>
    </w:p>
    <w:p>
      <w:pPr>
        <w:spacing w:after="0" w:line="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the Amended and Restated ABL Facility or the New Permian Transmission Facility.</w:t>
      </w:r>
    </w:p>
    <w:p>
      <w:pPr>
        <w:spacing w:after="0" w:line="7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plan to use cash from operations, incur borrowings, and/or sell additional shares of capital stock or other securities to fund our future expansion capital expenditures. Our ability to obtain financing or to access the capital markets for future debt or equity offerings may be limited by (i) our financial condition at the time of any such financing or offering, (ii) covenants in our debt agreements, (iii) restrictions imposed by our Series A Preferred Stock, (iv) general economic conditions and contingencies, (v) increasing disfavor among many investors towards investments in fossil fuel companies and (vi) general weakness in the debt and equity capital markets and other uncertainties that are beyond our control, including political uncertainty in the U.S. (including the ongoing debates related to the U.S. federal government budget), volatility and disruption in global capital and credit markets (including those resulting from geopolitical events, such as the Russian invasion of Ukraine or ongoing conflict in the Middle East), uncertainty regarding increases or decreases in interest rates resulting from changes in the federal funds rate range targeted by the Federal Reserve, pandemics, epidemics and other outbreaks, such as COVID-19, or other adverse developments that affect financial institutions. In addition, lenders are facing increasing pressure to curtail their lending activities to companies in the oil and natural gas industry.</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have not made a dividend on our common stock since we announced the suspension of payments of distributions on May 3, 2020. Additionally, we have accrued and unpaid dividends on our Series A Preferred Stock. The suspensions of dividends and the accrued and unpaid dividends may further reduce demand for our common stock or Series A Preferred Stock. Because our Series A Preferred Stock ranks senior to our common stock with respect to distribution rights, any accrued amounts on our Series A Preferred Stock must first be paid prior to our resumption of dividends to holders of our common stock. As of December 31, 2025, the amount of accrued and unpaid dividends on the Series A Preferred Stock totaled $46.6 million. In March 2026, the Company’s Board of Directors approved the payment of any and all accrued and unpaid 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 Further, absent a material change to our business, we do not expect to pay dividends on the common stock in the foreseeable future. Additionally, our debt agreements restrict our ability to pay cash dividends on any of our equity securities.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dividends to our common equity holders.</w:t>
      </w:r>
    </w:p>
    <w:p>
      <w:pPr>
        <w:spacing w:after="0" w:line="68"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spacing w:after="0" w:line="4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As of December 31, 2025, we had $1.1 billion of indebtedness outstanding and the unused portion of the Amended and Restated ABL Facility totaled $385.7 million after giving effect to certain adjustments that are primarily related to the issuance of $0.8 million in outstanding but undrawn irrevocable standby letters of credit. Our existing and future debt services obligations could have significant consequences, including among other things:</w:t>
      </w:r>
    </w:p>
    <w:p>
      <w:pPr>
        <w:spacing w:after="0" w:line="62" w:lineRule="exact"/>
        <w:rPr>
          <w:sz w:val="20"/>
          <w:szCs w:val="20"/>
          <w:color w:val="auto"/>
        </w:rPr>
      </w:pPr>
    </w:p>
    <w:p>
      <w:pPr>
        <w:ind w:left="620" w:right="16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if necessary, for working capital, capital expenditures, acquisitions or other purposes and/or obtaining such financing on favorable terms;</w:t>
      </w:r>
    </w:p>
    <w:p>
      <w:pPr>
        <w:spacing w:after="0" w:line="48"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our funds available for operations, future business opportunities, and cash dividends by that portion of our cash flow required to make interest payments on our debt;</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competitive pressures or a downturn in our business or the economy generally;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responding to changing business and economic conditions.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41" w:name="page42"/>
    <w:bookmarkEnd w:id="41"/>
    <w:p>
      <w:pPr>
        <w:ind w:right="300"/>
        <w:spacing w:after="0" w:line="287" w:lineRule="auto"/>
        <w:rPr>
          <w:sz w:val="20"/>
          <w:szCs w:val="20"/>
          <w:color w:val="auto"/>
        </w:rPr>
      </w:pPr>
      <w:r>
        <w:rPr>
          <w:rFonts w:ascii="Times New Roman" w:cs="Times New Roman" w:eastAsia="Times New Roman" w:hAnsi="Times New Roman"/>
          <w:sz w:val="17"/>
          <w:szCs w:val="17"/>
          <w:color w:val="auto"/>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spacing w:after="0" w:line="42"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and may be forced to take other actions to satisfy our obligations under our indebtedness or to refinance, which may not be successful.</w:t>
      </w:r>
    </w:p>
    <w:p>
      <w:pPr>
        <w:spacing w:after="0" w:line="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Our ability to make scheduled payments on, or to refinance, our indebtedness obligations, including the Amended and Restated ABL Facility, the New Permian Transmission Facility, and the 2029 Secured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6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spacing w:after="0" w:line="68"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17"/>
          <w:szCs w:val="17"/>
          <w:color w:val="auto"/>
        </w:rPr>
        <w:t>The 2029 Secured Notes will mature on October 31, 2029 and have interest payable semi-annually in arrears on each February 15 and August 15. As of December 31, 2025, $825.0 million of the 2029 Secured Notes were outstanding.</w:t>
      </w:r>
    </w:p>
    <w:p>
      <w:pPr>
        <w:spacing w:after="0" w:line="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or (c) any date on which the aggregate Commitments terminate thereunder.</w:t>
      </w:r>
    </w:p>
    <w:p>
      <w:pPr>
        <w:spacing w:after="0" w:line="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w:t>
      </w:r>
    </w:p>
    <w:p>
      <w:pPr>
        <w:spacing w:after="0" w:line="7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agreements governing our debt place certain restrictions on our ability to dispose of assets and our use of the proceeds from such dispositions. We may not be able to consummate those dispositions on terms acceptable to us, if at all, and the proceeds of any such dispositions may not be adequate to meet any debt service obligations then due.</w:t>
      </w:r>
    </w:p>
    <w:p>
      <w:pPr>
        <w:spacing w:after="0" w:line="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Further, if for any reason we are unable to meet our debt service and principal repayment obligations, or if we fail to comply with the financial covenants in the documents governing our debt, we would be in default under the terms of the agreements governing our debt, which would allow our creditors under those agreements to declare all outstanding indebtedness thereunder to be due and payable (which would in turn trigger cross-acceleration or cross-default rights among our other debt agreements), the lenders under the Amended and Restated ABL Facility could terminate their commitments to extend credit, and the lenders could foreclose against our assets securing their borrowings and we could be forced into bankruptcy or liquidation. If the amounts outstanding under our debt agreements were to be accelerated, we cannot assure you that our assets would be sufficient to repay in full the amounts owed to our creditors.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2" w:name="page43"/>
    <w:bookmarkEnd w:id="42"/>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Restrictions in the New Permian Transmission Credit Facility, the indenture governing the 2029 Secured Notes and the Amended and Restated ABL Facility could materially adversely affect our business, financial condition, results of operations and ability to make cash dividends.</w:t>
      </w:r>
    </w:p>
    <w:p>
      <w:pPr>
        <w:spacing w:after="0" w:line="4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We are dependent upon the earnings and cash flows generated by our operations to meet our debt service obligations and to make cash dividends. The operating and financial restrictions and covenants in the New Permian Transmission Facility, the indenture governing the 2029 Secured Notes, the Amended and Restated ABL Facility and any future financing agreements could restrict our ability to finance future operations or capital needs or to expand or pursue our business activities. For example, the Amended and Restated ABL Facility, the New Permian Transmission Facility and the indenture governing the 2029 Secured Notes, taken together, restrict our ability to, among other things:</w:t>
      </w:r>
    </w:p>
    <w:p>
      <w:pPr>
        <w:spacing w:after="0" w:line="72"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certain additional debt;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cash dividends on or redeem or repurchase certain equity securities;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payments on certain other indebtedness;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 and acquisitions;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capital expenditures;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certain liens or other encumbrances or permit them to exist;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types of transactions with affiliates;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 and lease-back transactions and certain operating leases;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with another company or otherwise engage in a change of control transaction;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sell or otherwise dispose of certain assets.</w:t>
      </w:r>
    </w:p>
    <w:p>
      <w:pPr>
        <w:spacing w:after="0" w:line="11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Amended and Restated ABL Facility also contains covenants requiring Summit Holdings to maintain certain financial ratios and meet certain tests. Summit Holdings’ ability to meet those financial ratios and tests can be affected by events beyond its control, and we cannot guarantee that Summit Holdings will meet those ratios and tests.</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provisions of the New Permian Transmission Facility, the indenture governing the 2029 Secured Notes, and the Amended and Restated ABL Facility may affect our ability to obtain future financing and pursue attractive business opportunities as well as affect our flexibility in planning for, and reacting to, changes in business conditions. In addition, a failure to comply with the provisions of the New Permian Transmission Facility, the indenture governing the 2029 Secured Notes, and the Amended and Restated ABL Facility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the Amended and Restated ABL Facility could proceed against the collateral granted to them to secure such debt. If the payment of the debt is accelerated, our assets may be insufficient to repay such debt in full, and our equity holders could experience a partial or total loss of their investment. The Amended and Restated ABL Facility also has cross default provisions that apply to any other indebtedness we may have, and the indenture governing the 2029 Secured Notes have cross default provisions that apply to certain other indebtedness. The New Permian Transmission Facility also has cross default provisions that apply to certain other indebtedness that Permian Transmission or Double E may have. Any of these restrictions in the Amended and Restated ABL Facility, the New Permian Transmission Facility and the indenture governing the 2029 Secured Notes could materially adversely affect our business, financial condition, cash flows,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could have adverse effects on our results of operation.</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Although inflation in the U.S. had been relatively low for many years, there was a significant increase in inflation beginning in the second half of 2021 through 2023 due to a substantial increase in money supply, a stimulative fiscal policy, a significant rebound in consumer demand as COVID-19 restrictions were relaxed, the Russia-Ukraine war and worldwide supply chain disruptions resulting from the economic contraction caused by COVID-19 and lockdowns followed by a rapid recovery. Inflation rose from 5.4% in June 2021 to 7.0% in December 2021 to 8.2% in September 2022.</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While inflation has declined since the second half of 2022, declining to 2.7% in December 2025, further increases in inflation in 2026 could increase our labor and other operating costs and the overall cost of capital projects we undertake. An increase in inflation rates could negatively affect our profitability and cash flows, due to higher wages, higher operating costs, higher financing costs, and/or higher supplier prices. We may be unable to pass along such higher costs to its customers. In addition, inflation may adversely affect customers’ financing costs, cash flows, and profitability, which could adversely impact their operations and our ability to offer credit and collect receivables.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i w:val="1"/>
          <w:iCs w:val="1"/>
          <w:color w:val="auto"/>
        </w:rPr>
        <w:t>An increase in interest rates will cause our debt service obligations to increase.</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Between March 2022 and July 2023, the Federal Reserve raised its target range for the federal funds rate by 5.25%, to a high of 5.25% to 5.50% from July 2023 to September 2024. While the Federal Reserve has since lowered its target range multiple times to a current target range of 3.50% to 3.75%, the timing of any potential increases or decreases remains uncertain. Borrowings under the Amended and Restated ABL Facility and the New Permian Transmission Facility bear interest at rates equal to SOFR plus margin. The interest rates are subject to adjustment based on fluctuations in SOFR, as applicable. An increase in the interest rates associated with our floating rate debt would increase our debt service costs and affect our results of operations and cash flow available for payments of our debt obligations. In addition, an increase in interest rates could adversely affect our future ability to obtain financing or materially increase the cost of any additional financing.</w:t>
      </w:r>
    </w:p>
    <w:p>
      <w:pPr>
        <w:spacing w:after="0" w:line="70"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downgrade of our credit rating could impact our liquidity, access to capital and our costs of doing business, and independent third parties determine our credit ratings outside of our control.</w:t>
      </w:r>
    </w:p>
    <w:p>
      <w:pPr>
        <w:spacing w:after="0" w:line="4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Moody’s Investors Service, Inc., Standard &amp; Poor’s Ratings Services or Fitch Ratings, Inc. assign ratings to our senior unsecured credit from time to time. A downgrade of our credit rating could increase our future cost of borrowing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losses due to an impairment in the carrying value of our long-lived assets or equity method investments.</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recorded long-lived asset impairments of $2.7 million during the year ended December 31, 2025, $68.3 million in 2024, and $0.5 million in 2023.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market-and income-based approaches. We evaluate our equity method investments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 commodity prices, may affect our estimate of future operating results, which could result in future impairment due to the potential impact on our operations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portion of our revenues are directly exposed to changes in crude oil, natural gas and NGL prices, and our exposure may increase in the future.</w:t>
      </w:r>
    </w:p>
    <w:p>
      <w:pPr>
        <w:spacing w:after="0" w:line="12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During the year ended December 31, 2025, we derived 48% of our revenues from (i) the sale of physical natural gas and/or NGLs purchased under percentage-of-proceeds or other processing arrangements with certain of our customers in the Rockies, Piceance and Mid-Con segments, (ii) the sale of natural gas we retain from certain Mid-Con customers, (iii) the sale of condensate we retain from our gathering services in the Rockies and Piceance segment and (iv) additional gathering fees that are tied to performance of certain commodity price indexes, which are then added to the fixed gathering rates.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 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w:t>
      </w:r>
    </w:p>
    <w:p>
      <w:pPr>
        <w:spacing w:after="0" w:line="7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where we typically resell the natural gas under arrangements including sales at index prices. Generally, the gross margins we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4" w:name="page45"/>
    <w:bookmarkEnd w:id="44"/>
    <w:p>
      <w:pPr>
        <w:ind w:right="940"/>
        <w:spacing w:after="0" w:line="287" w:lineRule="auto"/>
        <w:rPr>
          <w:sz w:val="20"/>
          <w:szCs w:val="20"/>
          <w:color w:val="auto"/>
        </w:rPr>
      </w:pPr>
      <w:r>
        <w:rPr>
          <w:rFonts w:ascii="Times New Roman" w:cs="Times New Roman" w:eastAsia="Times New Roman" w:hAnsi="Times New Roman"/>
          <w:sz w:val="17"/>
          <w:szCs w:val="17"/>
          <w:color w:val="auto"/>
        </w:rPr>
        <w:t>realize under these arrangements decrease in periods of low natural gas prices. If we expand the implementation of such natural gas purchase and sale arrangements within our business, such fluctuations could materially affect our business.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and Environmental Policy Risks</w:t>
      </w:r>
    </w:p>
    <w:p>
      <w:pPr>
        <w:spacing w:after="0" w:line="11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spacing w:after="0" w:line="4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On August 4, 2021, we settled an incident involving a produced water disposal pipeline owned by our subsidiary Meadowlark Midstream that resulted in a discharge of materials into the environment, which was investigated by federal and state agencies. This settlement resulted in losses amounting to $36.3 million and will be paid over five (5) to six (6) years, of which we have paid principal amounts of $28.0 million as of December 31, 2025, and requires compliance with certain conditions and terms and conditions, which may impact our results of operations or cash flows.</w:t>
      </w:r>
    </w:p>
    <w:p>
      <w:pPr>
        <w:spacing w:after="0" w:line="62"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spacing w:after="0" w:line="4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Expenditures made by us for the payment of litigation related costs, including legal defense costs and settlement payments, if any, reduce our cash flows available for debt service and dividends. Any such expenditures, if incurred, could be material.</w:t>
      </w:r>
    </w:p>
    <w:p>
      <w:pPr>
        <w:spacing w:after="0" w:line="42"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For example, in January 2025, PHMSA submitted a final rule to the Federal Register to amend regulations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 However, before the final rule could be published in the Federal Register, President Trump issued a “regulatory freeze” executive order, withdrawing the rule and preventing its publication in the Federal Register. In addition, the U.S. House of Representatives has not passed H.R. 4818, a bill introduced in July 2025 to effectuate the January 2025 final rule. To the extent these or other new proposed or final rules create additional requirements for our pipelines, they could have a material adverse effect on our operations, operating and maintenance expenses and revenues. For additional information on the potential risks associated with PHMSA requirements, see “—We may incur greater than anticipated costs and liabilities as a result of pipeline safety requirements.”</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Colorado Senate Bill 19-181, signed into law in April 2019, changed the mandate of the Colorado Energy and Carbon Management Commission (“ECMC,” formerly the Colorado Oil and Gas Conservation Commission) from fostering oil and gas development to regulating oil and gas development in a reasonable manner to protect public health and the environment. The law also allows local governments to impose more restrictive requirements on oil and gas operations than those issued by the state. As part of its implementation of this law, in November 2020 the ECMC adopted new regulations that increase oil and gas setbacks to a minimum of 2,000 feet from schools and childcare facilities, prohibit routine venting and flaring, increase wildlife protections, and alter certain aspects of the permitting process. In addition, in May 2024, the Governor of Colorado signed into law Senate Bill 24-230, which imposes a production fee that applies to all oil and gas produced by a producer in the state on or after July 1, 2025, to fund clean transit initiatives. These regulations and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spacing w:after="0" w:line="68"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Increased regulation of hydraulic fracturing could result in reductions or delays in customer production, which could materially adversely impact our revenues.</w:t>
      </w:r>
    </w:p>
    <w:p>
      <w:pPr>
        <w:spacing w:after="0" w:line="4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Hydraulic fracturing is an important and increasingly common practice that is used to stimulate production of natural gas and/or crude oil from dense subsurface rock formations and is primarily regulated by state agencies. However, Congress has in the past considered, and may in the future consider, legislation to regulate hydraulic fracturing by federal agencies. Many states have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7"/>
          <w:szCs w:val="17"/>
          <w:color w:val="auto"/>
        </w:rPr>
        <w:t>already adopted laws and/or regulations that require disclosure of the chemicals used in hydraulic fracturing.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New York, Maryland, Oregon, Washington, California,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EPA has also moved forward with various regulatory actions, including announcing final new regulations under the NSPS to expand and strengthen emissions reduction requirements for new, modified, and reconstructed oil and natural gas sources, and require states to reduce methane emissions from existing sources nationwide.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A motion by the State of California to voluntarily dismiss the appeal was granted in September 2025. The March 2015 rule currently remains rescinded.</w:t>
      </w:r>
    </w:p>
    <w:p>
      <w:pPr>
        <w:spacing w:after="0" w:line="7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Further, several federal governmental agencies (including the EPA) have conducted reviews and studies on the environmental aspects of hydraulic fracturing in the past. The results of such reviews or studies could spur initiatives to further regulate hydraulic fracturing.</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Oklahoma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Additionally, certain of our customers produce oil and gas on federal lands. On January 20, 2021, the Acting Secretary for the DOI signed an order effectively suspending new fossil fuel leasing and permitting on federal lands for 60 days. In April 2024, the DOI finalized updates to its onshore oil and gas leasing regulations, including revised royalty rates and bonding requirements and attempts to direct oil and gas development away from wildlife habitat and cultural sites, which could further restrict oil and gas exploration and production on federal lands. However, in January 2025, President Trump issued executive orders directing the heads of federal agencies to (i) facilitate the leasing of domestic energy resources, including on federal lands and (ii) identify and begin the processes to suspend, revise, or rescind all agency actions that impose an undue burden on the identification, development, or use of domestic energy resources. In addition, in September 2025, the DOI announced its intent to rescind the April 2024 rule. As a result, future implementation and enforcement of the final rule remains uncertain.</w:t>
      </w:r>
    </w:p>
    <w:p>
      <w:pPr>
        <w:spacing w:after="0" w:line="7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62"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4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We believe that our natural gas pipeline facilities qualify as gathering facilities that are exempt from the jurisdiction of FERC under the NGA and the NGPA. Interstate movements of crude oil on the Epping Pipeline in North Dakota are subject to FERC jurisdiction under the ICA, and the rates, terms and conditions of service, and practices on the pipeline are subject to review and challenge before FERC.</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Additionally, the Double E Pipeline, which provides interstate natural gas transmission service from southeastern New Mexico to the Waha hub in Texas, is subject to FERC jurisdiction under the NGA with respect to post-construction remediation activities, operations, and rates and terms and conditions of service. Pursuant to the NGA, Double E Pipeline’s existing interstate natural gas transportation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6" w:name="page47"/>
    <w:bookmarkEnd w:id="46"/>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FERC. FERC may also initiate reviews of an interstate pipeline’s rates. We cannot guarantee that any new or existing tariff rate for service on our FERC-regulated pipelines would not be rejected or modified by the FERC or subjected to refunds. Any successful challenge by a regulator or shipper in any of these matters could have a material adverse effect on our business, financial condition, and results of operations.</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Under FERC policy, a regulated service provider and a customer may mutually agree to sign a contract for service at a “negotiated rate,” which is generally fixed between the natural gas pipeline and the shipper for the contract term and does not necessarily vary with changes in the level of cost-based “recourse rates,” provided that the affected customer is willing to agree to such rates and that the FERC has accepted the negotiated rate agreement. These “negotiated or discount rate” contracts are not generally subject to adjustment for increased costs, which could be caused by inflation or other factors relating to the specific facilities being used to perform the services and, as a result, our costs could exceed our revenues received under such contracts. Any shortfall of revenue, representing the difference between “recourse rates” (if higher) and negotiated or discounted rates, under current FERC policy, may be recoverable from other shippers in certain circumstances. For example, the FERC may recognize this shortfall in the determination of prospective rates in a future rate case. However, if the FERC were to disallow the recovery of such costs from other customers, it could decrease the cash flow realized by our assets.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We are also generally subject to the anti-market manipulation provisions in the NGA, as amended by the Energy Policy Act of 2005, and to FERC’s regulations thereunder, and also must comply with the other applicable provisions of the NGA and NGPA and FERC’s rules, regulations, and orders concerning the Double E Pipeline’s interstate natural gas pipeline business, including those that require us to provide firm and interruptible transportation service on an open access basis that is not unduly discriminatory or preferential. Violations of the NGA or NGPA, or the rules, regulations, and orders issued by FERC thereunder could result in the imposition of administrative and criminal remedies, including without limitation, revocation of certain authorities, disgorgement of ill-gotten gains, and civil penalties of up to approximately $1.6 million per day per violation of the NGA or its implementing regulations, subject to future adjustment for inflation. In addition, the FTC holds statutory authority under the Energy Independence and Security Act of 2007 to prevent market manipulation in oil markets and has adopted broad rules and regulations prohibiting fraud and market manipulation. The FTC is also authorized to seek fines of up to approximately $1.5 million per violation, subject to future adjustment for inflation. The CFTC is directed under the CEA to prevent price manipulation in the commodity, futures, and swaps markets, including the energy markets. Pursuant to the Dodd-Frank Act, and other authority, the CFTC has adopted additional anti-market manipulation regulations that prohibit fraud and price manipulation in the commodity, futures, and swaps markets. The CFTC also has statutory authority to seek civil penalties of up to the greater of approximately $1.5 million per violation, subject to future adjustment for inflation, or triple the monetary gain to the violator for each violation of the anti-market manipulation provisions of the CEA.</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w:t>
      </w:r>
    </w:p>
    <w:p>
      <w:pPr>
        <w:spacing w:after="0" w:line="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We are subject to state and local regulation regarding the construction and operation of our gathering, treating, transporting,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transporting, and processing activities, which allows producers and shippers to file complaints with state regulators in an effort to resolve access issues, rate grievances, and other matters. Other state and municipal regulations do not directly apply to our business but may nonetheless affect the availability of natural gas and crude oil for gathering, treating, transporting,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stringent environmental laws and regulations that may expose us to significant costs and liabilities.</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gathering, treating, transporting,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CAA, the Comprehensive Environmental Response, Compensation and Liability Act, the Clean Water Act, the Oil Pollution Control Act, the Resource Conservation and Recovery Act, the ESA and the Toxic Substances Control Act. It is possible that future changes in environmental laws, regulations, or enforcement policies, including judicial or agency opinions or orders, could impose additional requirements or give rise to claims for damages to persons, property, natural resources, or the environment.</w:t>
      </w:r>
    </w:p>
    <w:p>
      <w:pPr>
        <w:spacing w:after="0" w:line="70" w:lineRule="exact"/>
        <w:rPr>
          <w:sz w:val="20"/>
          <w:szCs w:val="20"/>
          <w:color w:val="auto"/>
        </w:rPr>
      </w:pPr>
    </w:p>
    <w:p>
      <w:pPr>
        <w:jc w:val="both"/>
        <w:ind w:right="480"/>
        <w:spacing w:after="0" w:line="260" w:lineRule="auto"/>
        <w:rPr>
          <w:sz w:val="20"/>
          <w:szCs w:val="20"/>
          <w:color w:val="auto"/>
        </w:rPr>
      </w:pPr>
      <w:r>
        <w:rPr>
          <w:rFonts w:ascii="Times New Roman" w:cs="Times New Roman" w:eastAsia="Times New Roman" w:hAnsi="Times New Roman"/>
          <w:sz w:val="17"/>
          <w:szCs w:val="17"/>
          <w:color w:val="auto"/>
        </w:rPr>
        <w:t>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w:t>
      </w:r>
    </w:p>
    <w:p>
      <w:pPr>
        <w:ind w:right="20"/>
        <w:spacing w:after="0" w:line="256" w:lineRule="auto"/>
        <w:rPr>
          <w:sz w:val="20"/>
          <w:szCs w:val="20"/>
          <w:color w:val="auto"/>
        </w:rPr>
      </w:pPr>
      <w:r>
        <w:rPr>
          <w:rFonts w:ascii="Times New Roman" w:cs="Times New Roman" w:eastAsia="Times New Roman" w:hAnsi="Times New Roman"/>
          <w:sz w:val="17"/>
          <w:szCs w:val="17"/>
          <w:color w:val="auto"/>
        </w:rPr>
        <w:t>Numerous governmental 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There is a risk that we may incur significant environmental costs and liabilities in connection with our operations due to historical industry operations and waste disposal practices, our handling of hydrocarbons and other wastes and potential emissions and 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spacing w:after="0" w:line="7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Revisions to the leasing and permitting programs for oil and gas development on federal lands could materially adversely affect our industry and our financial condition, and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greater than anticipated costs and liabilities as a result of pipeline safety requirements.</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Services LLC system is located. While the majority of our pipelines have historically met the DOT definition of gathering lines and were thus exempt from PHMSA’s integrity management requirements, we also operate a limited number of pipelines that are subject to the integrity management requirements. The regulations require operators, including us, to:</w:t>
      </w:r>
    </w:p>
    <w:p>
      <w:pPr>
        <w:spacing w:after="0" w:line="70"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ongoing assessments of pipeline integrity;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characterize applicable threats to pipeline segments that could impact a high consequence area;</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processes for data collection, integration and analysis;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repair and remediate pipelines as necessary;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and maintain procedures, standards, and training programs for control room operations;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preventive and mitigating actions.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ind w:right="180"/>
        <w:spacing w:after="0" w:line="287" w:lineRule="auto"/>
        <w:rPr>
          <w:sz w:val="20"/>
          <w:szCs w:val="20"/>
          <w:color w:val="auto"/>
        </w:rPr>
      </w:pPr>
      <w:r>
        <w:rPr>
          <w:rFonts w:ascii="Times New Roman" w:cs="Times New Roman" w:eastAsia="Times New Roman" w:hAnsi="Times New Roman"/>
          <w:sz w:val="17"/>
          <w:szCs w:val="17"/>
          <w:color w:val="auto"/>
        </w:rPr>
        <w:t>For additional information on PHMSA regulations relating to pipeline safety, see “—A change in laws and regulations applicable to our assets or services, or the interpretation or implementation of existing laws and regulations may cause our revenues to decline or our operation and maintenance expenses to increase.”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legislation, regulatory initiatives, and litigation could result in increased operating costs and reduced demand for the services we provide.</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U.S. Congress has considered legislation to restrict or regulate emissions of GHGs, such as carbon dioxide and methane, that may be contributing to global warming and energy legislation and other initiatives are expected to be proposed that may be relevant to GHG emissions issues. For example, the IRA, signed into law in August 2022, includes a Methane Emissions Reduction Program to incentivize methane emission reductions and impose a WEC on GHG emissions from certain oil and gas facilities that are already required to report under the EPA’s GHG reporting rule. Emissions reported under the GHG reporting rule will be the basis for any payments under the Methane Emissions Reduction Program. However, in March 2025, President Trump signed Congress’ Joint Resolution of Disapproval of the WEC and in May 2025, the EPA issued a final rule removing the WEC regulations from the Code of Federal Regulations. In July 2025, the One Big Beautiful Bill Act postponed the WEC’s effective date to 2034. Consequently, future implementation and enforcement of these rules remains uncertain at this time.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It is possible that certain components of our operations, such as our gas-fired compressors, could become subject to state-level GHG-related regulation. For example, in June 2022, as part of a Governor-directed statewide initiative to reduce GHG emissions by at least 45% by 2030, the New Mexico Environment Department finalized rules that establish emissions standards for volatile organic compounds and nitrogen oxides for oil and gas production and processing sources located in certain areas of the state with high ozone concentrations. Similarly, due to recent legislation approved in May 2024, the Colorado Department of Public Health and Environment is now required to propose rules to the Colorado Air Quality Control Commission to reduce nitrogen oxide emissions that oil and gas operations generate by 50% by 2030 relative to 2017 levels. We cannot currently determine the effect of these proposed regulations and other regulatory initiatives to implement state directives to reduce GHG emissions, that could, if implemented, impact the business, reputation, financial condition, or results of our operations or that of our customers. In addition, in April 2021, the New Mexico Department of Energy, Minerals, and Natural Resources (“EMNRD”) finalized rules concerning venting and flaring of natural gas. EMNRD’s final rule could impose new or increased costs and obligations on our customers upstream of the Double E Pipeline.</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(the “Endangerment Finding”). Based on these findings, the EPA adopted regulations that, among other things, establish Prevention of Significant Deterioration construction and Title V operating permit reviews for certain large stationary sources of GHG emissions. However, in February 2026, the EPA issued a final rule rescinding the Endangerment Finding, asserting that the Endangerment Finding exceeded the agency’s statutory authority. That same month, a coalition of environmental and public health organizations filed suit challenging the rescission. The implications of the February 2026 rule, including any subsequent changes to existing emissions standards, and the ultimate outcome of the related litigation remain uncertain.</w:t>
      </w:r>
    </w:p>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At the international level, the U.S. joined the international community at the 21st Conference of the Parties to the United Nations Framework Convention on Climate Change in Paris, France in 2021, which resulted in the Paris Agreement, pursuant to which signatory countries agreed to nationally determine their contributions and set GHG emission reduction goals. In January 2025, President Trump issued an executive order directing the immediate notice to the United Nations of the U.S.’ withdrawal from the Paris Agreement and all other agreements made under the United Nations Framework Convention on Climate Change. The withdrawal became effective in January 2026. The U.S. did not send an official delegation to COP30, and on January 7, 2026, President Trump announced the formal withdrawal of the U.S. from the United Nations Framework Convention on Climate Change in a presidential memorandum. At the same time, various state and local governments in the U.S. have committed to continue furthering the goals of the Paris Agreement, and many of these initiatives are expected to continue. In addition, enhanced climate disclosure requirements could accelerate the trend of certain stakeholders and lenders restricting or seeking more stringent conditions with respect to their investments in certain carbon intensive sectors.</w:t>
      </w:r>
    </w:p>
    <w:p>
      <w:pPr>
        <w:spacing w:after="0" w:line="7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Although it is not possible at this time to accurately estimate how potential future laws or regulations addressing GHG emissions would impact our business, either directly or indirectly, any future federal or state laws or implementing regulations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17"/>
          <w:szCs w:val="17"/>
          <w:color w:val="auto"/>
        </w:rPr>
        <w:t>that may be adopted to address climate change and GHG emissions could require us to incur increased operating costs and could materially adversely affect demand for our services. The potential increase in the costs of our operations resulting from any legislation or regulation to address climate change or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w:t>
      </w:r>
    </w:p>
    <w:p>
      <w:pPr>
        <w:spacing w:after="0" w:line="70"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Statutory and regulatory requirements for swap transactions could have an adverse impact on our ability to hedge risks associated with our business and increase the working capital requirements to conduct these activities.</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the Dodd-Frank Act, Congress adopted comprehensive financial reform legislation that establishes federal oversight over and regulation of the over-the-counter derivatives market and entities, such as us, that participate in that market. Under this legislation, the CFTC and the SEC and other regulatory authorities have promulgated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In light of the continuing adjustment of the regulations, we cannot predict the ultimate effect of the rules and regulations on our business. Any new regulations or modifications to existing regulations could increase the cost of derivative contracts, limit the availability of derivatives to protect against risks that we encounter, reduce our ability to monetize or restructure our existing derivative contracts, or increase our exposure to less creditworthy counterparties.</w:t>
      </w:r>
    </w:p>
    <w:p>
      <w:pPr>
        <w:spacing w:after="0" w:line="7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October 2020, the CFTC adopted rules that place limits on positions in certain core futures and equivalent swaps contracts for or linked to certain physical commodities, subject to exceptions for certain bona fide hedging transactions. We do not expect these regulations to materially impede our hedging activity at this time, but a companion rule on aggregation among entities under common ownership or control may have an impact on our ability to hedge our exposure to certain enumerated commodities.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CFTC has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adopted mandatory margin requirements on uncleared swaps between swap dealers and certain other counterparties. Although we may qualify for a commercial end-user exception from the mandatory clearing, trade execution and certain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spacing w:after="0" w:line="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Under the Dodd-Frank Act, the CFTC is also directed generally to prevent price manipulation and fraud in the following two markets: (i) physical commodities traded in interstate commerce, including physical energy and other commodities, and (ii) financial instruments, such as futures, options, and swaps.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material penalties, and sanctions.</w:t>
      </w:r>
    </w:p>
    <w:p>
      <w:pPr>
        <w:spacing w:after="0" w:line="7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We currently enter into forward contracts with third parties to buy power and sell natural gas in an attempt to mitigate our exposure to fluctuations in the price of natural gas with respect to those volumes. The CFTC has finalized an interpretation clarifying whether and when certain forwards with volumetric optionality are to be regulated as forwards or qualify as options on commodities and therefore swaps. The application of this interpretation to any particular situation may impact our ability to enter into certain forwards or may impose additional requirements with respect to certain transactions.</w:t>
      </w:r>
    </w:p>
    <w:p>
      <w:pPr>
        <w:spacing w:after="0" w:line="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addition to the Dodd-Frank Act, regulators within the European Union and other foreign regulators have adopted and implemented local reforms generally comparable with the reforms under the Dodd-Frank Act. Enforcement of these regulatory provisions may reduce our ability to hedge our market risks with non-U.S. counterparties or may make any transactions involving cross-border swaps more expensive and burdensome. Additionally, the lingering absence of regulatory equivalency across jurisdictions may increase compliance costs and make it more costly to satisfy regulatory obligations.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opposition to the development, permitting, construction or operation of our pipelines and facilities from various groups.</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spacing w:after="0" w:line="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For example, in an April 15, 2020 ruling, amended May 11, 2020, the U.S. District Court for the District of Montana issued an order invalidating the Corps 2017 reissuance of Nationwide Permit 12 (“NWP 12”), the general permit governing discharges of dredged or fill material associated with pipeline and other utility line construction projects, to the extent it was used to authorize construction of new oil and gas pipelines. Environmental groups had alleged that the Corps failed to consult with federal wildlife agencies as required by the ESA. However, in January 2021, the EPA and Corps reissued NWP 12 as a general permit specific to oil and gas pipelines, moving other utility line activities into separate general permits. The U.S. Court of Appeals for the Ninth Circuit subsequently held that the Corps’ January 2021 reissuance rendered the prior challenge moot. In May 2021, environmental groups once again filed suit in the U.S. District Court for the District of Montana, seeking vacatur of the reissued NWP 12. In September 2022, the U.S. District Court for Montana dismissed the ESA consultation challenges as moot and dismissed the remainder of the lawsuit without prejudice after the Corps announced in March 2022 that it was undertaking a formal review of all nationwide permits. However, in January 2025, President Trump issued executive orders directing (i) the Corps to use emergency authorities and nationwide permits to grant approvals for energy projects under Section 404 of the CWA and (ii) the heads of all federal agencies to identify and begin the processes to suspend, revise, or rescind all agency actions that are unduly burdensome on the identification, development, or use of domestic energy resources. In December 2025, the Corps announced the reissuance of NWP 12 as part of the 2026 Nationwide Permits. To the extent that limitations are imposed on the use of NWP 12 in the future, such limitations could make it more difficult to permit our projects, require consideration of alternative construction or siting, which may impose additional costs and delays, and could cause us to lose potential and current customers and limit our growth and revenue.</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addition, on July 6, 2020, the U.S. District Court for the District of Columbia issued an order vacating a Corps Mineral Leasing Act easement for the Dakota Access Pipeline in a lawsuit filed by the Standing Rock Sioux Tribe and other Native American tribes. The court’s decision requires the pipeline to shut down operations by August 5, 2020 but was stayed by the U.S. Court of Appeals for the District of Columbia Circuit. On January 26, 2021, the U.S. Court of Appeals for the District of Columbia Circuit issued a decision affirming the district court’s holding that the easement should be vacated but reversing the requirement to shut down the pipeline. The Court of Appeals left it to the Corps to determine how to proceed after the loss of the easement, and while the Corps declined to shut down the pipeline, it did not formally approve the pipeline’s ongoing operation without an easement. Dakota Access filed for rehearing en banc on April 12, 2021, which the Court of Appeals denied. On September 20, 2021, Dakota Access filed a petition with the U.S. Supreme Court to hear the case. Oppositions were filed by the Solicitor General and plaintiffs, and Dakota Access has filed its reply.</w:t>
      </w:r>
    </w:p>
    <w:p>
      <w:pPr>
        <w:spacing w:after="0" w:line="7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Dakota Access Pipeline continues to operate pending the Corps’ ongoing development of a court-ordered environmental impact statement for the project. On June 22, 2021, the District Court terminated the consolidated lawsuits and dismissed all remaining outstanding counts without prejudice. On January 20, 2022, the Standing Rock Sioux Tribe withdrew as a cooperating agency on the draft Environmental Impact Statement (“EIS”), prompting the Corps to temporarily pause on the draft EIS. The Corps published the draft EIS on September 8, 2023 and tribal and public meetings were held in November and December of 2023. A final EIS was released in December 2025. If the Dakota Access Pipeline is forced to shut down, this could have a material adverse effect on our business, financial condition, and results of operations associated with the Polar and Divide system, which interconnects with the Dakota Access Pipeline.</w:t>
      </w:r>
    </w:p>
    <w:p>
      <w:pPr>
        <w:spacing w:after="0" w:line="7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Recently, activists concerned about the potential effects of climate change have directed their attention towards sources of funding for fossil-fuel energy companies, which has resulted in an increasing number of financial institutions, funds, individual investors and other sources of capital restricting or eliminating their investment in fossil fuel-related activities. In addition, financial institutions have begun to screen companies such as ours for sustainability performance, including practices related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1" w:name="page52"/>
    <w:bookmarkEnd w:id="51"/>
    <w:p>
      <w:pPr>
        <w:ind w:right="40"/>
        <w:spacing w:after="0" w:line="258" w:lineRule="auto"/>
        <w:rPr>
          <w:sz w:val="20"/>
          <w:szCs w:val="20"/>
          <w:color w:val="auto"/>
        </w:rPr>
      </w:pPr>
      <w:r>
        <w:rPr>
          <w:rFonts w:ascii="Times New Roman" w:cs="Times New Roman" w:eastAsia="Times New Roman" w:hAnsi="Times New Roman"/>
          <w:sz w:val="17"/>
          <w:szCs w:val="17"/>
          <w:color w:val="auto"/>
        </w:rPr>
        <w:t>GHGs and climate change, before providing loans or investing in our equity securities. There is also a risk that financial institutions may adopt policies that have the effect of reducing the funding provided to the fossil fuel sector, such as the adoption of net zero financed emissions targets. Ultimately, this could make it more difficult to secure funding for exploration and production activities or energy infrastructure related projects or adversely impact our cost of capital, and consequently could both indirectly affect demand for our services and directly affect our ability to fund construction or other capital projects.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maintain access to capital or perform services for certain customers.</w:t>
      </w:r>
    </w:p>
    <w:p>
      <w:pPr>
        <w:spacing w:after="0" w:line="7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complex and evolving United States and international laws and regulations regarding privacy and data protection (“data protection laws”). Many of these data protection laws are subject to change and uncertain interpretation, and could result in claims, increased cost of operations or otherwise harm our business.</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Along with our own data and information that we collect and retain in the normal course of our business, we and our business partners collect and retain significant volumes of certain other types of data, some of which are subject to data protection laws. The regulatory environment surrounding the collection, use, transfer, and protection of such data, both domestically and internationally, is becoming increasingly complex, constantly evolving, and is subject to frequent significant change. New data protection laws at the federal, state, international, national, provincial, and local levels, including Colorado, Connecticut, Virginia, and Utah legislation, the GDPR and the CCPA, pose increasingly complex compliance challenges and potentially elevate our costs.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Complying with these jurisdictional requirements could increase the costs and complexity of compliance procedures, and violations of applicable data protection laws can result in significant penalties. For example, the GDPR applies to activities regarding personal data that may be conducted by us, directly or indirectly through business partners. Failure to comply could result in significant penalties of up to a maximum of 4% of our global turnover that may materially adversely affect our business, reputation, results of operations, and cash flows. Similarly, the CCPA, which came into effect on January 1, 2020, and was further amended on January 1, 2023, by the CPRA, imposes specific obligations on businesses that collect personal data from California residents and provides California residents specific rights in relation to their personal data that we or our business partners collect and use. As interpretation and enforcement of the CCPA evolves, it creates a range of new compliance obligations, which could necessitate we change our business practices, and carries the possibility for significant financial penalties for noncompliance that may materially adversely affect our business, reputation, results of operations, and cash flows.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noted below, we are also subject to the possibility of information security breaches, which themselves may result in material financial and reputational exposure under such data protection laws. Additionally, if we acquire a company that has violated or is not in compliance with applicable data protection laws, we may incur significant liabilities and penalties as a result.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Common Stock and Series A Preferred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the common stock or Series A Preferred Stock may experience volatility.</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price of our common stock or the Series A Preferred Stock may be volatile. In addition to the risk factors described above, some of the factors that could affect the price of our common stock are quarterly increases or decreases in revenue or earnings, changes in revenue or earnings estimates by the investment community, sales of the common stock by significant stockholders, a turnover of the investor base as a result of the Corporate Reorganization, short-selling of the common stock or Series A Preferred Stock by investors, issuance of a significant number of shares for equity-based compensation or to raise additional capital to fund our operations, changes in market valuations of similar companies and speculation in the press or investment community about our financial condition, or results of operations, as well as any doubt about its ability to continue as a going concern. General market conditions and U.S. or international economic factors and political events unrelated to our performance may also affect our stock price. For these reasons, investors should not rely on recent trends in the price of the common stock or Series A Preferred Stock to predict the future price of the common stock or Series A Preferred Stock or our future financial results.</w:t>
      </w:r>
    </w:p>
    <w:p>
      <w:pPr>
        <w:spacing w:after="0" w:line="6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Governing Documents contain provisions that may make it difficult for a third party to acquire control of the Company, even if a change in control would result in the purchase of your shares of common stock or Series A Preferred Stock at a premium to the market price or would otherwise be beneficial to you.</w:t>
      </w:r>
    </w:p>
    <w:p>
      <w:pPr>
        <w:spacing w:after="0" w:line="4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There are provisions in our amended and restated certificate of incorporation (the “Charter”), our amended and restated bylaws (the “Bylaws”) and the Certificate of Designation of Series A Floating Rate Cumulative Redeemable Perpetual Preferred Stock (the “Series A Certificate of Designation” and, together with the Charter and the Bylaws, the “Governing Documents”) that may make it difficult for a third party to acquire control of the Company, even if a change in control would result in the purchase of your shares of common stock or Series A Preferred Stock at a premium to the market price or would otherwise be beneficial to you. For example, the Charter authorizes the Board of Directors to issue preferred stock, $0.01 par value per share (“Preferred Stock”), and common stock, $0.01 par value per share (“ Blank Check Common Stock”), without stockholder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ind w:right="600"/>
        <w:spacing w:after="0" w:line="287" w:lineRule="auto"/>
        <w:rPr>
          <w:sz w:val="20"/>
          <w:szCs w:val="20"/>
          <w:color w:val="auto"/>
        </w:rPr>
      </w:pPr>
      <w:r>
        <w:rPr>
          <w:rFonts w:ascii="Times New Roman" w:cs="Times New Roman" w:eastAsia="Times New Roman" w:hAnsi="Times New Roman"/>
          <w:sz w:val="17"/>
          <w:szCs w:val="17"/>
          <w:color w:val="auto"/>
        </w:rPr>
        <w:t>approval. If the Board of Directors elects to issue Preferred Stock or Blank Check Common Stock, it could be more difficult for a third party to acquire the Company.</w:t>
      </w:r>
    </w:p>
    <w:p>
      <w:pPr>
        <w:spacing w:after="0" w:line="4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In addition, provisions of the Governing Documents, including a classified Board of Directors and limitations on stockholder actions by written consent and on stockholder proposals and director nominations at meetings of stockholders, could make it more difficult for a third party to acquire control of the Company. Certain provisions of the DGCL may also discourage takeover attempts that have not been approved by the Board of Directors.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dividends on our common stock for the foreseeable future.</w:t>
      </w:r>
    </w:p>
    <w:p>
      <w:pPr>
        <w:spacing w:after="0" w:line="12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do not expect to pay dividends for the foreseeable future. In addition, the Amended and Restated ABL Facility may limit our subsidiaries subject thereto from distributing cash to the Company, without the prior consent of the lenders under the Amended and Restated ABL Facility, thereby limiting our ability to pay dividends to equity holders, other than dividends payable solely in additional equity interests in the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value of our common stock may be diluted by future equity issuances and shares eligible for future sale may have adverse effects on our share price.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cannot predict the effect of future sales of shares or the availability of shares for future sales, on the market price of or the liquidity of the market for the shares. Sales of substantial amounts of shares, or the perception that such sales could occur, could adversely affect the prevailing market price of the shares. Such sales, or the possibility of such sales, could also make it difficult for us to sell equity securities in the future at a time and at a price that we deem appropriate.</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In the Tall Oak Acquisition, we issued 7,471,008 shares of Class B Common Stock to Tall Oak Parent in exchange for 100% of the equity interests in Tall Oak. Such shares of Class B Common Stock are exchangeable for shares of our common stock at the election of the holder for no additional consideration. Pursuant to that certain Investor and Registration Rights Agreement, dated as of December 2, 2024, 6,524,467 shares of Class B Common Stock and associated Partnership Common Units that were issued and subsequently transferred by Tall Oak Parent to Tailwater Energy Fund III, LP (“Tailwater”) and its designees may not be transferred until one year after closing, after which time 50% of such securities will be available for resale, with the remaining 50% available for resale two years after closing. With respect to the 946,541 shares of Class B Common Stock and associated Partnership Common Units issued to Tall Oak Parent and subsequently transferred to Tall Oak Midstream Investments, LLC (“TOMI”), TOMI exercised its exchange right in full on January 1, 2025. However, TOMI may not sell the common stock received upon exchange until six months after the closing, after which time 50% of such common stock will be available for resale, with the remainder of the common stock held by TOMI being available for resale one year after the closing. Tailwater and TOMI may decide to reduce their investment in the Company at any time thereafter. Any such sales of our equity securities, or expectations thereof, could have the effect of depressing the market price for our common stock.</w:t>
      </w:r>
    </w:p>
    <w:p>
      <w:pPr>
        <w:spacing w:after="0" w:line="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Our authorized capital stock consists of 42,000,000 shares of common stock, 500,000 shares of Preferred Stock and 30,000,000 shares of Blank Check Common Stock, a significant portion of which are currently unissued. We may need to raise a significant amount of capital to fund our operations and pay down outstanding indebtedness, including borrowings on the Amended and Restated ABL Facility, the New Permian Transmission Facility, and the 2029 Secured Notes, and may raise such capital through the issuance of newly issued common stock, Preferred Stock or Blank Check Common Stock. Such issuance and sale of equity could be dilutive to the interests of existing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Tax</w:t>
      </w:r>
    </w:p>
    <w:p>
      <w:pPr>
        <w:spacing w:after="0" w:line="11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is a holding company, and its principal asset is our ownership of Partnership Common Units. Accordingly, we are dependent upon distributions from SMLP to pay dividends, if any, and to pay taxes and other expenses.</w:t>
      </w:r>
    </w:p>
    <w:p>
      <w:pPr>
        <w:spacing w:after="0" w:line="43"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The Company is a holding company whose principal asset is Partnership Common Units, and the Company has no independent means of generating revenue. SMLP is, and will continue to be, treated as a partnership for U.S. federal and applicable state and local income tax purposes and, as such, will generally not be subject to applicable federal, state, and local income taxes. SMLP’s taxable income will be allocated to holders of Partnership Common Units, including us. Accordingly, the Company will incur income taxes on its allocable share of any taxable income of SMLP.</w:t>
      </w:r>
    </w:p>
    <w:p>
      <w:pPr>
        <w:spacing w:after="0" w:line="6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addition, the Up-C Structure confers certain benefits upon Tall Oak Parent and its transferees that will not benefit the holders of common stock and Series A Preferred Stock to the same extent as it will benefit the holders of Tall Oak Parent and its transferees. If SMLP makes distributions to Tall Oak Parent or its transferees, Tall Oak Parent or its transferees can distribute such amounts to holders of Tall Oak Parent or its transferees without reduction for taxes. However, because the Company must pay corporate-level taxes, amounts ultimately distributed as dividends, if any, in the future, to holders of common stock and Series A Preferred Stock are expected to be less on a per share basis than the amounts distributed by Tall Oak Parent or its transferees to their respective holders on a per unit basis. This and other aspects of the Up-C Structure may adversely impact the future trading market for the common stock and Series A Preferred Stock.</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Tall Oak Acquisition, Moonrise Acquisition, and subsequent changes in stock ownership of the Company (including upon the redemption or exchange of the shares of Class B Common Stock and associated Partnership Common Units for common stock) may trigger a limitation on the utilization of net operating loss carryforwards of the Company.</w:t>
      </w:r>
    </w:p>
    <w:p>
      <w:pPr>
        <w:spacing w:after="0" w:line="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The Company’s ability to utilize U.S. net operating loss carryforwards to reduce future taxable income depends on many factors, including its future income, which cannot be assured. Section 382 and 383 of the Code generally impose an annual limitation on the amount of net operating losses and certain other tax attributes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ownership by more than 50 percentage points over their lowest ownership percentage within a rolling three-year period. In the event that an ownership change occurs, utilization of net operating losses by the Company would be subject to an annual limitation under Section 382, generally determined by, subject to certain adjustments, multiplying (1) the fair market value of its stock immediately before the ownership change by (2) the long-term tax-exempt rate published by the IRS for the month in which the ownership change occurs. Any unused annual limitation may be carried over to later years. In addition, an ownership change may arise as a result of subsequent changes in the Company’s stock ownership, including as a result of redemptions or exchanges of shares of Class B Common Stock and associated Partnership Common Units for common stock, which would trigger a limitation on the Company’s ability to utilize net operating loss carryforwards.</w:t>
      </w:r>
    </w:p>
    <w:p>
      <w:pPr>
        <w:spacing w:after="0" w:line="281"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SMLP were to become a publicly traded partnership taxable as a corporation for U.S. federal income tax purposes, the Company and SMLP might be subject to potentially significant tax inefficiencies.</w:t>
      </w:r>
    </w:p>
    <w:p>
      <w:pPr>
        <w:spacing w:after="0" w:line="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intent is to cause SMLP to be operated in a manner such that SMLP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the exchange of shares of Class B Common Stock for common stock or other transfers of Partnership Common Units could cause SMLP to be treated as a publicly traded partnership. Applicable U.S. Treasury regulations provide for certain safe harbors from treatment as a publicly traded partnership, and we intend to operate such that exchanges or other transfers of Partnership Common Units qualify for one or more of such safe harbors. For example, we intend to limit the number of holders of Partnership Common Units, and the A&amp;R Partnership Agreement provides for certain limitations on the ability of holders of common units to transfer their common units and provides the General Partner with the right to impose restrictions on the ability of limited partners to exchange their Partnership Common Units for common stock pursuant to the redemption right to the extent the General Partner believes there is a material risk that SMLP would be a publicly traded partnership as a result of such exercise. If, notwithstanding our intent above, SMLP were to become a publicly traded partnership taxable as a corporation for U.S. federal income tax purposes, the Company and SMLP might be subject to potentially significant tax inefficiencies, such as two layers of corporate taxation if the Company were unable to file a consolidated U.S. federal income tax return with SMLP.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Terrorism and Cyberterrorism</w:t>
      </w:r>
    </w:p>
    <w:p>
      <w:pPr>
        <w:spacing w:after="0" w:line="112"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Terrorist attacks and threats, escalation of military activity in response to these attacks, or acts of war could have a material adverse effect on our business, financial condition, or results of operations.</w:t>
      </w:r>
    </w:p>
    <w:p>
      <w:pPr>
        <w:spacing w:after="0" w:line="4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U.S. or its allies, or military or trade disruptions may significantly affect our operations and those of our customers. Strategic targets, such as energy-related assets, may be at greater risk of future attacks than other targets in the U.S.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spacing w:after="0" w:line="64" w:lineRule="exact"/>
        <w:rPr>
          <w:sz w:val="20"/>
          <w:szCs w:val="20"/>
          <w:color w:val="auto"/>
        </w:rPr>
      </w:pPr>
    </w:p>
    <w:p>
      <w:pPr>
        <w:ind w:right="660"/>
        <w:spacing w:after="0" w:line="3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operations depend on the use of IT and OT systems that could be the target of a cyberattack, including state-sponsored attacks or cyberterrorism. </w:t>
      </w:r>
      <w:r>
        <w:rPr>
          <w:rFonts w:ascii="Times New Roman" w:cs="Times New Roman" w:eastAsia="Times New Roman" w:hAnsi="Times New Roman"/>
          <w:sz w:val="17"/>
          <w:szCs w:val="17"/>
          <w:color w:val="auto"/>
        </w:rPr>
        <w:t>Cybersecurity threats present a large and growing risk to our business as a result of the proliferation of new technologies</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(including artificial intelligence) thereby increasing the sophistication of cyber-attacks and the oil and gas industry becoming increasingly dependent on digital technologies to conduct day-to-day operations, including certain midstream activities. For example, software programs are used to manage gathering and transportation systems and for compliance reporting. The use of remote communication devices has increased rapidly. Industrial control systems now control large scale processes that can include multiple sites and long distances, such as oil and gas pipelines.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54" w:name="page55"/>
    <w:bookmarkEnd w:id="54"/>
    <w:p>
      <w:pPr>
        <w:ind w:right="60"/>
        <w:spacing w:after="0" w:line="270" w:lineRule="auto"/>
        <w:rPr>
          <w:sz w:val="20"/>
          <w:szCs w:val="20"/>
          <w:color w:val="auto"/>
        </w:rPr>
      </w:pPr>
      <w:r>
        <w:rPr>
          <w:rFonts w:ascii="Times New Roman" w:cs="Times New Roman" w:eastAsia="Times New Roman" w:hAnsi="Times New Roman"/>
          <w:sz w:val="17"/>
          <w:szCs w:val="17"/>
          <w:color w:val="auto"/>
        </w:rPr>
        <w:t>Our operations depend on the use of sophisticated IT and OT systems. These systems, as well as those of our customers, business partners and counterparties, may become the target of cyber-attacks or information security breaches including but not limited to ransomware, phishing attacks, denial of service attacks, viruses, malware, and the exploitation of software</w:t>
      </w:r>
    </w:p>
    <w:p>
      <w:pPr>
        <w:spacing w:after="0" w:line="6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vulnerabilities. Additionally, increased remote access to information systems by employees and contractors can increase exposure to potential cybersecurity incidents.</w:t>
      </w:r>
    </w:p>
    <w:p>
      <w:pPr>
        <w:spacing w:after="0" w:line="4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Any such cyber-attacks or information security breaches could have a material adverse effect on our revenues and increase our operating and capital costs and could reduce the amount of cash otherwise available for distribution. A cyber-incident involving our IT or OT systems, or that of our customers, business partners or counterparties, could disrupt our business plans and negatively impact our reputation and operations in the following ways, among others:</w:t>
      </w:r>
    </w:p>
    <w:p>
      <w:pPr>
        <w:spacing w:after="0" w:line="62" w:lineRule="exact"/>
        <w:rPr>
          <w:sz w:val="20"/>
          <w:szCs w:val="20"/>
          <w:color w:val="auto"/>
        </w:rPr>
      </w:pPr>
    </w:p>
    <w:p>
      <w:pPr>
        <w:ind w:left="620" w:right="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cyber-attack on a vendor or service provider could result in supply chain disruptions, which could delay or halt development of additional infrastructure, effectively delaying the start of cash flows from the project;</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cyber-attack on downstream pipelines could prevent us from delivering product at the tailgate of our facilities, resulting in a loss of revenues;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cyber-attack on a communications network or power grid could cause operational disruption, resulting in loss of revenues;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deliberate corruption of our financial or operational data could result in events of non-compliance, which could lead to regulatory fines or penalties; and</w:t>
      </w:r>
    </w:p>
    <w:p>
      <w:pPr>
        <w:spacing w:after="0" w:line="113"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could result in expensive remediation efforts, distraction of management, damage to our reputation or a negative impact on the price of our common stock or Series A Preferred Stock.</w:t>
      </w:r>
    </w:p>
    <w:p>
      <w:pPr>
        <w:spacing w:after="0" w:line="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Cyber-incidents and related business interruptions could result in expensive and time-consuming remediation efforts, disproportionate attention of management, damage to our reputation or a negative impact on the price of our common stock or Series A Preferred Stock. In addition, certain cyberattacks and related incidents, such as reconnaissance or surveillance by threat actors, may remain undetected for an extended period notwithstanding our monitoring and detection efforts. As a result, we may be required to incur additional costs to modify or enhance our IT or OT systems to prevent or remediate any such attacks. Despite the efforts we take to detect, mitigate, and eliminate threats and respond to cyber-incidents, the techniques used by those who wish to obtain unauthorized access, and possibly disable or sabotage systems and/or abscond with information and data, continue to evolve, and we may not be able to anticipate and protect against all such threats. Finally, readily evolving laws and regulations governing cybersecurity pose increasingly complex compliance technical challenges, and failure to comply with these laws could result in penalties and legal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 Risk Management, Strategy and Governance.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Cybersecurity Oversight and Management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Oversight of Cybersecurity Matters</w:t>
      </w:r>
    </w:p>
    <w:p>
      <w:pPr>
        <w:spacing w:after="0" w:line="1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The Audit Committee is tasked with overseeing the Company’s cybersecurity matters. Pursuant to the Audit Committee’s charter, one of the Audit Committee’s responsibilities is to discuss the Company’s major risk exposures with management, including those related to cybersecurity, and the steps taken by management to monitor and control such exposures, including the Company’s risk assessment and risk management guidelines, policies and practices.</w:t>
      </w:r>
    </w:p>
    <w:p>
      <w:pPr>
        <w:spacing w:after="0" w:line="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Audit Committee reports to the entire Board of Directors periodically regarding its oversight of cybersecurity matters. In developing such updates to the Board of Directors, the Audit Committee relies in large part on periodic updates from the Company’s management.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of Cybersecurity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management assumes executive responsibility for assessing, identifying, and managing cybersecurity risks and incidents.</w:t>
      </w:r>
    </w:p>
    <w:p>
      <w:pPr>
        <w:spacing w:after="0" w:line="11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particular, the Senior Vice President, Engineering and Operations (“SVP, E&amp;O”) reports directly to the President, Chief Executive Officer, and Chairman of the Board and holds the highest level of executive responsibility for assessing and managing all cybersecurity threats, incidents, and risks at the Company, as well as developing and implementing all cybersecurity risk management, strategy, and governance recommendations.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p>
      <w:pPr>
        <w:ind w:right="180"/>
        <w:spacing w:after="0" w:line="287" w:lineRule="auto"/>
        <w:rPr>
          <w:sz w:val="20"/>
          <w:szCs w:val="20"/>
          <w:color w:val="auto"/>
        </w:rPr>
      </w:pPr>
      <w:r>
        <w:rPr>
          <w:rFonts w:ascii="Times New Roman" w:cs="Times New Roman" w:eastAsia="Times New Roman" w:hAnsi="Times New Roman"/>
          <w:sz w:val="17"/>
          <w:szCs w:val="17"/>
          <w:color w:val="auto"/>
        </w:rPr>
        <w:t>The SVP, E&amp;O holds key skills, experience, and competencies related to the management of cybersecurity matters. In particular, our current SVP, E&amp;O has over 10 years of experience leading IT and OT physical security and cybersecurity.</w:t>
      </w:r>
    </w:p>
    <w:p>
      <w:pPr>
        <w:spacing w:after="0" w:line="4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The SVP, E&amp;O is supported by critical internal positions within the Company, including but not limited to the Director of Information Technology, Vice President of Operational Technology and dedicated IT and OT resources with cybersecurity responsibilities. The SVP, E&amp;O is further supported by various external parties, including but not limited to cybersecurity service providers, consultants, and other third parties engaged on an as-needed basis.</w:t>
      </w:r>
    </w:p>
    <w:p>
      <w:pPr>
        <w:spacing w:after="0" w:line="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Company’s management has processes in place by which it is informed of and monitors the prevention, detection, mitigation, and remediation of cybersecurity risks. These processes include, but are not limited to:</w:t>
      </w:r>
    </w:p>
    <w:p>
      <w:pPr>
        <w:spacing w:after="0" w:line="48"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 updated inventory and management of digital assets;</w:t>
      </w:r>
    </w:p>
    <w:p>
      <w:pPr>
        <w:spacing w:after="0" w:line="113"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familiarity and compliance with cybersecurity frameworks, including the National Institute of Standards and Technology’s Cybersecurity Framework and ISO 27001;</w:t>
      </w:r>
    </w:p>
    <w:p>
      <w:pPr>
        <w:spacing w:after="0" w:line="48"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Updating and maintaining an internal incident response plan, including conducting cybersecurity incident drills to periodically assess the adequacy of the incident response plan;</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risk assessments of the Company’s cybersecurity policies, practices, and tools;</w:t>
      </w:r>
    </w:p>
    <w:p>
      <w:pPr>
        <w:spacing w:after="0" w:line="113" w:lineRule="exact"/>
        <w:rPr>
          <w:rFonts w:ascii="Times New Roman" w:cs="Times New Roman" w:eastAsia="Times New Roman" w:hAnsi="Times New Roman"/>
          <w:sz w:val="17"/>
          <w:szCs w:val="17"/>
          <w:color w:val="auto"/>
        </w:rPr>
      </w:pPr>
    </w:p>
    <w:p>
      <w:pPr>
        <w:jc w:val="both"/>
        <w:ind w:left="620" w:right="420" w:hanging="307"/>
        <w:spacing w:after="0" w:line="27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Employing appropriate antivirus, anti-malware, firewall, endpoint detection and response, backup and recovery software, multifactor authentication, virtual private network, account change monitoring, patch management, web content filter, spam filter and reporting, and vulnerability management software;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regular vulnerability scans of the Company’s digital and operational infrastructure;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employees to complete a Cybersecurity Awareness Program, which includes computer-based training;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developments in the threat landscape.</w:t>
      </w:r>
    </w:p>
    <w:p>
      <w:pPr>
        <w:spacing w:after="0" w:line="11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The Company’s management also has processes in place to oversee and identify material risks from cybersecurity threats associated with its use of third-party service providers. These processes include, but are not limited to:</w:t>
      </w:r>
    </w:p>
    <w:p>
      <w:pPr>
        <w:spacing w:after="0" w:line="48" w:lineRule="exact"/>
        <w:rPr>
          <w:sz w:val="20"/>
          <w:szCs w:val="20"/>
          <w:color w:val="auto"/>
        </w:rPr>
      </w:pPr>
    </w:p>
    <w:p>
      <w:pPr>
        <w:ind w:left="620" w:right="28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 inventory of all third-party vendors engaged by the Company and assessing each vendor’s level of access to the Company’s IT and OT systems and information;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access controls that restrict vendor access to only specific Company systems and information necessary to perform their service.</w:t>
      </w:r>
    </w:p>
    <w:p>
      <w:pPr>
        <w:spacing w:after="0" w:line="1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SVP, E&amp;O provides updates to the Audit Committee at its quarterly meetings regarding management of the Company’s cybersecurity matters, including any new cybersecurity threats, incidents, risks, risk management solutions, trainings or education, infrastructure upgrades, or governance changes.</w:t>
      </w:r>
    </w:p>
    <w:p>
      <w:pPr>
        <w:spacing w:after="0" w:line="3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7"/>
          <w:szCs w:val="17"/>
          <w:color w:val="auto"/>
        </w:rPr>
        <w:t>As of March 16, 2026, the Company’s business strategy, operations, or financial condition have not been materially affected by any cybersecurity threats or incidents.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A description of our properties is included in Item 1. Business, and is incorporated herein by reference. For additional information on our midstream assets and their capacities, see Item 1. Business.</w:t>
      </w:r>
    </w:p>
    <w:p>
      <w:pPr>
        <w:spacing w:after="0" w:line="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Our real property falls into two categories: (i) parcels that we own in fee and (ii) parcels in which our interest derives from leases, easements, rights-of-way, permits or licenses from landowners or governmental authorities, permitting the use of such land for our operations. Portions of the land on which our gathering systems and other major facilities are located are owned by us in fee title, and we believe that we have valid title to these lands. The remainder of the land on which our major facilities are located are held by us pursuant to long-term leases or easements between us and the underlying fee owner or permits with governmental authorities. We believe that we have valid leasehold estates or fee ownership in such lands or valid permits with governmental authorities. We have no knowledge of any material challenge to the underlying fee title of any material lease, easement, right-of-way, permit, or license held by us or to our title to any material lease, easement, right-of-way, permit, or license. We believe that we have satisfactory title to all of our material leases, easements, rights-of-way, permits, and licenses with the exception of certain ordinary course encumbrances and permits with governmental entities that have been applied for, but not yet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lease various office spaces to support our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w:t>
      </w:r>
    </w:p>
    <w:p>
      <w:pPr>
        <w:spacing w:after="0" w:line="5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Fiberspar Corporation. </w:t>
      </w:r>
      <w:r>
        <w:rPr>
          <w:rFonts w:ascii="Times New Roman" w:cs="Times New Roman" w:eastAsia="Times New Roman" w:hAnsi="Times New Roman"/>
          <w:sz w:val="17"/>
          <w:szCs w:val="17"/>
          <w:color w:val="auto"/>
        </w:rPr>
        <w:t>On May 3, 2022, Fiberspar Corporation (“Fiberspar”) filed a petition in the District Court of Harris County, Texas alleging, before costs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and a trial date has been set for April 2026. We are unable to predict the final outcome of this matter.</w:t>
      </w:r>
    </w:p>
    <w:p>
      <w:pPr>
        <w:spacing w:after="0" w:line="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Global Settlement. </w:t>
      </w:r>
      <w:r>
        <w:rPr>
          <w:rFonts w:ascii="Times New Roman" w:cs="Times New Roman" w:eastAsia="Times New Roman" w:hAnsi="Times New Roman"/>
          <w:sz w:val="17"/>
          <w:szCs w:val="17"/>
          <w:color w:val="auto"/>
        </w:rPr>
        <w:t>On August 4, 2021, SMLP and several of its subsidiaries entered into agreements to resolve government investigations into the previously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U.S., by and through the U.S. Attorney for the District of North Dakota, and the Environmental Crimes Section of the DOJ; and (iii) a Consent Agreement with the NDIC (together, the “Global Settlement”).</w:t>
      </w:r>
    </w:p>
    <w:p>
      <w:pPr>
        <w:spacing w:after="0" w:line="7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spacing w:after="0" w:line="7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w:t>
      </w:r>
    </w:p>
    <w:p>
      <w:pPr>
        <w:spacing w:after="0" w:line="1" w:lineRule="exact"/>
        <w:rPr>
          <w:sz w:val="20"/>
          <w:szCs w:val="20"/>
          <w:color w:val="auto"/>
        </w:rPr>
      </w:pPr>
    </w:p>
    <w:p>
      <w:pPr>
        <w:ind w:firstLine="3"/>
        <w:spacing w:after="0" w:line="259" w:lineRule="auto"/>
        <w:tabs>
          <w:tab w:leader="none" w:pos="25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spacing w:after="0" w:line="7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On December 6, 2021, the U.S. District Court accepted the Plea Agreement. This Global Settlement resulted in losses amounting to $36.3 million and will be paid over five to six years. As of December 31, 2025, we have paid principal amounts totaling $28.0 million and we intend to fully satisfy all monetary obligations by December 31,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common stock trades on the NYSE under the ticker symbol “SMC.” As of December 31, 2025, there were approximately 70 holders of our common stock and one holder of our non-economic Class B Common Stock. The number of holders of our common stock does not include holders that have common stock held for them in “street name,” meaning that the stock is held for their accounts by a broker or other nominee. In these instances, the brokers or other nominees are included in the number of registered holders, but the underlying holders of the common stock that hold such stock in “street name” are not.</w:t>
      </w:r>
    </w:p>
    <w:p>
      <w:pPr>
        <w:spacing w:after="0" w:line="6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we did not pay any dividends on our shares of common stock. Our Board of Directors reinstated cash dividends on our Series A Preferred Stock beginning on March 14, 2025. During the year ended December 31, 2025, we paid cash dividends totaling $13.4 million on our Series A Preferred Stock.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Dividend Policy and Restrictions on Dividends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May 3, 2020, we suspended distributions to holders of our common units and suspended payments of distributions to holders of our Series A Preferred Units, commencing with respect to the quarter ending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and any rights to accumulated and unpaid distributions on such Series A Preferred Units were discharged. Because our Series A Preferred Stock ranks senior to our common stock with respect to dividend rights, any accrued dividends on our Series A Preferred Stock must first be paid prior to the initiation of dividends to our holders of common stock. Our Board of Directors reinstated cash dividends on our Series A Preferred Stock beginning on March 14, 2025. As of December 31, 2025, the amount of accrued and unpaid dividends on the Series A Preferred Stock totaled $46.6 million. In March 2026, the Company’s Board of Directors approved the payment of any and all accrued and unpaid 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w:t>
      </w:r>
    </w:p>
    <w:p>
      <w:pPr>
        <w:spacing w:after="0" w:line="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Absent a material change to our business, we do not expect to pay dividends to holders of our common stock in the foreseeable future. Any future dividend payments will depend on our financial condition, market conditions and other matters deemed relevant by the Board of Directors. Additionally, our ability to pay dividends is subject to restrictions on dividends under our Amended and Restated ABL Facility and the indenture governing the 2029 Senior Notes.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Unit Dividends and Distributions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65,508 shares of Series A Preferred Stock outstanding as of December 31, 2025, and $46.6 million of accrued and unpaid dividends.</w:t>
      </w:r>
    </w:p>
    <w:p>
      <w:pPr>
        <w:spacing w:after="0" w:line="11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Dividends on our Series A Preferred Stock are cumulative and compounding and are payable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Board of Directors out of legally available funds for such purpose.</w:t>
      </w:r>
    </w:p>
    <w:p>
      <w:pPr>
        <w:spacing w:after="0" w:line="6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dividend rate for our Series A Preferred Stock is equal to the three-month SOFR plus a spread of 7.69%. See Note 12 - Equity and Mezzanine Equity to the consolidated financial statements for additional details. On February 28, 2025, we announced the resumption of dividends to holders of shares of Series A Preferred Stock. During the year ended December 31, 2025, cash dividend payments totaling $13.4 million were paid. In March 2026, the Company’s Board of Directors approved the payment of any and all accrued and unpaid 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Subsidiary Series A Preferred Units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Permian Holdco had 93,039 Subsidiary Series A Preferred Units outstanding as of December 31, 2025.</w:t>
      </w:r>
    </w:p>
    <w:p>
      <w:pPr>
        <w:spacing w:after="0" w:line="11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Distributions on the Subsidiary Series A Preferred Units are cumulative and compounding and are payable quarterly in arrears 21 days after the quarter ending March, June, September and December of each year (each, a “Subsidiary Series A Preferred Distribution Payment Date”) to holders of record as of the close of business on the first business day of the month of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58" w:name="page59"/>
    <w:bookmarkEnd w:id="58"/>
    <w:p>
      <w:pPr>
        <w:ind w:right="300"/>
        <w:spacing w:after="0" w:line="287" w:lineRule="auto"/>
        <w:rPr>
          <w:sz w:val="20"/>
          <w:szCs w:val="20"/>
          <w:color w:val="auto"/>
        </w:rPr>
      </w:pPr>
      <w:r>
        <w:rPr>
          <w:rFonts w:ascii="Times New Roman" w:cs="Times New Roman" w:eastAsia="Times New Roman" w:hAnsi="Times New Roman"/>
          <w:sz w:val="17"/>
          <w:szCs w:val="17"/>
          <w:color w:val="auto"/>
        </w:rPr>
        <w:t>applicable Subsidiary Series A Preferred Distribution Payment Date, in each case, when, as, and if declared by the board of directors of Permian Holdco out of legally available funds for such purpose.</w:t>
      </w:r>
    </w:p>
    <w:p>
      <w:pPr>
        <w:spacing w:after="0" w:line="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The distribution rate is 7.00% per annum of the $1,000 issue amount per outstanding Subsidiary Series A Preferred Unit. If the Subsidiary Series A Preferred Units were redeemed on December 31, 2025, the redemption amount would be $141.9 million, when considering the applicable multiple of invested capital metric and make-whole amount provisions contained in the Amended and Restated Limited Liability Company Agreement of Permian Holdco. The use of proceeds from the New Permian Transmission Facility will be used to, among other things, redeem in full the Subsidiary Series A Preferred Units. See “Part II Item 9 B. Other Information” and Note 12 - Equity and Mezzanine Equity to the consolidated financial statements for additional details.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sell any unregistered equity securities during the quarter or year ended December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made no repurchases of our common stock or common units of the Partnership during the quarter or year ended December 31, 2025.</w:t>
      </w:r>
    </w:p>
    <w:p>
      <w:pPr>
        <w:spacing w:after="0" w:line="1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following graph compares, for the last five years, the performance of our common stock to the S&amp;P 500 Index and our peer group. The chart assumes that the value of our investment in our common stock and each index was $100 as of December 31, 2020, and that all dividends were reinvested.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5599430" cy="3413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99430" cy="341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peer group consists of the following:</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9" w:name="page60"/>
    <w:bookmarkEnd w:id="59"/>
    <w:tbl>
      <w:tblPr>
        <w:tblLayout w:type="fixed"/>
        <w:tblInd w:w="20" w:type="dxa"/>
        <w:tblCellMar>
          <w:top w:w="0" w:type="dxa"/>
          <w:left w:w="0" w:type="dxa"/>
          <w:bottom w:w="0" w:type="dxa"/>
          <w:right w:w="0" w:type="dxa"/>
        </w:tblCellMar>
      </w:tblP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Antero Midstream Corporation</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Archrock, Inc.</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Delek Logistics Partners, LP</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DT Midstream, Inc.</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Excelerate Energy, Inc.</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Enerflex Ltd.</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Enterprise Products Partners L.P.</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Energy Transfer, L.P.</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Gibson Energy Inc.</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Genesis Energy, LP</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Hess Midstream LP</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Kodiak Gas Services, Inc.</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Kinder Morgan, Inc.</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Kinetik Holdings Inc.</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Cheniere Energy, Inc.</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MPLX LP</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New Fortress Energy Inc.</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NGL Energy Partners LP</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Oil States International Inc.</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ONEOK, Inc.</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Plains All American Pipeline, L.P.</w:t>
            </w: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Targa Resources Corp.</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USA Compression Partners, LP</w:t>
            </w:r>
          </w:p>
        </w:tc>
        <w:tc>
          <w:tcPr>
            <w:tcW w:w="31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Western Midstream Partners, LP</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The Williams Companies, Inc.</w:t>
            </w:r>
          </w:p>
        </w:tc>
        <w:tc>
          <w:tcPr>
            <w:tcW w:w="37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Select Water Solutions, Inc.</w:t>
            </w:r>
          </w:p>
        </w:tc>
        <w:tc>
          <w:tcPr>
            <w:tcW w:w="3160" w:type="dxa"/>
            <w:vAlign w:val="bottom"/>
          </w:tcPr>
          <w:p>
            <w:pPr>
              <w:spacing w:after="0"/>
              <w:rPr>
                <w:sz w:val="19"/>
                <w:szCs w:val="19"/>
                <w:color w:val="auto"/>
              </w:rPr>
            </w:pPr>
          </w:p>
        </w:tc>
      </w:tr>
    </w:tbl>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information in this Form 10-K appearing under the heading “Stock Performance Graph” is being “furnished” pursuant to Item 2.01(e) of Regulation S-K under the Securities Act and shall not be deemed to be “soliciting material” or “filed” with the SEC or subject to Regulation 14A or 14C, other than as provided in Item 2.01(e) of Regulation S-K, or to the liabilities of Section 18 of the Exchange Act and shall not be deemed incorporated by reference into any filing under the Securities Act of the Exchange Act except to the extent that we specifically request that it be treated as such.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is intended to inform the reader about matters affecting the financial condition and results of operations of the Company and its subsidiaries. As a result, the following discussion for the year ended December 31, 2025 should be read in conjunction with the consolidated financial statements and notes thereto included in this Annual Report. Among other things, the consolidated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7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Unless the context requires otherwise or unless otherwise noted, all references to “Summit Midstream,” the “Company,” “we,” “us,” “our” or like terms are to Summit Midstream Corporation (including its subsidiaries) for the periods after August 1, 2024, the date the Corporate Reorganization was consummated. For the periods prior to August 1, 2024, unless the context requires otherwise or unless otherwise noted, all reference to “Summit Midstream,” or the “Company” are to Summit Midstream Partners, LP. (including its subsidiaries).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We are a value-oriented company focused on developing, owning, and operating midstream energy infrastructure assets that are strategically located in the core producing areas of unconventional resource basins, primarily shale formations, in the continental U.S.</w:t>
      </w:r>
    </w:p>
    <w:p>
      <w:pPr>
        <w:spacing w:after="0" w:line="4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 During the year ended December 31, 2025, these additional activities accounted for approximately 48% of our total revenues.</w:t>
      </w:r>
    </w:p>
    <w:p>
      <w:pPr>
        <w:spacing w:after="0" w:line="28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1" w:name="page62"/>
    <w:bookmarkEnd w:id="61"/>
    <w:p>
      <w:pPr>
        <w:spacing w:after="0" w:line="287" w:lineRule="auto"/>
        <w:rPr>
          <w:sz w:val="20"/>
          <w:szCs w:val="20"/>
          <w:color w:val="auto"/>
        </w:rPr>
      </w:pPr>
      <w:r>
        <w:rPr>
          <w:rFonts w:ascii="Times New Roman" w:cs="Times New Roman" w:eastAsia="Times New Roman" w:hAnsi="Times New Roman"/>
          <w:sz w:val="17"/>
          <w:szCs w:val="17"/>
          <w:color w:val="auto"/>
        </w:rPr>
        <w:t>The following table presents certain consolidated and reportable segment financial data. For additional information on our reportable segments, see the “Segment Overview for the Years Ended December 31, 2025 and 2024” section herein.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4"/>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100" w:type="dxa"/>
            <w:vAlign w:val="bottom"/>
          </w:tcPr>
          <w:p>
            <w:pPr>
              <w:spacing w:after="0"/>
              <w:rPr>
                <w:sz w:val="19"/>
                <w:szCs w:val="19"/>
                <w:color w:val="auto"/>
              </w:rPr>
            </w:pPr>
          </w:p>
        </w:tc>
      </w:tr>
      <w:tr>
        <w:trPr>
          <w:trHeight w:val="25"/>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19"/>
                <w:szCs w:val="19"/>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80" w:type="dxa"/>
            <w:vAlign w:val="bottom"/>
          </w:tcPr>
          <w:p>
            <w:pPr>
              <w:spacing w:after="0"/>
              <w:rPr>
                <w:sz w:val="19"/>
                <w:szCs w:val="19"/>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(113,175)</w:t>
            </w:r>
          </w:p>
        </w:tc>
        <w:tc>
          <w:tcPr>
            <w:tcW w:w="3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(38,947)</w:t>
            </w:r>
          </w:p>
        </w:tc>
      </w:t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Reportable Segment Adjusted EBITDA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Rockies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106,935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93,827</w:t>
            </w:r>
          </w:p>
        </w:tc>
        <w:tc>
          <w:tcPr>
            <w:tcW w:w="3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87,390</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Permian</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33,980</w:t>
            </w:r>
          </w:p>
        </w:tc>
        <w:tc>
          <w:tcPr>
            <w:tcW w:w="2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31,227</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24,207</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Mid-Con</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92,377</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30,645</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26,171</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Piceance</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44,774</w:t>
            </w:r>
          </w:p>
        </w:tc>
        <w:tc>
          <w:tcPr>
            <w:tcW w:w="2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52,704</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59,749</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Northeast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30,634</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94,249</w:t>
            </w:r>
          </w:p>
        </w:tc>
      </w:tr>
      <w:tr>
        <w:trPr>
          <w:trHeight w:val="245"/>
        </w:trPr>
        <w:tc>
          <w:tcPr>
            <w:tcW w:w="6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133,595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61,771</w:t>
            </w:r>
          </w:p>
        </w:tc>
        <w:tc>
          <w:tcPr>
            <w:tcW w:w="3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126,906</w:t>
            </w:r>
          </w:p>
        </w:tc>
      </w:tr>
      <w:tr>
        <w:trPr>
          <w:trHeight w:val="258"/>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select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8"/>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89,042</w:t>
            </w:r>
          </w:p>
        </w:tc>
        <w:tc>
          <w:tcPr>
            <w:tcW w:w="20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53,611</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68,905</w:t>
            </w: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Double E equity method investee</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3,816</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3,880</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consideration paid for Moonrise Acquisition, net of cash acquired</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(69,997)</w:t>
            </w:r>
          </w:p>
        </w:tc>
        <w:tc>
          <w:tcPr>
            <w:tcW w:w="2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consideration paid for Tall Oak Acquisition, net of cash acquired</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(154,154)</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Utica Sale (excluding Ohio Gathering)</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292,266</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Ohio Gathering</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332,734</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Mountaineer Transaction</w:t>
            </w:r>
          </w:p>
        </w:tc>
        <w:tc>
          <w:tcPr>
            <w:tcW w:w="32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69,304</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6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select financing 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Additional 2029 Secured Notes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258,438</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on Amended and Restated ABL Facility</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133,000</w:t>
            </w:r>
          </w:p>
        </w:tc>
        <w:tc>
          <w:tcPr>
            <w:tcW w:w="2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305,000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repayments - ABL Facility</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(313,000)</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(87,000)</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repayments - Permian Transmission Term Loan</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(12,324)</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(15,524)</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(10,507)</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 on Series A Preferred Shares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(13,393)</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on Subsidiary Series A Preferred Shares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(6,512)</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2029 Secured Notes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565,800</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repayments - Redemption of 2026 Unsecured Notes</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(209,510)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repayments - 2026 Secured Notes (Excess Cash Flow Offer)</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(13,626)</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repayments - 2026 Secured Notes (2026 Secured Notes Asset Sale Offer)</w:t>
            </w:r>
          </w:p>
        </w:tc>
        <w:tc>
          <w:tcPr>
            <w:tcW w:w="32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(6,910)</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repayments - 2025 Senior Notes Redemption</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(49,783)</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repayments - 2026 Secured Notes Redemption</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(764,464)</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repayments - Repurchase of 2025 Senior Notes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(29,650)</w:t>
            </w:r>
          </w:p>
        </w:tc>
      </w:tr>
      <w:tr>
        <w:trPr>
          <w:trHeight w:val="23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2026 Unsecured Notes</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29,480</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114" w:lineRule="exact"/>
        <w:rPr>
          <w:sz w:val="20"/>
          <w:szCs w:val="20"/>
          <w:color w:val="auto"/>
        </w:rPr>
      </w:pPr>
    </w:p>
    <w:p>
      <w:pPr>
        <w:ind w:right="60" w:firstLine="3"/>
        <w:spacing w:after="0" w:line="229" w:lineRule="auto"/>
        <w:tabs>
          <w:tab w:leader="none" w:pos="607"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“Liquidity and Capital Resources” herein and Note 18 - Segment Information to the consolidated financial statements for additional information on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103" w:right="479" w:bottom="1440" w:gutter="0" w:footer="0" w:header="0"/>
        </w:sectPr>
      </w:pPr>
    </w:p>
    <w:bookmarkStart w:id="62" w:name="page63"/>
    <w:bookmarkEnd w:id="62"/>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Key Matters for the Year ended December 31, 2025. </w:t>
      </w:r>
      <w:r>
        <w:rPr>
          <w:rFonts w:ascii="Times New Roman" w:cs="Times New Roman" w:eastAsia="Times New Roman" w:hAnsi="Times New Roman"/>
          <w:sz w:val="17"/>
          <w:szCs w:val="17"/>
          <w:color w:val="auto"/>
        </w:rPr>
        <w:t>The following is a brief listing of significant developments and highlights for the fiscal year ended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2025, and up through the filing date of this Form 10-K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Additional information regarding these items may be found elsewhere in this Annual Report.</w:t>
      </w:r>
    </w:p>
    <w:p>
      <w:pPr>
        <w:spacing w:after="0" w:line="39" w:lineRule="exact"/>
        <w:rPr>
          <w:sz w:val="20"/>
          <w:szCs w:val="20"/>
          <w:color w:val="auto"/>
        </w:rPr>
      </w:pPr>
    </w:p>
    <w:p>
      <w:pPr>
        <w:ind w:left="1240" w:right="360" w:hanging="618"/>
        <w:spacing w:after="0" w:line="262" w:lineRule="auto"/>
        <w:tabs>
          <w:tab w:leader="none" w:pos="1236" w:val="left"/>
        </w:tabs>
        <w:numPr>
          <w:ilvl w:val="0"/>
          <w:numId w:val="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Moonrise Acquisition. </w:t>
      </w:r>
      <w:r>
        <w:rPr>
          <w:rFonts w:ascii="Times New Roman" w:cs="Times New Roman" w:eastAsia="Times New Roman" w:hAnsi="Times New Roman"/>
          <w:sz w:val="17"/>
          <w:szCs w:val="17"/>
          <w:color w:val="auto"/>
        </w:rPr>
        <w:t>On March 10, 2025, we completed the acquisition of Moonrise Midstream, LLC (the “Moonrise Acquisition”)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Fundare Resources Company, LLC for approximately $90.0 million, consisting of (i) a $70.0 million cash payment and (ii) the issuance of 462,265 shares of our common stock. The Moonrise Acquisition expanded our existing footprint in the DJ Basin and provides our DJ Basin customers with additional processing capacity and flow assurance. The Moonrise Acquisition represents the continued execution of our consolidation efforts in the DJ Basin.</w:t>
      </w:r>
    </w:p>
    <w:p>
      <w:pPr>
        <w:spacing w:after="0" w:line="67" w:lineRule="exact"/>
        <w:rPr>
          <w:rFonts w:ascii="Times New Roman" w:cs="Times New Roman" w:eastAsia="Times New Roman" w:hAnsi="Times New Roman"/>
          <w:sz w:val="17"/>
          <w:szCs w:val="17"/>
          <w:b w:val="1"/>
          <w:bCs w:val="1"/>
          <w:i w:val="1"/>
          <w:iCs w:val="1"/>
          <w:color w:val="auto"/>
        </w:rPr>
      </w:pPr>
    </w:p>
    <w:p>
      <w:pPr>
        <w:ind w:left="1240" w:right="40" w:hanging="618"/>
        <w:spacing w:after="0" w:line="259" w:lineRule="auto"/>
        <w:tabs>
          <w:tab w:leader="none" w:pos="12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Resumption of Series A Preferred Stock Dividend. </w:t>
      </w:r>
      <w:r>
        <w:rPr>
          <w:rFonts w:ascii="Times New Roman" w:cs="Times New Roman" w:eastAsia="Times New Roman" w:hAnsi="Times New Roman"/>
          <w:sz w:val="17"/>
          <w:szCs w:val="17"/>
          <w:color w:val="auto"/>
        </w:rPr>
        <w:t>On February 28, 2025, we announced that our Board of Directors approved the resumption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 quarterly cash dividend on our Series A Preferred Stock. During 2025, we paid $13.4 million of dividends on our Series A Preferred Stock and as of December 31, 2025, the Series A Preferred Stock had $46.6 million of cumulative unpaid dividends that must be repaid prior to the payment of a common stock dividend. In March 2026, the Company’s Board of Directors approved the payment of any and all accrued and unpaid 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w:t>
      </w:r>
    </w:p>
    <w:p>
      <w:pPr>
        <w:spacing w:after="0" w:line="70" w:lineRule="exact"/>
        <w:rPr>
          <w:rFonts w:ascii="Times New Roman" w:cs="Times New Roman" w:eastAsia="Times New Roman" w:hAnsi="Times New Roman"/>
          <w:sz w:val="17"/>
          <w:szCs w:val="17"/>
          <w:color w:val="auto"/>
        </w:rPr>
      </w:pPr>
    </w:p>
    <w:p>
      <w:pPr>
        <w:ind w:left="1240" w:right="280" w:hanging="618"/>
        <w:spacing w:after="0" w:line="272" w:lineRule="auto"/>
        <w:tabs>
          <w:tab w:leader="none" w:pos="12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Integration of acquired businesses. </w:t>
      </w:r>
      <w:r>
        <w:rPr>
          <w:rFonts w:ascii="Times New Roman" w:cs="Times New Roman" w:eastAsia="Times New Roman" w:hAnsi="Times New Roman"/>
          <w:sz w:val="17"/>
          <w:szCs w:val="17"/>
          <w:color w:val="auto"/>
        </w:rPr>
        <w:t>We spent significant time throughout 2025 integrating both the Moonrise Acquisition and the Tall Oak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Acquisition into our existing operations. Activities included conforming the acquired businesses to our operating policies and procedures and attaining acquisition synergies, including rationalizing compression equipment.</w:t>
      </w:r>
    </w:p>
    <w:p>
      <w:pPr>
        <w:spacing w:after="0" w:line="57" w:lineRule="exact"/>
        <w:rPr>
          <w:rFonts w:ascii="Times New Roman" w:cs="Times New Roman" w:eastAsia="Times New Roman" w:hAnsi="Times New Roman"/>
          <w:sz w:val="17"/>
          <w:szCs w:val="17"/>
          <w:color w:val="auto"/>
        </w:rPr>
      </w:pPr>
    </w:p>
    <w:p>
      <w:pPr>
        <w:ind w:left="1240" w:right="20" w:hanging="618"/>
        <w:spacing w:after="0" w:line="259" w:lineRule="auto"/>
        <w:tabs>
          <w:tab w:leader="none" w:pos="12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success. </w:t>
      </w:r>
      <w:r>
        <w:rPr>
          <w:rFonts w:ascii="Times New Roman" w:cs="Times New Roman" w:eastAsia="Times New Roman" w:hAnsi="Times New Roman"/>
          <w:sz w:val="17"/>
          <w:szCs w:val="17"/>
          <w:color w:val="auto"/>
        </w:rPr>
        <w:t>During 2025, we executed several new commercial agreements with both existing and new customers, including a 10-year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extension of a gathering agreement with a key customer in the Williston Basin and a new 15-year agreement with a key customer in the Williston Basin. Additionally, in 2025 Double E executed a new precedent agreement for 100 MMcf/d of firm capacity tied to an expansion of a processing plant located in Lea County, New Mexico. Subsequent to December 31, 2025, Double E (i) executed an agreement which includes 210 MMcf/d of firm capacity, with the first tranche of volume set to begin flowing in the fourth quarter of 2026, and an 11-year term and (ii) executed an agreement which includes 230 MMcf/d of firm capacity, with the first tranche of volume set to begin flowing in the fourth quarter of 2027, and over an 11-year term.</w:t>
      </w:r>
    </w:p>
    <w:p>
      <w:pPr>
        <w:spacing w:after="0" w:line="70" w:lineRule="exact"/>
        <w:rPr>
          <w:rFonts w:ascii="Times New Roman" w:cs="Times New Roman" w:eastAsia="Times New Roman" w:hAnsi="Times New Roman"/>
          <w:sz w:val="17"/>
          <w:szCs w:val="17"/>
          <w:color w:val="auto"/>
        </w:rPr>
      </w:pPr>
    </w:p>
    <w:p>
      <w:pPr>
        <w:ind w:left="1240" w:hanging="618"/>
        <w:spacing w:after="0" w:line="261" w:lineRule="auto"/>
        <w:tabs>
          <w:tab w:leader="none" w:pos="1236"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Summit Permian Transmission and Permian Holdco Refinancing. </w:t>
      </w:r>
      <w:r>
        <w:rPr>
          <w:rFonts w:ascii="Times New Roman" w:cs="Times New Roman" w:eastAsia="Times New Roman" w:hAnsi="Times New Roman"/>
          <w:sz w:val="17"/>
          <w:szCs w:val="17"/>
          <w:color w:val="auto"/>
        </w:rPr>
        <w:t>In March 2026, we completed a $440.0 million refinancing of our Permian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Transmission Credit Facilities in the form of the New Permian Transmission Facility with a maturity in March 2031. The New Permian Transmission Facility consists of $340.0 million in initial term loan commitments, $50.0 million in delayed draw commitments, and a</w:t>
      </w:r>
    </w:p>
    <w:p>
      <w:pPr>
        <w:spacing w:after="0" w:line="1" w:lineRule="exact"/>
        <w:rPr>
          <w:rFonts w:ascii="Times New Roman" w:cs="Times New Roman" w:eastAsia="Times New Roman" w:hAnsi="Times New Roman"/>
          <w:sz w:val="17"/>
          <w:szCs w:val="17"/>
          <w:b w:val="1"/>
          <w:bCs w:val="1"/>
          <w:color w:val="auto"/>
        </w:rPr>
      </w:pPr>
    </w:p>
    <w:p>
      <w:pPr>
        <w:ind w:left="1240" w:right="6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$50.0 million uncommitted incremental facility. The use of proceeds of the New Permian Transmission Facility includes, among other things, repayment in full of the Permian Transmission Credit Facilities and redemption in full of the outstanding Subsidiary Series A Preferred Units. In connection with the New Permian Transmission Facility, Summit Permian Transmission entered into a $7.0 million letter of credit arrangement.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and Outlook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has been, and we expect our future business to continue to be, affected by the following key trends:</w:t>
      </w:r>
    </w:p>
    <w:p>
      <w:pPr>
        <w:spacing w:after="0" w:line="114" w:lineRule="exact"/>
        <w:rPr>
          <w:sz w:val="20"/>
          <w:szCs w:val="20"/>
          <w:color w:val="auto"/>
        </w:rPr>
      </w:pPr>
    </w:p>
    <w:p>
      <w:pPr>
        <w:jc w:val="both"/>
        <w:ind w:left="1240" w:right="560" w:hanging="618"/>
        <w:spacing w:after="0" w:line="270"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impact of political and economic conditions and events in foreign oil and natural gas producing countries on commodity prices, including the ongoing U.S. military operation in Iran, the current Russia-Ukraine conflict, international sanctions against Russia, the U.S. military operation in Venezuela, and other sustained military campaigns;</w:t>
      </w:r>
    </w:p>
    <w:p>
      <w:pPr>
        <w:spacing w:after="0" w:line="62"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gas, NGL and crude oil supply and demand dynamics;</w:t>
      </w:r>
    </w:p>
    <w:p>
      <w:pPr>
        <w:spacing w:after="0" w:line="113" w:lineRule="exact"/>
        <w:rPr>
          <w:rFonts w:ascii="Times New Roman" w:cs="Times New Roman" w:eastAsia="Times New Roman" w:hAnsi="Times New Roman"/>
          <w:sz w:val="17"/>
          <w:szCs w:val="17"/>
          <w:color w:val="auto"/>
        </w:rPr>
      </w:pPr>
    </w:p>
    <w:p>
      <w:pPr>
        <w:ind w:left="1240" w:right="540" w:hanging="618"/>
        <w:spacing w:after="0" w:line="287"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OPEC and its allies, including the ability and willingness of the members of OPEC and other exporting nations to agree to and maintain oil price and production controls;</w:t>
      </w:r>
    </w:p>
    <w:p>
      <w:pPr>
        <w:spacing w:after="0" w:line="48"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from U.S. shale plays;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markets availability and cost of capital; and</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and shifts in operating costs.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3" w:name="page64"/>
    <w:bookmarkEnd w:id="63"/>
    <w:p>
      <w:pPr>
        <w:ind w:right="1020"/>
        <w:spacing w:after="0" w:line="287" w:lineRule="auto"/>
        <w:rPr>
          <w:sz w:val="20"/>
          <w:szCs w:val="20"/>
          <w:color w:val="auto"/>
        </w:rPr>
      </w:pPr>
      <w:r>
        <w:rPr>
          <w:rFonts w:ascii="Times New Roman" w:cs="Times New Roman" w:eastAsia="Times New Roman" w:hAnsi="Times New Roman"/>
          <w:sz w:val="17"/>
          <w:szCs w:val="17"/>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Capital structure optimization and portfolio management</w:t>
      </w:r>
      <w:r>
        <w:rPr>
          <w:rFonts w:ascii="Times New Roman" w:cs="Times New Roman" w:eastAsia="Times New Roman" w:hAnsi="Times New Roman"/>
          <w:sz w:val="17"/>
          <w:szCs w:val="17"/>
          <w:color w:val="auto"/>
        </w:rPr>
        <w:t>. We intend to continue to improve our capital structure in the future by reducing our indebtedness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free cash flow, and when appropriate, we may pursue opportunistic transactions with the objective of increasing long-term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New Permian Transmission Facility and access to debt or equity capital markets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7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Ongoing impact of political and economic conditions and events in foreign oil and natural gas producing countries on commodity prices. </w:t>
      </w:r>
      <w:r>
        <w:rPr>
          <w:rFonts w:ascii="Times New Roman" w:cs="Times New Roman" w:eastAsia="Times New Roman" w:hAnsi="Times New Roman"/>
          <w:sz w:val="17"/>
          <w:szCs w:val="17"/>
          <w:color w:val="auto"/>
        </w:rPr>
        <w:t>Although we operate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solely in the U.S., certain events and conditions in foreign oil and natural gas producing countries, such as the ongoing U.S. military operation in Iran, Russia’s invasion of Ukraine, and the recent change in Venezuela’s political leadership,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spacing w:after="0" w:line="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Natural gas, NGL and crude oil supply and demand dynamics. </w:t>
      </w:r>
      <w:r>
        <w:rPr>
          <w:rFonts w:ascii="Times New Roman" w:cs="Times New Roman" w:eastAsia="Times New Roman" w:hAnsi="Times New Roman"/>
          <w:sz w:val="17"/>
          <w:szCs w:val="17"/>
          <w:color w:val="auto"/>
        </w:rPr>
        <w:t>Natural gas continues to be a critical component of energy supply and demand in the U.S.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average spot price of natural gas increased by approximately 61% from 2024 to 2025, primarily due to increasing demand. The average daily Henry Hub Natural Gas Spot Price was $3.52 per MMBtu during 2025, compared with $2.19 per MMBtu during 2024. As of January 31, 2026, Henry Hub 12-month strip pricing closed at $7.71 per MMBtu. During 2025, the number of active natural gas drilling rigs in the continental U.S. increased from 102 in December 2024 to 125 in December 2025, according to Baker Hughes.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Despite these decreases, over the next several years we expect natural gas prices will continue to support continued upstream industry activity by producers focused on natural gas production.</w:t>
      </w:r>
    </w:p>
    <w:p>
      <w:pPr>
        <w:spacing w:after="0" w:line="7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 addition, certain of our gathering systems are directly affected by crude oil supply and demand dynamics. Crude oil prices decreased in 2025, with the average daily Cushing, Oklahoma West Texas Intermediate crude oil spot price average of $76.63 per barrel during 2024 decreasing to an average of $65.39 per barrel during 2025, representing a 15% decrease. As of January 31, 2026, West Texas Intermediate 12-month strip pricing closed at $60.26 per barrel. During 2025, the number of active crude oil drilling rigs in the continental U.S. decreased from 483 in December 2024 to 412 in December 2025, according to Baker Hughes. Despite these decreases,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spacing w:after="0" w:line="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spacing w:after="0" w:line="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Growth in production from U.S. shale plays. </w:t>
      </w:r>
      <w:r>
        <w:rPr>
          <w:rFonts w:ascii="Times New Roman" w:cs="Times New Roman" w:eastAsia="Times New Roman" w:hAnsi="Times New Roman"/>
          <w:sz w:val="17"/>
          <w:szCs w:val="17"/>
          <w:color w:val="auto"/>
        </w:rPr>
        <w:t>Over the past several years, natural gas production from unconventional shale resources has increased due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w:t>
      </w:r>
    </w:p>
    <w:p>
      <w:pPr>
        <w:spacing w:after="0" w:line="6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Rate of growth in production from U.S. shale plays. </w:t>
      </w:r>
      <w:r>
        <w:rPr>
          <w:rFonts w:ascii="Times New Roman" w:cs="Times New Roman" w:eastAsia="Times New Roman" w:hAnsi="Times New Roman"/>
          <w:sz w:val="17"/>
          <w:szCs w:val="17"/>
          <w:color w:val="auto"/>
        </w:rPr>
        <w:t>Some of our producer customers have adjusted their drilling and completion activities and schedules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4" w:name="page65"/>
    <w:bookmarkEnd w:id="64"/>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markets availability and cost of capital. </w:t>
      </w:r>
      <w:r>
        <w:rPr>
          <w:rFonts w:ascii="Times New Roman" w:cs="Times New Roman" w:eastAsia="Times New Roman" w:hAnsi="Times New Roman"/>
          <w:sz w:val="17"/>
          <w:szCs w:val="17"/>
          <w:color w:val="auto"/>
        </w:rPr>
        <w:t>Capital markets conditions, including but not limited to availability and higher borrowing costs, could affect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borrowings under our Amended and Restated ABL Facility, which have a variable interest rate, expose us to the risk of increasing interest rates.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 and operating costs. </w:t>
      </w:r>
      <w:r>
        <w:rPr>
          <w:rFonts w:ascii="Times New Roman" w:cs="Times New Roman" w:eastAsia="Times New Roman" w:hAnsi="Times New Roman"/>
          <w:sz w:val="17"/>
          <w:szCs w:val="17"/>
          <w:color w:val="auto"/>
        </w:rPr>
        <w:t>The annual rate of inflation in the U.S. hit 6.5% in December 2022, one of the highest increases in more than three decades,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measured by the Consumer Price Index. While inflation has declined since the second half of 2022, declining to 2.7% in December 2025, further increases in inflation in 2026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How We Evaluate Our Operations</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currently conduct and report our operations in the midstream energy industry through four reportable segments: Rockies, Permian, Piceance, and Mid-Con.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18 -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spacing w:after="0" w:line="7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We review these metrics on a regular basis for consistency and trend analysis. There have been no changes in the composition or characteristics of these metrics during the year ended December 31, 2025.</w:t>
      </w:r>
    </w:p>
    <w:p>
      <w:pPr>
        <w:spacing w:after="0" w:line="4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we divested of our Northeast operations, which consisted of midstream assets located in the Marcellus shale play and midstream assets located in the Utica shale play together with our equity method investment in Ohio Gathering that was focused on the Utica Shale.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Throughput Volume</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volume of (i) natural gas that we gather, compress, treat and/or process and (ii) crude oil and produced water that we gather depends on the level of production from natural gas or crude oil wells connected to our gathering systems. Aggregate production volumes are impacted by the overall amount of drilling and completion activity. Furthermore, because the production rate of natural gas and crude oil wells decline over time, production can only be maintained or increased by new drilling or other activity.</w:t>
      </w:r>
    </w:p>
    <w:p>
      <w:pPr>
        <w:spacing w:after="0" w:line="6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As a result, we must continually obtain new supplies of production to maintain or increase the throughput volume on our systems. Our ability to maintain or increase throughput volumes from existing customers and obtain new supplies of throughput is impacted by:</w:t>
      </w:r>
    </w:p>
    <w:p>
      <w:pPr>
        <w:spacing w:after="0" w:line="48" w:lineRule="exact"/>
        <w:rPr>
          <w:sz w:val="20"/>
          <w:szCs w:val="20"/>
          <w:color w:val="auto"/>
        </w:rPr>
      </w:pPr>
    </w:p>
    <w:p>
      <w:pPr>
        <w:ind w:left="1240" w:hanging="61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drilling activity within our AMIs;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work-overs and recompletions of wells on existing pad sites to which our gathering systems are connected;</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new pad sites in our AMIs awaiting connections;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for volumes from successful new wells in the areas in which we operate outside of our existing AMIs; and</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gather, treat and/or process production that has been released from commitments with our competitors.</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We report volumes gathered for natural gas in cubic feet per day. We aggregate crude oil and produced water gathering and report volumes gathered in barrels per day.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Our revenues are primarily attributable to the volumes that we gather, compress, treat and/or process and the rates we charge for those services. A majority of our gathering and processing agreements are fee-based, which limits our direct exposure to fluctuations in commodity prices; however, certain of our contracts have rates that are directly impacted by commodity prices. We also have percent-of-proceeds arrangements with certain customers under which the gathering and processing revenues that we earn correlate directly with the fluctuating price of natural gas, condensate and NGLs.</w:t>
      </w:r>
    </w:p>
    <w:p>
      <w:pPr>
        <w:spacing w:after="0" w:line="6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Certain of our gathering and processing agreements contain MVCs pursuant to which our customers agree to ship or process a minimum volume of production on our gathering systems, or, in some cases, to pay a minimum monetary amount, over certain periods during the term of the MVC. These MVCs help us generate stable revenues and serve to mitigate the financial impact associated with declining volumes.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 and Maintenance Expenses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seek to maximize the profitability of our operations in part by minimizing, to the extent appropriate, expenses directly tied to operating our assets. Direct labor costs, compression costs, ad valorem taxes, repair and non-capitalized maintenance costs, integrity management costs, utilities, and contract services comprise the most significant portion of our operation and maintenance expense. Other than utilities expense, these expenses are largely independent of volumes delivered through our gathering systems but may fluctuate depending on the activities performed during a specific period.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66" w:name="page67"/>
    <w:bookmarkEnd w:id="66"/>
    <w:p>
      <w:pPr>
        <w:ind w:right="1860"/>
        <w:spacing w:after="0" w:line="379" w:lineRule="auto"/>
        <w:rPr>
          <w:sz w:val="20"/>
          <w:szCs w:val="20"/>
          <w:color w:val="auto"/>
        </w:rPr>
      </w:pPr>
      <w:r>
        <w:rPr>
          <w:rFonts w:ascii="Times New Roman" w:cs="Times New Roman" w:eastAsia="Times New Roman" w:hAnsi="Times New Roman"/>
          <w:sz w:val="17"/>
          <w:szCs w:val="17"/>
          <w:color w:val="auto"/>
        </w:rPr>
        <w:t xml:space="preserve">Our operation and maintenance expenses also include costs that are reimbursed by our customers, which are included in Other revenues. </w:t>
      </w:r>
      <w:r>
        <w:rPr>
          <w:rFonts w:ascii="Times New Roman" w:cs="Times New Roman" w:eastAsia="Times New Roman" w:hAnsi="Times New Roman"/>
          <w:sz w:val="17"/>
          <w:szCs w:val="17"/>
          <w:b w:val="1"/>
          <w:bCs w:val="1"/>
          <w:color w:val="auto"/>
        </w:rPr>
        <w:t>Capital Expenditures</w:t>
      </w:r>
    </w:p>
    <w:p>
      <w:pPr>
        <w:spacing w:after="0" w:line="1"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Our business is capital intensive, requiring significant investment for the maintenance of existing gathering systems and the acquisition or construction and development of new gathering systems and other midstream assets and facilities.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categorize our capital expenditures as either:</w:t>
      </w:r>
    </w:p>
    <w:p>
      <w:pPr>
        <w:spacing w:after="0" w:line="114" w:lineRule="exact"/>
        <w:rPr>
          <w:sz w:val="20"/>
          <w:szCs w:val="20"/>
          <w:color w:val="auto"/>
        </w:rPr>
      </w:pPr>
    </w:p>
    <w:p>
      <w:pPr>
        <w:ind w:left="1240" w:right="80" w:hanging="618"/>
        <w:spacing w:after="0" w:line="270" w:lineRule="auto"/>
        <w:tabs>
          <w:tab w:leader="none" w:pos="12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62" w:lineRule="exact"/>
        <w:rPr>
          <w:rFonts w:ascii="Times New Roman" w:cs="Times New Roman" w:eastAsia="Times New Roman" w:hAnsi="Times New Roman"/>
          <w:sz w:val="17"/>
          <w:szCs w:val="17"/>
          <w:color w:val="auto"/>
        </w:rPr>
      </w:pPr>
    </w:p>
    <w:p>
      <w:pPr>
        <w:ind w:left="1240" w:right="200" w:hanging="618"/>
        <w:spacing w:after="0" w:line="287" w:lineRule="auto"/>
        <w:tabs>
          <w:tab w:leader="none" w:pos="12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capital expenditures, which are cash expenditures incurred for acquisitions or capital improvements that we expect will increase our operating income or operating capacity over the long term.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118"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7"/>
          <w:szCs w:val="17"/>
          <w:color w:val="auto"/>
        </w:rPr>
        <w:t>Segment Adjusted EBITDA is a supplemental financial measure used by management and by external users of our financial statements such as investors, commercial banks, research analysts, and others. Segment Adjusted EBITDA is used to assess:</w:t>
      </w:r>
    </w:p>
    <w:p>
      <w:pPr>
        <w:spacing w:after="0" w:line="48" w:lineRule="exact"/>
        <w:rPr>
          <w:sz w:val="20"/>
          <w:szCs w:val="20"/>
          <w:color w:val="auto"/>
        </w:rPr>
      </w:pPr>
    </w:p>
    <w:p>
      <w:pPr>
        <w:ind w:left="1240" w:hanging="618"/>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assets to generate cash sufficient to make cash distributions and support our indebtedness;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performance of our assets without regard to financing methods, capital structure, or historical cost basis;</w:t>
      </w:r>
    </w:p>
    <w:p>
      <w:pPr>
        <w:spacing w:after="0" w:line="113"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performance and return on capital as compared to other companies in the midstream energy sector, without regard to financing or capital structure;</w:t>
      </w:r>
    </w:p>
    <w:p>
      <w:pPr>
        <w:spacing w:after="0" w:line="48"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attractiveness of capital projects and acquisitions and the overall rates of return on alternative investment opportunities; and</w:t>
      </w:r>
    </w:p>
    <w:p>
      <w:pPr>
        <w:spacing w:after="0" w:line="113"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performance of our assets without regard to (i) income or loss from equity method investees, (ii) the impact of the timing of MVC shortfall payments under our gathering agreements or (iii) the timing of impairments or other noncash income or expense items.</w:t>
      </w:r>
    </w:p>
    <w:p>
      <w:pPr>
        <w:spacing w:after="0" w:line="4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Summit Midstream Corporation Tax Structure. </w:t>
      </w:r>
      <w:r>
        <w:rPr>
          <w:rFonts w:ascii="Times New Roman" w:cs="Times New Roman" w:eastAsia="Times New Roman" w:hAnsi="Times New Roman"/>
          <w:sz w:val="17"/>
          <w:szCs w:val="17"/>
          <w:color w:val="auto"/>
        </w:rPr>
        <w:t>We operate the Company in an Up-C tax structure whereby the Company owns 65% of SMLP as of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and certain Tailwater Capital, LLC entities (“Tailwater Capital”) own the remaining 35% of SMLP as a noncontrolling interest. If Tailwater Capital converted their 6.5 million SMLP partnership units and 6.5 million Class B shares on December 31, 2025 for the Company’s common stock, the following adjustments would occur to the Company’s balance sheet and common shares outstanding.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Hypothetical Conversion</w:t>
            </w:r>
          </w:p>
        </w:tc>
        <w:tc>
          <w:tcPr>
            <w:tcW w:w="300" w:type="dxa"/>
            <w:vAlign w:val="bottom"/>
          </w:tcPr>
          <w:p>
            <w:pPr>
              <w:spacing w:after="0"/>
              <w:rPr>
                <w:sz w:val="19"/>
                <w:szCs w:val="19"/>
                <w:color w:val="auto"/>
              </w:rPr>
            </w:pPr>
          </w:p>
        </w:tc>
        <w:tc>
          <w:tcPr>
            <w:tcW w:w="19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Post Conversion</w:t>
            </w:r>
          </w:p>
        </w:tc>
      </w:tr>
      <w:tr>
        <w:trPr>
          <w:trHeight w:val="212"/>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2,387,609</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2,387,609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2,387,609</w:t>
            </w:r>
          </w:p>
        </w:tc>
      </w:tr>
      <w:tr>
        <w:trPr>
          <w:trHeight w:val="47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Share Summary</w:t>
            </w:r>
          </w:p>
        </w:tc>
        <w:tc>
          <w:tcPr>
            <w:tcW w:w="260" w:type="dxa"/>
            <w:vAlign w:val="bottom"/>
          </w:tcPr>
          <w:p>
            <w:pPr>
              <w:spacing w:after="0"/>
              <w:rPr>
                <w:sz w:val="24"/>
                <w:szCs w:val="24"/>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Hypothetical Conversion</w:t>
            </w:r>
          </w:p>
        </w:tc>
        <w:tc>
          <w:tcPr>
            <w:tcW w:w="300" w:type="dxa"/>
            <w:vAlign w:val="bottom"/>
          </w:tcPr>
          <w:p>
            <w:pPr>
              <w:spacing w:after="0"/>
              <w:rPr>
                <w:sz w:val="24"/>
                <w:szCs w:val="24"/>
                <w:color w:val="auto"/>
              </w:rPr>
            </w:pPr>
          </w:p>
        </w:tc>
        <w:tc>
          <w:tcPr>
            <w:tcW w:w="19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Post Conversion</w:t>
            </w:r>
          </w:p>
        </w:tc>
      </w:tr>
      <w:tr>
        <w:trPr>
          <w:trHeight w:val="212"/>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12,262,320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18,786,787</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6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Additional Information. </w:t>
      </w:r>
      <w:r>
        <w:rPr>
          <w:rFonts w:ascii="Times New Roman" w:cs="Times New Roman" w:eastAsia="Times New Roman" w:hAnsi="Times New Roman"/>
          <w:sz w:val="17"/>
          <w:szCs w:val="17"/>
          <w:color w:val="auto"/>
        </w:rPr>
        <w:t>For additional information, see the “Results of Operations” section herein and the notes to the consolidated financial statements contained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Item 8. Financial Statements and Supplementary Data.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Overview for the Years Ended December 31, 2025 and 2024</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Below is a discussion of changes in our results of operations for 2025 compared to 2024. A discussion of changes in our results of operations for 2024 compared to 2023 has been omitted from this Form 10-K, but may be found in </w:t>
      </w:r>
      <w:r>
        <w:rPr>
          <w:rFonts w:ascii="Times New Roman" w:cs="Times New Roman" w:eastAsia="Times New Roman" w:hAnsi="Times New Roman"/>
          <w:sz w:val="17"/>
          <w:szCs w:val="17"/>
          <w:i w:val="1"/>
          <w:iCs w:val="1"/>
          <w:color w:val="auto"/>
        </w:rPr>
        <w:t>Part II, Item 7. 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Operations </w:t>
      </w:r>
      <w:r>
        <w:rPr>
          <w:rFonts w:ascii="Times New Roman" w:cs="Times New Roman" w:eastAsia="Times New Roman" w:hAnsi="Times New Roman"/>
          <w:sz w:val="17"/>
          <w:szCs w:val="17"/>
          <w:color w:val="auto"/>
        </w:rPr>
        <w:t>of our Form 10-K for the year ended December 31, 2024 as filed with the SEC on March 11, 2025.</w:t>
      </w:r>
    </w:p>
    <w:p>
      <w:pPr>
        <w:sectPr>
          <w:pgSz w:w="11900" w:h="16838" w:orient="portrait"/>
          <w:cols w:equalWidth="0" w:num="1">
            <w:col w:w="11240"/>
          </w:cols>
          <w:pgMar w:left="320" w:top="1099" w:right="339" w:bottom="144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certain consolidated data and volume throughput for the years ended December 31, 2025 and 2024.</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255,677</w:t>
            </w:r>
          </w:p>
        </w:tc>
        <w:tc>
          <w:tcPr>
            <w:tcW w:w="100" w:type="dxa"/>
            <w:vAlign w:val="bottom"/>
          </w:tcPr>
          <w:p>
            <w:pPr>
              <w:spacing w:after="0"/>
              <w:rPr>
                <w:sz w:val="22"/>
                <w:szCs w:val="22"/>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200,844</w:t>
            </w:r>
          </w:p>
        </w:tc>
        <w:tc>
          <w:tcPr>
            <w:tcW w:w="0" w:type="dxa"/>
            <w:vAlign w:val="bottom"/>
          </w:tcPr>
          <w:p>
            <w:pPr>
              <w:spacing w:after="0"/>
              <w:rPr>
                <w:sz w:val="1"/>
                <w:szCs w:val="1"/>
                <w:color w:val="auto"/>
              </w:rPr>
            </w:pPr>
          </w:p>
        </w:tc>
      </w:tr>
      <w:tr>
        <w:trPr>
          <w:trHeight w:val="258"/>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Natural gas, NGLs and condensate sales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265,059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195,027</w:t>
            </w:r>
          </w:p>
        </w:tc>
        <w:tc>
          <w:tcPr>
            <w:tcW w:w="0" w:type="dxa"/>
            <w:vAlign w:val="bottom"/>
          </w:tcPr>
          <w:p>
            <w:pPr>
              <w:spacing w:after="0"/>
              <w:rPr>
                <w:sz w:val="1"/>
                <w:szCs w:val="1"/>
                <w:color w:val="auto"/>
              </w:rPr>
            </w:pPr>
          </w:p>
        </w:tc>
      </w:tr>
      <w:tr>
        <w:trPr>
          <w:trHeight w:val="258"/>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33,748</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429,619</w:t>
            </w:r>
          </w:p>
        </w:tc>
        <w:tc>
          <w:tcPr>
            <w:tcW w:w="0" w:type="dxa"/>
            <w:vAlign w:val="bottom"/>
          </w:tcPr>
          <w:p>
            <w:pPr>
              <w:spacing w:after="0"/>
              <w:rPr>
                <w:sz w:val="1"/>
                <w:szCs w:val="1"/>
                <w:color w:val="auto"/>
              </w:rPr>
            </w:pPr>
          </w:p>
        </w:tc>
      </w:tr>
      <w:tr>
        <w:trPr>
          <w:trHeight w:val="25"/>
        </w:trPr>
        <w:tc>
          <w:tcPr>
            <w:tcW w:w="6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-974090</wp:posOffset>
            </wp:positionV>
            <wp:extent cx="7138670" cy="163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-646430</wp:posOffset>
            </wp:positionV>
            <wp:extent cx="7138670" cy="163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-318770</wp:posOffset>
            </wp:positionV>
            <wp:extent cx="7138670" cy="1720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36195</wp:posOffset>
            </wp:positionV>
            <wp:extent cx="9740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27%</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36%</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23%</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31%</w:t>
      </w:r>
    </w:p>
    <w:p>
      <w:pPr>
        <w:spacing w:after="0" w:line="284" w:lineRule="exact"/>
        <w:rPr>
          <w:sz w:val="20"/>
          <w:szCs w:val="20"/>
          <w:color w:val="auto"/>
        </w:rPr>
      </w:pPr>
    </w:p>
    <w:p>
      <w:pPr>
        <w:sectPr>
          <w:pgSz w:w="11900" w:h="16838" w:orient="portrait"/>
          <w:cols w:equalWidth="0" w:num="2">
            <w:col w:w="9600" w:space="200"/>
            <w:col w:w="1440"/>
          </w:cols>
          <w:pgMar w:left="320" w:top="1099"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natural gas and NGLs</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149,139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114,996</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30%</w:t>
            </w:r>
          </w:p>
        </w:tc>
      </w:tr>
      <w:tr>
        <w:trPr>
          <w:trHeight w:val="25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 and maintenance</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100,968</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48%</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55,562</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10%</w:t>
            </w:r>
          </w:p>
        </w:tc>
      </w:tr>
      <w:tr>
        <w:trPr>
          <w:trHeight w:val="25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114,159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100,647</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13%</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30,956</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(84%)</w:t>
            </w:r>
          </w:p>
        </w:tc>
      </w:tr>
      <w:tr>
        <w:trPr>
          <w:trHeight w:val="25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integration costs</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asset sales, net</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68,260</w:t>
            </w:r>
          </w:p>
        </w:tc>
        <w:tc>
          <w:tcPr>
            <w:tcW w:w="164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51"/>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489,709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471,555</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4%</w:t>
            </w:r>
          </w:p>
        </w:tc>
      </w:tr>
      <w:tr>
        <w:trPr>
          <w:trHeight w:val="251"/>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(81%)</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interest rate swaps</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(125%)</w:t>
            </w:r>
          </w:p>
        </w:tc>
      </w:tr>
      <w:tr>
        <w:trPr>
          <w:trHeight w:val="25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82,187</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equity method investment</w:t>
            </w:r>
          </w:p>
        </w:tc>
        <w:tc>
          <w:tcPr>
            <w:tcW w:w="4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126,261</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(115,446)</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(18%)</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4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58"/>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from equity method investees</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24,197</w:t>
            </w:r>
          </w:p>
        </w:tc>
        <w:tc>
          <w:tcPr>
            <w:tcW w:w="164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7"/>
                <w:szCs w:val="17"/>
                <w:color w:val="auto"/>
              </w:rPr>
              <w:t>(14%)</w:t>
            </w:r>
          </w:p>
        </w:tc>
      </w:tr>
      <w:tr>
        <w:trPr>
          <w:trHeight w:val="251"/>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33,503</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(107%)</w:t>
            </w:r>
          </w:p>
        </w:tc>
      </w:tr>
      <w:tr>
        <w:trPr>
          <w:trHeight w:val="258"/>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(146,678)</w:t>
            </w:r>
          </w:p>
        </w:tc>
        <w:tc>
          <w:tcPr>
            <w:tcW w:w="164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7"/>
                <w:szCs w:val="17"/>
                <w:color w:val="auto"/>
                <w:w w:val="93"/>
              </w:rPr>
              <w:t>*</w:t>
            </w:r>
          </w:p>
        </w:tc>
      </w:tr>
      <w:tr>
        <w:trPr>
          <w:trHeight w:val="276"/>
        </w:trPr>
        <w:tc>
          <w:tcPr>
            <w:tcW w:w="6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loss</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(113,175)</w:t>
            </w:r>
          </w:p>
        </w:tc>
        <w:tc>
          <w:tcPr>
            <w:tcW w:w="164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(98%)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91"/>
        </w:trPr>
        <w:tc>
          <w:tcPr>
            <w:tcW w:w="6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Volume throughput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5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average daily throughput - natural gas (MMcf/d)</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5%</w:t>
            </w:r>
          </w:p>
        </w:tc>
      </w:tr>
      <w:tr>
        <w:trPr>
          <w:trHeight w:val="25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average daily throughput - liquids (Mbbl/d)</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w:t>
      </w:r>
    </w:p>
    <w:p>
      <w:pPr>
        <w:spacing w:after="0" w:line="107" w:lineRule="exact"/>
        <w:rPr>
          <w:sz w:val="20"/>
          <w:szCs w:val="20"/>
          <w:color w:val="auto"/>
        </w:rPr>
      </w:pPr>
    </w:p>
    <w:p>
      <w:pPr>
        <w:ind w:left="300" w:hanging="297"/>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considered meaningful</w:t>
      </w:r>
    </w:p>
    <w:p>
      <w:pPr>
        <w:spacing w:after="0" w:line="114" w:lineRule="exact"/>
        <w:rPr>
          <w:sz w:val="20"/>
          <w:szCs w:val="20"/>
          <w:color w:val="auto"/>
        </w:rPr>
      </w:pPr>
    </w:p>
    <w:p>
      <w:pPr>
        <w:ind w:left="320" w:right="220" w:hanging="317"/>
        <w:spacing w:after="0" w:line="229" w:lineRule="auto"/>
        <w:tabs>
          <w:tab w:leader="none" w:pos="3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volume throughput for Ohio Gathering and Double E. For additional information, see the Northeast and Permian sections herein under the caption “Segment Overview for the Years Ended December 31, 2025 and 2024.”</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68" w:name="page69"/>
    <w:bookmarkEnd w:id="68"/>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Volumes – Gas. </w:t>
      </w:r>
      <w:r>
        <w:rPr>
          <w:rFonts w:ascii="Times New Roman" w:cs="Times New Roman" w:eastAsia="Times New Roman" w:hAnsi="Times New Roman"/>
          <w:sz w:val="17"/>
          <w:szCs w:val="17"/>
          <w:color w:val="auto"/>
        </w:rPr>
        <w:t>Natural gas throughput volumes increased 42 MMcf/d for the year ended December 31, 2025 compared to the year ended December 31,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reflecting:</w:t>
      </w:r>
    </w:p>
    <w:p>
      <w:pPr>
        <w:spacing w:after="0" w:line="43" w:lineRule="exact"/>
        <w:rPr>
          <w:sz w:val="20"/>
          <w:szCs w:val="20"/>
          <w:color w:val="auto"/>
        </w:rPr>
      </w:pPr>
    </w:p>
    <w:p>
      <w:pPr>
        <w:ind w:left="1240" w:hanging="618"/>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volume throughput increase of 21 MMcf/d for the Rockies segment;</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volume throughput increase of 256 MMcf/d for the Mid-Con segment; offset by</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volume throughput decrease of 33 MMcf/d for the Piceance segment;</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volume throughput decrease of 202 MMcf/d for the Northeast segment.</w:t>
      </w:r>
    </w:p>
    <w:p>
      <w:pPr>
        <w:spacing w:after="0" w:line="108"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Volumes – Liquids. </w:t>
      </w:r>
      <w:r>
        <w:rPr>
          <w:rFonts w:ascii="Times New Roman" w:cs="Times New Roman" w:eastAsia="Times New Roman" w:hAnsi="Times New Roman"/>
          <w:sz w:val="17"/>
          <w:szCs w:val="17"/>
          <w:color w:val="auto"/>
        </w:rPr>
        <w:t>Crude oil and produced water volume throughput for the Rockies segment increased 1 Mbbl/d for the year ended December 31, 2025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the year ended December 31, 2024.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on volumes, see the “Segment Overview for the Years Ended December 31, 2025 and 2024” section herein.</w:t>
      </w:r>
    </w:p>
    <w:p>
      <w:pPr>
        <w:spacing w:after="0" w:line="108" w:lineRule="exact"/>
        <w:rPr>
          <w:sz w:val="20"/>
          <w:szCs w:val="20"/>
          <w:color w:val="auto"/>
        </w:rPr>
      </w:pPr>
    </w:p>
    <w:p>
      <w:pPr>
        <w:jc w:val="both"/>
        <w:ind w:right="2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Revenues. </w:t>
      </w:r>
      <w:r>
        <w:rPr>
          <w:rFonts w:ascii="Times New Roman" w:cs="Times New Roman" w:eastAsia="Times New Roman" w:hAnsi="Times New Roman"/>
          <w:sz w:val="17"/>
          <w:szCs w:val="17"/>
          <w:color w:val="auto"/>
        </w:rPr>
        <w:t>Total revenues increased $132.5 million during the year ended December 31, 2025 compared to the year ended December 31, 2024 comprised of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$54.8 million increase in gathering services and related fees, a $70.0 million increase in natural gas, NGLs and condensate sales and a $7.6 million increase in Other revenues.</w:t>
      </w:r>
    </w:p>
    <w:p>
      <w:pPr>
        <w:spacing w:after="0" w:line="61"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u w:val="single" w:color="auto"/>
          <w:color w:val="auto"/>
        </w:rPr>
        <w:t>Gathering services and related fees</w:t>
      </w:r>
      <w:r>
        <w:rPr>
          <w:rFonts w:ascii="Times New Roman" w:cs="Times New Roman" w:eastAsia="Times New Roman" w:hAnsi="Times New Roman"/>
          <w:sz w:val="17"/>
          <w:szCs w:val="17"/>
          <w:color w:val="auto"/>
        </w:rPr>
        <w:t>. Gathering services and related fees increased $54.8 million compared to the year ended December 31, 2024, primarily reflecting:</w:t>
      </w:r>
    </w:p>
    <w:p>
      <w:pPr>
        <w:spacing w:after="0" w:line="48" w:lineRule="exact"/>
        <w:rPr>
          <w:sz w:val="20"/>
          <w:szCs w:val="20"/>
          <w:color w:val="auto"/>
        </w:rPr>
      </w:pPr>
    </w:p>
    <w:p>
      <w:pPr>
        <w:ind w:left="1240" w:hanging="618"/>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$85.9 million increase in the Mid-Con segment; offset by</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$18.9 million decrease in the Northeast segment;</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$11.7 million decrease in the Piceance segment;</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$0.5 million decrease in the Rockies segment.</w:t>
      </w:r>
    </w:p>
    <w:p>
      <w:pPr>
        <w:spacing w:after="0" w:line="11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u w:val="single" w:color="auto"/>
          <w:color w:val="auto"/>
        </w:rPr>
        <w:t>Natural Gas, NGLs and Condensate Sales</w:t>
      </w:r>
      <w:r>
        <w:rPr>
          <w:rFonts w:ascii="Times New Roman" w:cs="Times New Roman" w:eastAsia="Times New Roman" w:hAnsi="Times New Roman"/>
          <w:sz w:val="17"/>
          <w:szCs w:val="17"/>
          <w:color w:val="auto"/>
        </w:rPr>
        <w:t>. Natural gas, NGLs and condensate sales revenue increased $70.0 million compared to the year ended December 31, 2024, primarily reflecting:</w:t>
      </w:r>
    </w:p>
    <w:p>
      <w:pPr>
        <w:spacing w:after="0" w:line="48" w:lineRule="exact"/>
        <w:rPr>
          <w:sz w:val="20"/>
          <w:szCs w:val="20"/>
          <w:color w:val="auto"/>
        </w:rPr>
      </w:pPr>
    </w:p>
    <w:p>
      <w:pPr>
        <w:ind w:left="1240" w:hanging="618"/>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$53.9 million increase in the Rockies segment;</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$16.8 million increase in the Mid-Con segment; offset by</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$0.7 million decrease in the Piceance segment.</w:t>
      </w:r>
    </w:p>
    <w:p>
      <w:pPr>
        <w:spacing w:after="0" w:line="108"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Costs and expenses. </w:t>
      </w:r>
      <w:r>
        <w:rPr>
          <w:rFonts w:ascii="Times New Roman" w:cs="Times New Roman" w:eastAsia="Times New Roman" w:hAnsi="Times New Roman"/>
          <w:sz w:val="17"/>
          <w:szCs w:val="17"/>
          <w:color w:val="auto"/>
        </w:rPr>
        <w:t>Total costs and expenses increased $18.2 million during the year ended December 31, 2025 compared to the year ended December 31, 2024,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reflecting:</w:t>
      </w:r>
    </w:p>
    <w:p>
      <w:pPr>
        <w:spacing w:after="0" w:line="4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u w:val="single" w:color="auto"/>
          <w:color w:val="auto"/>
        </w:rPr>
        <w:t>Cost of Natural Gas and NGLs.</w:t>
      </w:r>
      <w:r>
        <w:rPr>
          <w:rFonts w:ascii="Times New Roman" w:cs="Times New Roman" w:eastAsia="Times New Roman" w:hAnsi="Times New Roman"/>
          <w:sz w:val="17"/>
          <w:szCs w:val="17"/>
          <w:color w:val="auto"/>
        </w:rPr>
        <w:t xml:space="preserve"> Costs of Natural Gas and NGL’s increased $34.1 million for the year ended December 31, 2025 compared to the year ended December 31, 2024, primarily as a result of the Tall Oak Acquisition and the Moonrise Acquisition.</w:t>
      </w:r>
    </w:p>
    <w:p>
      <w:pPr>
        <w:spacing w:after="0" w:line="48"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u w:val="single" w:color="auto"/>
          <w:color w:val="auto"/>
        </w:rPr>
        <w:t>Operation and Maintenance.</w:t>
      </w:r>
      <w:r>
        <w:rPr>
          <w:rFonts w:ascii="Times New Roman" w:cs="Times New Roman" w:eastAsia="Times New Roman" w:hAnsi="Times New Roman"/>
          <w:sz w:val="17"/>
          <w:szCs w:val="17"/>
          <w:color w:val="auto"/>
        </w:rPr>
        <w:t xml:space="preserve"> Operation and maintenance expense increased $48.2 million for the year ended December 31, 2025 compared to the year ended December 31, 2024, primarily as a result of the Tall Oak Acquisition and the Moonrise Acquisition, partially offset by the disposition of our Mountaineer Midstream system.</w:t>
      </w:r>
    </w:p>
    <w:p>
      <w:pPr>
        <w:spacing w:after="0" w:line="62"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u w:val="single" w:color="auto"/>
          <w:color w:val="auto"/>
        </w:rPr>
        <w:t>General and administrative</w:t>
      </w:r>
      <w:r>
        <w:rPr>
          <w:rFonts w:ascii="Times New Roman" w:cs="Times New Roman" w:eastAsia="Times New Roman" w:hAnsi="Times New Roman"/>
          <w:sz w:val="17"/>
          <w:szCs w:val="17"/>
          <w:color w:val="auto"/>
        </w:rPr>
        <w:t>. General and administrative expense increased $5.5 million for the year ended December 31, 2025 compared to the year ended December 31, 2024, primarily due to increased employee salaries and benefit expense, as well as certain professional and other expenses associated with acquisition diligence costs.</w:t>
      </w:r>
    </w:p>
    <w:p>
      <w:pPr>
        <w:spacing w:after="0" w:line="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u w:val="single" w:color="auto"/>
          <w:color w:val="auto"/>
        </w:rPr>
        <w:t>Depreciation and amortization</w:t>
      </w:r>
      <w:r>
        <w:rPr>
          <w:rFonts w:ascii="Times New Roman" w:cs="Times New Roman" w:eastAsia="Times New Roman" w:hAnsi="Times New Roman"/>
          <w:sz w:val="17"/>
          <w:szCs w:val="17"/>
          <w:color w:val="auto"/>
        </w:rPr>
        <w:t>. Depreciation and amortization expense increased $13.5 million for the year ended December 31, 2025 compared to the year ended December 31, 2024, primarily due to the Moonrise Acquisition and the Tall Oak Acquisition.</w:t>
      </w:r>
    </w:p>
    <w:p>
      <w:pPr>
        <w:spacing w:after="0" w:line="4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u w:val="single" w:color="auto"/>
          <w:color w:val="auto"/>
        </w:rPr>
        <w:t>Transaction costs</w:t>
      </w:r>
      <w:r>
        <w:rPr>
          <w:rFonts w:ascii="Times New Roman" w:cs="Times New Roman" w:eastAsia="Times New Roman" w:hAnsi="Times New Roman"/>
          <w:sz w:val="17"/>
          <w:szCs w:val="17"/>
          <w:color w:val="auto"/>
        </w:rPr>
        <w:t>. During the year ended December 31, 2025, transaction costs primarily relate to the Moonrise Acquisition and Tall Oak Acquisition. In 2024, transaction costs primarily relate to the Tall Oak Acquisition and the Utica Sale.</w:t>
      </w:r>
    </w:p>
    <w:p>
      <w:pPr>
        <w:spacing w:after="0" w:line="4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u w:val="single" w:color="auto"/>
          <w:color w:val="auto"/>
        </w:rPr>
        <w:t>Acquisition integration costs</w:t>
      </w:r>
      <w:r>
        <w:rPr>
          <w:rFonts w:ascii="Times New Roman" w:cs="Times New Roman" w:eastAsia="Times New Roman" w:hAnsi="Times New Roman"/>
          <w:sz w:val="17"/>
          <w:szCs w:val="17"/>
          <w:color w:val="auto"/>
        </w:rPr>
        <w:t>. Acquisition and integration costs in 2025 primarily relate to fees paid to third-party service providers to integrate the Tall Oak Acquisition and the Moonrise Acquisition into the Company’s operational platform.</w:t>
      </w:r>
    </w:p>
    <w:p>
      <w:pPr>
        <w:spacing w:after="0" w:line="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u w:val="single" w:color="auto"/>
          <w:color w:val="auto"/>
        </w:rPr>
        <w:t>Long-lived asset impairments</w:t>
      </w:r>
      <w:r>
        <w:rPr>
          <w:rFonts w:ascii="Times New Roman" w:cs="Times New Roman" w:eastAsia="Times New Roman" w:hAnsi="Times New Roman"/>
          <w:sz w:val="17"/>
          <w:szCs w:val="17"/>
          <w:color w:val="auto"/>
        </w:rPr>
        <w:t>. In 2025, we recognized impairments of $2.7 million, primarily related to the abandonment of aged pipeline that was no longer economical under the terms of our commercial arrangements. In 2024, we recognized impairments of $68.3 million primarily in connection with the Mountaineer Transaction.</w:t>
      </w:r>
    </w:p>
    <w:p>
      <w:pPr>
        <w:spacing w:after="0" w:line="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u w:val="single" w:color="auto"/>
          <w:color w:val="auto"/>
        </w:rPr>
        <w:t>Gain on sale of business</w:t>
      </w:r>
      <w:r>
        <w:rPr>
          <w:rFonts w:ascii="Times New Roman" w:cs="Times New Roman" w:eastAsia="Times New Roman" w:hAnsi="Times New Roman"/>
          <w:sz w:val="17"/>
          <w:szCs w:val="17"/>
          <w:color w:val="auto"/>
        </w:rPr>
        <w:t>. In 2024, we recognized a gain on sale of business primarily in connection with the disposition of the Utica midstream business in March of 2024.</w:t>
      </w:r>
    </w:p>
    <w:p>
      <w:pPr>
        <w:sectPr>
          <w:pgSz w:w="11900" w:h="16838" w:orient="portrait"/>
          <w:cols w:equalWidth="0" w:num="1">
            <w:col w:w="11140"/>
          </w:cols>
          <w:pgMar w:left="320" w:top="1097" w:right="4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97" w:right="439" w:bottom="1440" w:gutter="0" w:footer="0" w:header="0"/>
          <w:type w:val="continuous"/>
        </w:sectPr>
      </w:pPr>
    </w:p>
    <w:bookmarkStart w:id="69" w:name="page70"/>
    <w:bookmarkEnd w:id="69"/>
    <w:p>
      <w:pPr>
        <w:ind w:right="380"/>
        <w:spacing w:after="0" w:line="287" w:lineRule="auto"/>
        <w:rPr>
          <w:sz w:val="20"/>
          <w:szCs w:val="20"/>
          <w:color w:val="auto"/>
        </w:rPr>
      </w:pPr>
      <w:r>
        <w:rPr>
          <w:rFonts w:ascii="Times New Roman" w:cs="Times New Roman" w:eastAsia="Times New Roman" w:hAnsi="Times New Roman"/>
          <w:sz w:val="17"/>
          <w:szCs w:val="17"/>
          <w:u w:val="single" w:color="auto"/>
          <w:color w:val="auto"/>
        </w:rPr>
        <w:t>Gain on sale of equity method investment</w:t>
      </w:r>
      <w:r>
        <w:rPr>
          <w:rFonts w:ascii="Times New Roman" w:cs="Times New Roman" w:eastAsia="Times New Roman" w:hAnsi="Times New Roman"/>
          <w:sz w:val="17"/>
          <w:szCs w:val="17"/>
          <w:color w:val="auto"/>
        </w:rPr>
        <w:t>. In 2024, we recognized a gain on sale of equity method investment related to the disposition of our equity method investment, Ohio Gathering, in March of 2024.</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u w:val="single" w:color="auto"/>
          <w:color w:val="auto"/>
        </w:rPr>
        <w:t>Interest Expense</w:t>
      </w:r>
      <w:r>
        <w:rPr>
          <w:rFonts w:ascii="Times New Roman" w:cs="Times New Roman" w:eastAsia="Times New Roman" w:hAnsi="Times New Roman"/>
          <w:sz w:val="17"/>
          <w:szCs w:val="17"/>
          <w:color w:val="auto"/>
        </w:rPr>
        <w:t>. Interest expense decreased $20.7 million during the year ended December 31, 2025 compared to the year ended December 31, 2024 primarily due to $44.6 million of reduced interest expense as a result of the 2026 Secured Notes Tender Offer and the Asset Sale Offer that occurred in July 2024 and May 2024, respectively, and $12.0 million of reduced interest expense due to the full repayment and discharge of the 2026 Unsecured Notes in June 2024. The decrease was partially offset by $49.1 million of increased borrowing costs in connection with the issuance of the 2029 Secured Notes in July 2024 and January 2025. See Note 9 – Debt to the consolidated financial statements for additional details. Interest expense does not include the impact of gains or losses from our interest rate swaps entered into for the Permian Transmission Credit Facilities.</w:t>
      </w:r>
    </w:p>
    <w:p>
      <w:pPr>
        <w:spacing w:after="0" w:line="7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u w:val="single" w:color="auto"/>
          <w:color w:val="auto"/>
        </w:rPr>
        <w:t>Loss on early extinguishment of debt</w:t>
      </w:r>
      <w:r>
        <w:rPr>
          <w:rFonts w:ascii="Times New Roman" w:cs="Times New Roman" w:eastAsia="Times New Roman" w:hAnsi="Times New Roman"/>
          <w:sz w:val="17"/>
          <w:szCs w:val="17"/>
          <w:color w:val="auto"/>
        </w:rPr>
        <w:t>. Loss on early extinguishment of debt in 2024 is primarily related to amortization of debt issuance costs in connection with extinguishments of our 2026 Unsecured Notes, 2026 Secured Notes and 2025 Senior Notes.</w:t>
      </w:r>
    </w:p>
    <w:p>
      <w:pPr>
        <w:spacing w:after="0" w:line="4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u w:val="single" w:color="auto"/>
          <w:color w:val="auto"/>
        </w:rPr>
        <w:t>Income taxes</w:t>
      </w:r>
      <w:r>
        <w:rPr>
          <w:rFonts w:ascii="Times New Roman" w:cs="Times New Roman" w:eastAsia="Times New Roman" w:hAnsi="Times New Roman"/>
          <w:sz w:val="17"/>
          <w:szCs w:val="17"/>
          <w:color w:val="auto"/>
        </w:rPr>
        <w:t>. For the year ended December 31, 2025, the Company recorded an income tax benefit of $0.5 million. The income tax benefit includes the impact from the allocation of income from SMLP to SMC as a result of the Company’s Up-C tax structure.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Segment Overview for the Years Ended December 31, 2025 and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Rockies.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throughput for our Rockies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Rockies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0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average daily throughput - natural gas (MMcf/d)</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average daily throughput - liquids (Mbbl/d)</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20"/>
                <w:szCs w:val="20"/>
                <w:color w:val="auto"/>
              </w:rPr>
            </w:pPr>
          </w:p>
        </w:tc>
        <w:tc>
          <w:tcPr>
            <w:tcW w:w="1420" w:type="dxa"/>
            <w:vAlign w:val="bottom"/>
          </w:tcPr>
          <w:p>
            <w:pPr>
              <w:jc w:val="right"/>
              <w:ind w:right="5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u w:val="single" w:color="auto"/>
          <w:color w:val="auto"/>
        </w:rPr>
        <w:t>Natural gas</w:t>
      </w:r>
      <w:r>
        <w:rPr>
          <w:rFonts w:ascii="Times New Roman" w:cs="Times New Roman" w:eastAsia="Times New Roman" w:hAnsi="Times New Roman"/>
          <w:sz w:val="17"/>
          <w:szCs w:val="17"/>
          <w:color w:val="auto"/>
        </w:rPr>
        <w:t>. Natural gas volume throughput for the year ended December 31, 2025 increased 16% compared to the year ended December 31, 2024, primarily reflecting 99 new well connections that came online during 2025 and additional throughput associated with the Moonrise Acquisition, partially offset by natural production declines.</w:t>
      </w:r>
    </w:p>
    <w:p>
      <w:pPr>
        <w:spacing w:after="0" w:line="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u w:val="single" w:color="auto"/>
          <w:color w:val="auto"/>
        </w:rPr>
        <w:t>Liquids</w:t>
      </w:r>
      <w:r>
        <w:rPr>
          <w:rFonts w:ascii="Times New Roman" w:cs="Times New Roman" w:eastAsia="Times New Roman" w:hAnsi="Times New Roman"/>
          <w:sz w:val="17"/>
          <w:szCs w:val="17"/>
          <w:color w:val="auto"/>
        </w:rPr>
        <w:t>. Liquids volume throughput for the year ended December 31, 2025 increased 1% compared to the year ended December 31, 2024, primarily reflecting 11 new well connections that came online during 2025 and additional throughput associated with the Moonrise Acquisition, partially offset by natural production declines.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data for our Rockies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Rockies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63,219</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NGLs and condensate sales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190,535</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28%</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14,757</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50%</w:t>
            </w: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329,351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268,511</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23%</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natural gas and NGLs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113,714</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31%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and maintenance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49,849</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25%</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35%</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36,319</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15%</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Integration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asset sales,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7"/>
              </w:rPr>
              <w:t>(120%)</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692%</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205,041</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28%</w:t>
            </w:r>
          </w:p>
        </w:tc>
        <w:tc>
          <w:tcPr>
            <w:tcW w:w="0" w:type="dxa"/>
            <w:vAlign w:val="bottom"/>
          </w:tcPr>
          <w:p>
            <w:pPr>
              <w:spacing w:after="0"/>
              <w:rPr>
                <w:sz w:val="1"/>
                <w:szCs w:val="1"/>
                <w:color w:val="auto"/>
              </w:rPr>
            </w:pP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Add:</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Integration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related to capital reimbursement activity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asset sales,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93,827</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Not considered meaningful</w:t>
      </w:r>
    </w:p>
    <w:p>
      <w:pPr>
        <w:sectPr>
          <w:pgSz w:w="11900" w:h="16838" w:orient="portrait"/>
          <w:cols w:equalWidth="0" w:num="1">
            <w:col w:w="11240"/>
          </w:cols>
          <w:pgMar w:left="320" w:top="1434"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type w:val="continuous"/>
        </w:sectPr>
      </w:pPr>
    </w:p>
    <w:bookmarkStart w:id="71" w:name="page72"/>
    <w:bookmarkEnd w:id="71"/>
    <w:p>
      <w:pPr>
        <w:ind w:right="460"/>
        <w:spacing w:after="0" w:line="287" w:lineRule="auto"/>
        <w:rPr>
          <w:sz w:val="20"/>
          <w:szCs w:val="20"/>
          <w:color w:val="auto"/>
        </w:rPr>
      </w:pPr>
      <w:r>
        <w:rPr>
          <w:rFonts w:ascii="Times New Roman" w:cs="Times New Roman" w:eastAsia="Times New Roman" w:hAnsi="Times New Roman"/>
          <w:sz w:val="17"/>
          <w:szCs w:val="17"/>
          <w:u w:val="single" w:color="auto"/>
          <w:color w:val="auto"/>
        </w:rPr>
        <w:t>Year ended December 31, 2025</w:t>
      </w:r>
      <w:r>
        <w:rPr>
          <w:rFonts w:ascii="Times New Roman" w:cs="Times New Roman" w:eastAsia="Times New Roman" w:hAnsi="Times New Roman"/>
          <w:sz w:val="17"/>
          <w:szCs w:val="17"/>
          <w:color w:val="auto"/>
        </w:rPr>
        <w:t>. Segment Adjusted EBITDA increased $13.1 million compared to the year ended December 31, 2024 primarily as a result of margin mix and the Moonrise Acquisition.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providing additional financial and operational details below for its liquids related activities within its Rockies segment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Rockies liquids</w:t>
            </w: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8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47,626</w:t>
            </w:r>
          </w:p>
        </w:tc>
      </w:tr>
      <w:tr>
        <w:trPr>
          <w:trHeight w:val="219"/>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MVC shortfall (payments) in gathering services and related fees</w:t>
            </w: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Gathering services and related fees included in costs of goods sold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Adjustments related to capital reimbursement activity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r>
    </w:tbl>
    <w:p>
      <w:pPr>
        <w:spacing w:after="0" w:line="302" w:lineRule="exact"/>
        <w:rPr>
          <w:sz w:val="20"/>
          <w:szCs w:val="20"/>
          <w:color w:val="auto"/>
        </w:rPr>
      </w:pPr>
    </w:p>
    <w:p>
      <w:pPr>
        <w:ind w:right="720"/>
        <w:spacing w:after="0" w:line="274" w:lineRule="auto"/>
        <w:rPr>
          <w:sz w:val="20"/>
          <w:szCs w:val="20"/>
          <w:color w:val="auto"/>
        </w:rPr>
      </w:pPr>
      <w:r>
        <w:rPr>
          <w:rFonts w:ascii="Times New Roman" w:cs="Times New Roman" w:eastAsia="Times New Roman" w:hAnsi="Times New Roman"/>
          <w:sz w:val="17"/>
          <w:szCs w:val="17"/>
          <w:color w:val="auto"/>
        </w:rPr>
        <w:t>The Company is providing below additional financial and operational details for its natural gas and other related activities within its Rockies segment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Rockies natural gas and other</w:t>
            </w:r>
          </w:p>
        </w:tc>
        <w:tc>
          <w:tcPr>
            <w:tcW w:w="3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512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15,593</w:t>
            </w:r>
          </w:p>
        </w:tc>
      </w:tr>
      <w:tr>
        <w:trPr>
          <w:trHeight w:val="219"/>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MVC shortfall (payments) in gathering services and related fees</w:t>
            </w: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(1,556)</w:t>
            </w:r>
          </w:p>
        </w:tc>
      </w:tr>
      <w:tr>
        <w:trPr>
          <w:trHeight w:val="219"/>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Gathering services and related fees included in costs of goods sold</w:t>
            </w:r>
          </w:p>
        </w:tc>
        <w:tc>
          <w:tcPr>
            <w:tcW w:w="3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50,007</w:t>
            </w:r>
          </w:p>
        </w:tc>
      </w:tr>
      <w:tr>
        <w:trPr>
          <w:trHeight w:val="22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Adjustments related to capital reimbursement activity</w:t>
            </w: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(5,974)</w:t>
            </w:r>
          </w:p>
        </w:tc>
      </w:tr>
      <w:tr>
        <w:trPr>
          <w:trHeight w:val="847"/>
        </w:trPr>
        <w:tc>
          <w:tcPr>
            <w:tcW w:w="5120" w:type="dxa"/>
            <w:vAlign w:val="bottom"/>
          </w:tcPr>
          <w:p>
            <w:pPr>
              <w:spacing w:after="0"/>
              <w:rPr>
                <w:sz w:val="24"/>
                <w:szCs w:val="24"/>
                <w:color w:val="auto"/>
              </w:rPr>
            </w:pPr>
          </w:p>
        </w:tc>
        <w:tc>
          <w:tcPr>
            <w:tcW w:w="3400" w:type="dxa"/>
            <w:vAlign w:val="bottom"/>
          </w:tcPr>
          <w:p>
            <w:pPr>
              <w:jc w:val="right"/>
              <w:ind w:right="2734"/>
              <w:spacing w:after="0"/>
              <w:rPr>
                <w:sz w:val="20"/>
                <w:szCs w:val="20"/>
                <w:color w:val="auto"/>
              </w:rPr>
            </w:pPr>
            <w:r>
              <w:rPr>
                <w:rFonts w:ascii="Times New Roman" w:cs="Times New Roman" w:eastAsia="Times New Roman" w:hAnsi="Times New Roman"/>
                <w:sz w:val="17"/>
                <w:szCs w:val="17"/>
                <w:color w:val="auto"/>
              </w:rPr>
              <w:t>72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8"/>
        </w:trPr>
        <w:tc>
          <w:tcPr>
            <w:tcW w:w="51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Permian.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throughput for our Permian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Permian</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600" w:type="dxa"/>
            <w:vAlign w:val="bottom"/>
            <w:gridSpan w:val="4"/>
          </w:tcPr>
          <w:p>
            <w:pPr>
              <w:ind w:left="5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740" w:type="dxa"/>
            <w:vAlign w:val="bottom"/>
            <w:gridSpan w:val="2"/>
          </w:tcPr>
          <w:p>
            <w:pPr>
              <w:ind w:left="72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daily throughput (MMcf/d) (Double 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throughput for Double E increased 27% compared to the year ended December 31, 2024, as a result of increased throughput volumes from its customers.</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following table presents the MVC quantities that Double E’s shippers have contracted for under firm transportation service agreements and related negotiated rate agreements, excluding three new precedent agreements totaling 100 MMcf/d, 210 MMcf/d and 230 MMcf/d of firm capacity. The 100 MMcf/d agreement has a 10-year term and is expected to be placed into service in the fourth quarter of 2026. The 210 MMcf/d agreement has an 11-year term and will be implemented in two tranches: 70 MMcf/d is expected to be placed into service in the fourth quarter of 2026, with the remaining 140 MMcf/d anticipated to be placed into service in the third quarter of 2028. The 230 MMcf/d agreement has over an 11-year term and will be implemented in three tranches: 100 MMcf/d is expected to be placed into service in the fourth quarter of 2027, 80 MMcf/d in the fourth quarter of 2028, and an additional 50 MMcfd in the second quarter of 2029.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MVC quantities for the year ended December 31,</w:t>
            </w:r>
          </w:p>
        </w:tc>
        <w:tc>
          <w:tcPr>
            <w:tcW w:w="2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(MMBtu/day)</w:t>
            </w:r>
          </w:p>
        </w:tc>
      </w:tr>
      <w:tr>
        <w:trPr>
          <w:trHeight w:val="212"/>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1,115,000</w:t>
            </w: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1,115,000</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1,115,000</w:t>
            </w: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1,115,000</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1,115,000</w:t>
            </w: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1,009,521</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240,000</w:t>
            </w:r>
          </w:p>
        </w:tc>
      </w:tr>
      <w:tr>
        <w:trPr>
          <w:trHeight w:val="219"/>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2033</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240,000</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2034</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105,753</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2035</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9,863</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Financial data for our Permian reportable segment follows.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Permian</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42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17%</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33%</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Add:</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Transaction costs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Proportional Adjusted EBITDA for Double E</w:t>
            </w: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30,536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27,755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33,980</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31,227</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Not considered meaningful</w:t>
      </w:r>
    </w:p>
    <w:p>
      <w:pPr>
        <w:sectPr>
          <w:pgSz w:w="11900" w:h="16838" w:orient="portrait"/>
          <w:cols w:equalWidth="0" w:num="1">
            <w:col w:w="11240"/>
          </w:cols>
          <w:pgMar w:left="320" w:top="132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type w:val="continuous"/>
        </w:sectPr>
      </w:pPr>
    </w:p>
    <w:bookmarkStart w:id="73" w:name="page74"/>
    <w:bookmarkEnd w:id="73"/>
    <w:p>
      <w:pPr>
        <w:spacing w:after="0" w:line="287" w:lineRule="auto"/>
        <w:rPr>
          <w:sz w:val="20"/>
          <w:szCs w:val="20"/>
          <w:color w:val="auto"/>
        </w:rPr>
      </w:pPr>
      <w:r>
        <w:rPr>
          <w:rFonts w:ascii="Times New Roman" w:cs="Times New Roman" w:eastAsia="Times New Roman" w:hAnsi="Times New Roman"/>
          <w:sz w:val="17"/>
          <w:szCs w:val="17"/>
          <w:u w:val="single" w:color="auto"/>
          <w:color w:val="auto"/>
        </w:rPr>
        <w:t>Year ended December 31, 2025</w:t>
      </w:r>
      <w:r>
        <w:rPr>
          <w:rFonts w:ascii="Times New Roman" w:cs="Times New Roman" w:eastAsia="Times New Roman" w:hAnsi="Times New Roman"/>
          <w:sz w:val="17"/>
          <w:szCs w:val="17"/>
          <w:color w:val="auto"/>
        </w:rPr>
        <w:t>. Segment Adjusted EBITDA increased $2.8 million compared to the year ended December 31, 2024 primarily as a result of an increase in Proportional Adjusted EBITDA from our equity method investment in Double E due to increased volumes described above.</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103" w:right="6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t>Mid-Con.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throughput for our Mid-Con reportable segment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9"/>
              </w:rPr>
              <w:t>Mid-Con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40" w:type="dxa"/>
            <w:vAlign w:val="bottom"/>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5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Change</w:t>
            </w:r>
          </w:p>
        </w:tc>
        <w:tc>
          <w:tcPr>
            <w:tcW w:w="0" w:type="dxa"/>
            <w:vAlign w:val="bottom"/>
          </w:tcPr>
          <w:p>
            <w:pPr>
              <w:spacing w:after="0"/>
              <w:rPr>
                <w:sz w:val="1"/>
                <w:szCs w:val="1"/>
                <w:color w:val="auto"/>
              </w:rPr>
            </w:pPr>
          </w:p>
        </w:tc>
      </w:tr>
      <w:tr>
        <w:trPr>
          <w:trHeight w:val="177"/>
        </w:trPr>
        <w:tc>
          <w:tcPr>
            <w:tcW w:w="77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7720" w:type="dxa"/>
            <w:vAlign w:val="bottom"/>
            <w:gridSpan w:val="2"/>
            <w:shd w:val="clear" w:color="auto" w:fill="CCEEFF"/>
          </w:tcPr>
          <w:p>
            <w:pPr>
              <w:jc w:val="right"/>
              <w:ind w:right="5151"/>
              <w:spacing w:after="0"/>
              <w:rPr>
                <w:sz w:val="20"/>
                <w:szCs w:val="20"/>
                <w:color w:val="auto"/>
              </w:rPr>
            </w:pPr>
            <w:r>
              <w:rPr>
                <w:rFonts w:ascii="Times New Roman" w:cs="Times New Roman" w:eastAsia="Times New Roman" w:hAnsi="Times New Roman"/>
                <w:sz w:val="17"/>
                <w:szCs w:val="17"/>
                <w:color w:val="auto"/>
              </w:rPr>
              <w:t>Average daily throughput (MMcf/d)</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Volume throughput increased 106% for the year ended December 31, 2025 compared to the year ended December 31, 2024, primarily as a result of the Tall Oak Acquisition, 38 wells that came online during 2025, and the resumption of previous production curtailments associated with reductions in commodity pricing, partially offset by natural production declines.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data for our Mid-Con reportable segment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Mid-Con</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131,538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45,659</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NGLs and condensate sales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Other revenues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9,140</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9,515</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159,232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56,891</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natural gas and NGLs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and maintenance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63,676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24,366</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6"/>
              </w:rPr>
              <w:t>72%</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16,767</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99%</w:t>
            </w:r>
          </w:p>
        </w:tc>
        <w:tc>
          <w:tcPr>
            <w:tcW w:w="0" w:type="dxa"/>
            <w:vAlign w:val="bottom"/>
          </w:tcPr>
          <w:p>
            <w:pPr>
              <w:spacing w:after="0"/>
              <w:rPr>
                <w:sz w:val="1"/>
                <w:szCs w:val="1"/>
                <w:color w:val="auto"/>
              </w:rPr>
            </w:pPr>
          </w:p>
        </w:tc>
      </w:tr>
      <w:tr>
        <w:trPr>
          <w:trHeight w:val="25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Integration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asset sales, net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101,876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42,650</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Add:</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34,327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17,705</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Transaction costs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Integration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related to capital reimbursement activity</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asset sales, net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92,377</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30,645</w:t>
            </w:r>
          </w:p>
        </w:tc>
        <w:tc>
          <w:tcPr>
            <w:tcW w:w="15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considered meaningful</w:t>
      </w:r>
    </w:p>
    <w:p>
      <w:pPr>
        <w:spacing w:after="0" w:line="81" w:lineRule="exact"/>
        <w:rPr>
          <w:sz w:val="20"/>
          <w:szCs w:val="20"/>
          <w:color w:val="auto"/>
        </w:rPr>
      </w:pPr>
    </w:p>
    <w:p>
      <w:pPr>
        <w:ind w:left="300" w:hanging="297"/>
        <w:spacing w:after="0"/>
        <w:tabs>
          <w:tab w:leader="none" w:pos="300"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the amortization expense associated with our favorable and unfavorable gas gathering contracts as reported in other revenues.</w:t>
      </w:r>
    </w:p>
    <w:p>
      <w:pPr>
        <w:spacing w:after="0" w:line="9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u w:val="single" w:color="auto"/>
          <w:color w:val="auto"/>
        </w:rPr>
        <w:t>Year ended December 31, 2025</w:t>
      </w:r>
      <w:r>
        <w:rPr>
          <w:rFonts w:ascii="Times New Roman" w:cs="Times New Roman" w:eastAsia="Times New Roman" w:hAnsi="Times New Roman"/>
          <w:sz w:val="17"/>
          <w:szCs w:val="17"/>
          <w:color w:val="auto"/>
        </w:rPr>
        <w:t>. Segment Adjusted EBITDA increased $61.7 million compared to the year ended December 31, 2024 primarily as a result of the Tall Oak Acquisition and increased volume throughput discussed above.</w:t>
      </w:r>
    </w:p>
    <w:p>
      <w:pPr>
        <w:sectPr>
          <w:pgSz w:w="11900" w:h="16838" w:orient="portrait"/>
          <w:cols w:equalWidth="0" w:num="1">
            <w:col w:w="11240"/>
          </w:cols>
          <w:pgMar w:left="320" w:top="1432"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w:t>Piceance.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throughput for our Piceance reportable segment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Piceance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40" w:type="dxa"/>
            <w:vAlign w:val="bottom"/>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5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Change</w:t>
            </w:r>
          </w:p>
        </w:tc>
        <w:tc>
          <w:tcPr>
            <w:tcW w:w="0" w:type="dxa"/>
            <w:vAlign w:val="bottom"/>
          </w:tcPr>
          <w:p>
            <w:pPr>
              <w:spacing w:after="0"/>
              <w:rPr>
                <w:sz w:val="1"/>
                <w:szCs w:val="1"/>
                <w:color w:val="auto"/>
              </w:rPr>
            </w:pPr>
          </w:p>
        </w:tc>
      </w:tr>
      <w:tr>
        <w:trPr>
          <w:trHeight w:val="177"/>
        </w:trPr>
        <w:tc>
          <w:tcPr>
            <w:tcW w:w="77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7720" w:type="dxa"/>
            <w:vAlign w:val="bottom"/>
            <w:gridSpan w:val="2"/>
            <w:shd w:val="clear" w:color="auto" w:fill="CCEEFF"/>
          </w:tcPr>
          <w:p>
            <w:pPr>
              <w:jc w:val="right"/>
              <w:ind w:right="4431"/>
              <w:spacing w:after="0"/>
              <w:rPr>
                <w:sz w:val="20"/>
                <w:szCs w:val="20"/>
                <w:color w:val="auto"/>
              </w:rPr>
            </w:pPr>
            <w:r>
              <w:rPr>
                <w:rFonts w:ascii="Times New Roman" w:cs="Times New Roman" w:eastAsia="Times New Roman" w:hAnsi="Times New Roman"/>
                <w:sz w:val="17"/>
                <w:szCs w:val="17"/>
                <w:color w:val="auto"/>
              </w:rPr>
              <w:t>Aggregate average daily throughput (MMcf/d)</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7"/>
          <w:szCs w:val="17"/>
          <w:color w:val="auto"/>
        </w:rPr>
        <w:t>Volume throughput for the year ended December 31, 2025 decreased 11% compared to the year ended December 31, 2024, primarily as a result of natural production declines.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data for our Piceance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Piceance</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420" w:type="dxa"/>
            <w:vAlign w:val="bottom"/>
            <w:tcBorders>
              <w:bottom w:val="single" w:sz="8" w:color="auto"/>
            </w:tcBorders>
            <w:gridSpan w:val="4"/>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4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36"/>
        </w:trPr>
        <w:tc>
          <w:tcPr>
            <w:tcW w:w="6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420" w:type="dxa"/>
            <w:vAlign w:val="bottom"/>
            <w:tcBorders>
              <w:bottom w:val="single" w:sz="8" w:color="auto"/>
            </w:tcBorders>
            <w:gridSpan w:val="4"/>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420" w:type="dxa"/>
            <w:vAlign w:val="bottom"/>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61,379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73,115</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(16%)</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NGLs and condensate sales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8"/>
              </w:rPr>
              <w:t>(27%)</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6"/>
              </w:rPr>
              <w:t>26%</w:t>
            </w: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69,867</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80,999</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8"/>
              </w:rPr>
              <w:t>(14%)</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natural gas and NGLs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8"/>
              </w:rPr>
              <w:t>(41%)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and maintenance</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23,160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23,964</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(3%)</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37,569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42,012</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(11%)</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asset sales, net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(8688%)</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63,377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68,404</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(7%)</w:t>
            </w:r>
          </w:p>
        </w:tc>
        <w:tc>
          <w:tcPr>
            <w:tcW w:w="0" w:type="dxa"/>
            <w:vAlign w:val="bottom"/>
          </w:tcPr>
          <w:p>
            <w:pPr>
              <w:spacing w:after="0"/>
              <w:rPr>
                <w:sz w:val="1"/>
                <w:szCs w:val="1"/>
                <w:color w:val="auto"/>
              </w:rPr>
            </w:pP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Add:</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37,569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42,012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related to capital reimbursement activity</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asset sales, net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44,774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52,704</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8"/>
              </w:rPr>
              <w:t>(15%)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Not considered meaningful</w:t>
      </w:r>
    </w:p>
    <w:p>
      <w:pPr>
        <w:spacing w:after="0" w:line="10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u w:val="single" w:color="auto"/>
          <w:color w:val="auto"/>
        </w:rPr>
        <w:t>Year ended December 31, 2025</w:t>
      </w:r>
      <w:r>
        <w:rPr>
          <w:rFonts w:ascii="Times New Roman" w:cs="Times New Roman" w:eastAsia="Times New Roman" w:hAnsi="Times New Roman"/>
          <w:sz w:val="17"/>
          <w:szCs w:val="17"/>
          <w:color w:val="auto"/>
        </w:rPr>
        <w:t>. Segment Adjusted EBITDA decreased $7.9 million compared to the year ended December 31, 2024, primarily as a result of lower volume throughput discussed above as well as contractual step-downs.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i w:val="1"/>
          <w:iCs w:val="1"/>
          <w:color w:val="auto"/>
        </w:rPr>
        <w:t>Northeast.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throughput for the Northeast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w w:val="98"/>
              </w:rPr>
              <w:t>Northeast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600" w:type="dxa"/>
            <w:vAlign w:val="bottom"/>
            <w:tcBorders>
              <w:bottom w:val="single" w:sz="8" w:color="auto"/>
            </w:tcBorders>
            <w:gridSpan w:val="4"/>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6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6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5"/>
        </w:trPr>
        <w:tc>
          <w:tcPr>
            <w:tcW w:w="67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daily throughput (MMcf/d)</w:t>
            </w:r>
          </w:p>
        </w:tc>
        <w:tc>
          <w:tcPr>
            <w:tcW w:w="1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5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daily throughput (MMcf/d) (Ohio Gathering)</w:t>
            </w: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On March 22, 2024, we completed the disposition of Summit Utica, the owner of our previously owned equity method investment, Ohio Gathering, and on May 1, 2024, we completed the disposition of our Mountaineer Midstream system.</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data for our Northeast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Northeast</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420" w:type="dxa"/>
            <w:vAlign w:val="bottom"/>
            <w:tcBorders>
              <w:bottom w:val="single" w:sz="8" w:color="auto"/>
            </w:tcBorders>
            <w:gridSpan w:val="4"/>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24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36"/>
        </w:trPr>
        <w:tc>
          <w:tcPr>
            <w:tcW w:w="6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02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20" w:type="dxa"/>
            <w:vAlign w:val="bottom"/>
            <w:tcBorders>
              <w:bottom w:val="single" w:sz="8" w:color="auto"/>
            </w:tcBorders>
            <w:gridSpan w:val="4"/>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740" w:type="dxa"/>
            <w:vAlign w:val="bottom"/>
            <w:vMerge w:val="continue"/>
          </w:tcPr>
          <w:p>
            <w:pPr>
              <w:spacing w:after="0"/>
              <w:rPr>
                <w:sz w:val="18"/>
                <w:szCs w:val="18"/>
                <w:color w:val="auto"/>
              </w:rPr>
            </w:pPr>
          </w:p>
        </w:tc>
        <w:tc>
          <w:tcPr>
            <w:tcW w:w="2420" w:type="dxa"/>
            <w:vAlign w:val="bottom"/>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18,851</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18,851</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 and maintenance</w:t>
            </w: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asset sales, net</w:t>
            </w:r>
          </w:p>
        </w:tc>
        <w:tc>
          <w:tcPr>
            <w:tcW w:w="10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67,916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74,622</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Add:</w:t>
            </w:r>
          </w:p>
        </w:tc>
        <w:tc>
          <w:tcPr>
            <w:tcW w:w="10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related to capital reimbursement activity</w:t>
            </w: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asset sales, net</w:t>
            </w:r>
          </w:p>
        </w:tc>
        <w:tc>
          <w:tcPr>
            <w:tcW w:w="102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67,916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Proportional Adjusted EBITDA for Ohio Gathering </w:t>
            </w:r>
            <w:r>
              <w:rPr>
                <w:rFonts w:ascii="Times New Roman" w:cs="Times New Roman" w:eastAsia="Times New Roman" w:hAnsi="Times New Roman"/>
                <w:sz w:val="22"/>
                <w:szCs w:val="22"/>
                <w:color w:val="auto"/>
                <w:vertAlign w:val="superscript"/>
              </w:rPr>
              <w:t>(1)</w:t>
            </w:r>
          </w:p>
        </w:tc>
        <w:tc>
          <w:tcPr>
            <w:tcW w:w="1020" w:type="dxa"/>
            <w:vAlign w:val="bottom"/>
          </w:tcPr>
          <w:p>
            <w:pPr>
              <w:spacing w:after="0"/>
              <w:rPr>
                <w:sz w:val="22"/>
                <w:szCs w:val="22"/>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14,282</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Segment Adjusted EBITDA</w:t>
            </w: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30,634</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7"/>
              </w:rPr>
              <w:t>(100%)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w:t>
      </w:r>
    </w:p>
    <w:p>
      <w:pPr>
        <w:spacing w:after="0" w:line="124" w:lineRule="exact"/>
        <w:rPr>
          <w:sz w:val="20"/>
          <w:szCs w:val="20"/>
          <w:color w:val="auto"/>
        </w:rPr>
      </w:pPr>
    </w:p>
    <w:p>
      <w:pPr>
        <w:ind w:left="320" w:hanging="317"/>
        <w:spacing w:after="0"/>
        <w:tabs>
          <w:tab w:leader="none" w:pos="3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considered meaningful</w:t>
      </w:r>
    </w:p>
    <w:p>
      <w:pPr>
        <w:spacing w:after="0" w:line="103" w:lineRule="exact"/>
        <w:rPr>
          <w:sz w:val="20"/>
          <w:szCs w:val="20"/>
          <w:color w:val="auto"/>
        </w:rPr>
      </w:pPr>
    </w:p>
    <w:p>
      <w:pPr>
        <w:ind w:right="400" w:firstLine="3"/>
        <w:spacing w:after="0" w:line="261" w:lineRule="auto"/>
        <w:tabs>
          <w:tab w:leader="none" w:pos="142" w:val="left"/>
        </w:tabs>
        <w:numPr>
          <w:ilvl w:val="0"/>
          <w:numId w:val="4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SMLP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spacing w:after="0" w:line="8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u w:val="single" w:color="auto"/>
          <w:color w:val="auto"/>
        </w:rPr>
        <w:t>Year ended December 31, 2025</w:t>
      </w:r>
      <w:r>
        <w:rPr>
          <w:rFonts w:ascii="Times New Roman" w:cs="Times New Roman" w:eastAsia="Times New Roman" w:hAnsi="Times New Roman"/>
          <w:sz w:val="17"/>
          <w:szCs w:val="17"/>
          <w:color w:val="auto"/>
        </w:rPr>
        <w:t>. Segment Adjusted EBITDA decreased $30.6 million compared to the year ended December 31, 2024, as the result of the sale of our Mountaineer Midstream system and the disposition of Summit Utica, the owner of our previously owned equity method investment, Ohio Gathering.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Corporate and Other Overview for the Years Ended December 31, 2025 and 2024</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interest expense, and losses on early extinguishment of debt. Corporate and Other includes intercompany eliminations.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20" w:type="dxa"/>
            <w:vAlign w:val="bottom"/>
            <w:gridSpan w:val="2"/>
          </w:tcPr>
          <w:p>
            <w:pPr>
              <w:ind w:left="73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20" w:type="dxa"/>
            <w:vAlign w:val="bottom"/>
          </w:tcPr>
          <w:p>
            <w:pPr>
              <w:spacing w:after="0"/>
              <w:rPr>
                <w:sz w:val="15"/>
                <w:szCs w:val="15"/>
                <w:color w:val="auto"/>
              </w:rPr>
            </w:pPr>
          </w:p>
        </w:tc>
        <w:tc>
          <w:tcPr>
            <w:tcW w:w="14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298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30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6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8"/>
              </w:rPr>
              <w:t>50,780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47,741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0" w:type="dxa"/>
            <w:vAlign w:val="bottom"/>
          </w:tcPr>
          <w:p>
            <w:pPr>
              <w:spacing w:after="0"/>
              <w:rPr>
                <w:sz w:val="1"/>
                <w:szCs w:val="1"/>
                <w:color w:val="auto"/>
              </w:rPr>
            </w:pPr>
          </w:p>
        </w:tc>
      </w:tr>
      <w:tr>
        <w:trPr>
          <w:trHeight w:val="23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4,857</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30,956</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(84%)</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integration costs</w:t>
            </w:r>
          </w:p>
        </w:tc>
        <w:tc>
          <w:tcPr>
            <w:tcW w:w="6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5,413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8"/>
              </w:rPr>
              <w:t>94,737</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115,446</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Not considered meaningful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General and administrative</w:t>
      </w:r>
      <w:r>
        <w:rPr>
          <w:rFonts w:ascii="Times New Roman" w:cs="Times New Roman" w:eastAsia="Times New Roman" w:hAnsi="Times New Roman"/>
          <w:sz w:val="17"/>
          <w:szCs w:val="17"/>
          <w:color w:val="auto"/>
        </w:rPr>
        <w:t>. For the year ended December 31, 2025, general and administrative expense attributable to Corporate and Other increased by</w:t>
      </w:r>
    </w:p>
    <w:p>
      <w:pPr>
        <w:spacing w:after="0" w:line="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$3.0 million compared to the year ended December 31, 2024, primarily due to increased employee salaries and benefit expense, as well as certain professional and other expenses associated with the evaluation of acquisitions. For the year ended December 31, 2025, general and administrative costs include $7.8 million of noncash stock-based compensation and $1.7 million of severance expense. For the year ended December 31, 2024, general and administrative expenses include $8.6 million of noncash stock-based compensation and $0.1 million of severance expense.</w:t>
      </w:r>
    </w:p>
    <w:p>
      <w:pPr>
        <w:spacing w:after="0" w:line="7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u w:val="single" w:color="auto"/>
          <w:color w:val="auto"/>
        </w:rPr>
        <w:t>Transaction costs</w:t>
      </w:r>
      <w:r>
        <w:rPr>
          <w:rFonts w:ascii="Times New Roman" w:cs="Times New Roman" w:eastAsia="Times New Roman" w:hAnsi="Times New Roman"/>
          <w:sz w:val="17"/>
          <w:szCs w:val="17"/>
          <w:color w:val="auto"/>
        </w:rPr>
        <w:t>. During the year ended December 31, 2025, transaction costs primarily relate to the Moonrise Acquisition and the Tall Oak Acquisition. In 2024, transaction costs primarily relate to the Tall Oak Acquisition and Utica Sale.</w:t>
      </w:r>
    </w:p>
    <w:p>
      <w:pPr>
        <w:spacing w:after="0" w:line="48"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u w:val="single" w:color="auto"/>
          <w:color w:val="auto"/>
        </w:rPr>
        <w:t>Acquisition integration costs</w:t>
      </w:r>
      <w:r>
        <w:rPr>
          <w:rFonts w:ascii="Times New Roman" w:cs="Times New Roman" w:eastAsia="Times New Roman" w:hAnsi="Times New Roman"/>
          <w:sz w:val="17"/>
          <w:szCs w:val="17"/>
          <w:color w:val="auto"/>
        </w:rPr>
        <w:t>. Acquisition and integration costs in 2025 primarily relate to fees paid to third-party service providers to integrate the Tall Oak Acquisition and the Moonrise Acquisition into the Company’s operational platform.</w:t>
      </w:r>
    </w:p>
    <w:p>
      <w:pPr>
        <w:spacing w:after="0" w:line="4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u w:val="single" w:color="auto"/>
          <w:color w:val="auto"/>
        </w:rPr>
        <w:t>Interest Expense</w:t>
      </w:r>
      <w:r>
        <w:rPr>
          <w:rFonts w:ascii="Times New Roman" w:cs="Times New Roman" w:eastAsia="Times New Roman" w:hAnsi="Times New Roman"/>
          <w:sz w:val="17"/>
          <w:szCs w:val="17"/>
          <w:color w:val="auto"/>
        </w:rPr>
        <w:t>. Interest expense decreased $20.7 million during the year ended December 31, 2025 compared to the year ended December 31, 2024 primarily due to $44.6 million of reduced interest expense as a result of the 2026 Secured Notes Tender Offer and the Asset Sale Offer that occurred in July 2024 and May 2024, respectively, and $12.0 million of reduced interest expense due to the full repayment and discharge of the 2026 Unsecured Notes in June 2024. The decrease was partially offset by $49.1 million of increased borrowing costs in connection with the issuance of the 2029 Secured Notes in July 2024 and January 2025.</w:t>
      </w:r>
    </w:p>
    <w:p>
      <w:pPr>
        <w:spacing w:after="0" w:line="6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See Note 9 – Debt to the consolidated financial statements for additional details. Interest expense does not include the impact of gains or losses from our interest rate swaps entered into for the Permian Transmission Credit Facilities.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We rely primarily on internally generated cash flows as well as our current cash balance and external financing sources, including commercial bank borrowings, the issuance of debt, equity, and preferred equity securities, and proceeds from potential asset divestitures, to fund our capital expenditures. We believe that our Amended and Restated ABL Facility and Permian Transmission Credit Facility,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may enter into off-balance sheet arrangements and transactions that can give rise to material off-balance sheet obligations. As of December 31, 2025, our material off-balance sheet arrangements and transactions include (i) letters of credit outstanding against our Amended and Restated ABL Facility aggregating to $0.8 million and (ii) letters of credit outstanding against our Permian Transmission Credit Facilities aggregating to $13.0 million. There are no other transactions, arrangements or other relationships with unconsolidated entities or other persons that are reasonably likely to materially affect our liquidity or availability of our capital resources.</w:t>
      </w:r>
    </w:p>
    <w:p>
      <w:pPr>
        <w:spacing w:after="0" w:line="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are in compliance with all covenants contained in the indenture governing the 2029 Secured Notes, the Amended and Restated ABL Facility and the New Permian Transmission Facility.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December 31, 2025, the First Lien Net Leverage Ratio was 0.48:1.00 and the Interest Coverage Ratio was 2.70:1.00. Beginning on June 30, 2026, the New Permian Transmission Facility will require Summit Permian Transmission to meet certain minimum debt service coverage ratios and, beginning on March 31, 2027, certain maximum total debt to EBITDA ratios.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79" w:name="page80"/>
    <w:bookmarkEnd w:id="79"/>
    <w:p>
      <w:pPr>
        <w:ind w:right="20"/>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Amended and Restated ABL Facility. </w:t>
      </w:r>
      <w:r>
        <w:rPr>
          <w:rFonts w:ascii="Times New Roman" w:cs="Times New Roman" w:eastAsia="Times New Roman" w:hAnsi="Times New Roman"/>
          <w:sz w:val="17"/>
          <w:szCs w:val="17"/>
          <w:color w:val="auto"/>
        </w:rPr>
        <w:t>Concurrently with the issuance of the 2029 Secured Notes, on July 26, 2024, Summit Holdings, as borrower, amended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restated its existing first-lien, senior secured credit agreement, with SMLP, consisting of a $500.0 million asset-based revolving credit facility. As of December 31, 2025,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or (c) any date on which the aggregate Commitments terminate thereunder. As of December 31, 2025, there was $113.0 million outstanding under the Amended and Restated ABL Facility and the available borrowing capacity totaled $385.7 million after giving effect to certain adjustments that are primarily related to the issuance of $0.8 million of outstanding but undrawn irrevocable standby letters of credit.</w:t>
      </w:r>
    </w:p>
    <w:p>
      <w:pPr>
        <w:spacing w:after="0" w:line="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New Permian Transmission Facility</w:t>
      </w:r>
      <w:r>
        <w:rPr>
          <w:rFonts w:ascii="Times New Roman" w:cs="Times New Roman" w:eastAsia="Times New Roman" w:hAnsi="Times New Roman"/>
          <w:sz w:val="17"/>
          <w:szCs w:val="17"/>
          <w:color w:val="auto"/>
        </w:rPr>
        <w:t>. On March 16, 2026, Summit Permian Transmission completed a $440.0 million refinancing of the Permian Transmission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Credit Facilities in the form of a new term loan facility (the “New Permian Transmission Facility”) bearing interest at SOFR plus 4.00% per annum and with a maturity in March 2031. The New Permian Transmission Facility consists of $340.0 million in initial term loan commitments, $50.0 million in delayed draw commitments (with a commitment fee of 1.00% per annum) and a $50.0 million uncommitted incremental facility. The use of proceeds of the New Permian Transmission Facility includes, among other things, repayment in full of the Permian Transmission Credit Facilities and redemption in full of the Subsidiary Series A Preferred Units. In connection with the New Permian Transmission Facility, Summit Permian Transmission entered into a $7.0 million letter of credit arrangement.</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2029 Secured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July 26, 2024, Summit Holdings issued $575.0 million aggregate principal amount of 8.625% Senior Secured Second Lien Notes due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2029.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we issued an additional $250.0 million of the 2029 Secured Notes. The 2029 Secured Notes mature on October 31, 2029 and have interest payable semi-annually in arrears on each February 15 and August 15. As of December 31, 2025, the outstanding balance of the 2029 Secured Notes was $825.0 million.</w:t>
      </w:r>
    </w:p>
    <w:p>
      <w:pPr>
        <w:spacing w:after="0" w:line="6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w:t>
      </w:r>
      <w:r>
        <w:rPr>
          <w:rFonts w:ascii="Times New Roman" w:cs="Times New Roman" w:eastAsia="Times New Roman" w:hAnsi="Times New Roman"/>
          <w:sz w:val="17"/>
          <w:szCs w:val="17"/>
          <w:color w:val="auto"/>
        </w:rPr>
        <w:t>We may in the future use a combination of cash, secured or unsecured borrowings and issuances of our common stock or other securities and the proceeds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asset sales to retire or refinance our outstanding debt or Series A Preferred Stock through privately negotiated transactions, open market repurchases, redemptions, exchange offers, tender offers or otherwise, but we are under no obligation to do so.</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5"/>
        </w:trPr>
        <w:tc>
          <w:tcPr>
            <w:tcW w:w="8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7"/>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
        </w:trPr>
        <w:tc>
          <w:tcPr>
            <w:tcW w:w="8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7"/>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r>
      <w:tr>
        <w:trPr>
          <w:trHeight w:val="35"/>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8"/>
        </w:trPr>
        <w:tc>
          <w:tcPr>
            <w:tcW w:w="8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133,595</w:t>
            </w:r>
          </w:p>
        </w:tc>
        <w:tc>
          <w:tcPr>
            <w:tcW w:w="520" w:type="dxa"/>
            <w:vAlign w:val="bottom"/>
            <w:tcBorders>
              <w:bottom w:val="single" w:sz="8" w:color="CFF0FC"/>
            </w:tcBorders>
            <w:gridSpan w:val="2"/>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61,771</w:t>
            </w:r>
          </w:p>
        </w:tc>
      </w:tr>
      <w:tr>
        <w:trPr>
          <w:trHeight w:val="23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487,059</w:t>
            </w:r>
          </w:p>
        </w:tc>
      </w:tr>
      <w:tr>
        <w:trPr>
          <w:trHeight w:val="25"/>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8"/>
        </w:trPr>
        <w:tc>
          <w:tcPr>
            <w:tcW w:w="8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24,035</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(540,276)</w:t>
            </w:r>
          </w:p>
        </w:tc>
      </w:tr>
      <w:tr>
        <w:trPr>
          <w:trHeight w:val="25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8,554</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net change in cash, cash equivalents and restricted cash were as follows: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Details of operating cash flows follow.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activity cash flows during the year ended December 31, 2025 primarily reflected:</w:t>
      </w:r>
    </w:p>
    <w:p>
      <w:pPr>
        <w:spacing w:after="0" w:line="114" w:lineRule="exact"/>
        <w:rPr>
          <w:sz w:val="20"/>
          <w:szCs w:val="20"/>
          <w:color w:val="auto"/>
        </w:rPr>
      </w:pPr>
    </w:p>
    <w:p>
      <w:pPr>
        <w:ind w:left="1240" w:hanging="618"/>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loss of $1.9 million plus adjustments of $148.3 million for non-cash items; and</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$12.8 million outflow due to changes in working capital accounts.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activity cash flows during the year ended December 31, 2024 primarily reflected: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0" w:name="page81"/>
    <w:bookmarkEnd w:id="80"/>
    <w:p>
      <w:pPr>
        <w:ind w:left="618" w:hanging="618"/>
        <w:spacing w:after="0"/>
        <w:tabs>
          <w:tab w:leader="none" w:pos="61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loss of $113.2 million plus adjustments of $192.9 million for non-cash items; and</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$18.0 million outflow due to changes in working capital accounts.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$89.0 million of cash outflows for capital expenditures; and</w:t>
      </w:r>
    </w:p>
    <w:p>
      <w:pPr>
        <w:spacing w:after="0" w:line="113" w:lineRule="exact"/>
        <w:rPr>
          <w:rFonts w:ascii="Times New Roman" w:cs="Times New Roman" w:eastAsia="Times New Roman" w:hAnsi="Times New Roman"/>
          <w:sz w:val="17"/>
          <w:szCs w:val="17"/>
          <w:color w:val="auto"/>
        </w:rPr>
      </w:pPr>
    </w:p>
    <w:p>
      <w:pPr>
        <w:ind w:left="-622" w:right="3859" w:firstLine="622"/>
        <w:spacing w:after="0" w:line="379" w:lineRule="auto"/>
        <w:tabs>
          <w:tab w:leader="none" w:pos="6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 million of cash outflows from the Moonrise Acquisition. Investing activity cash flows during the year ended December 31, 2024 primarily reflected:</w:t>
      </w:r>
    </w:p>
    <w:p>
      <w:pPr>
        <w:spacing w:after="0" w:line="1"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$332.7 million of cash inflows from the proceeds of the sale Ohio Gathering;</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$292.3 million of cash inflows from the proceeds of the Utica Sale (excluding Ohio Gathering);</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$69.3 million of cash inflows from the proceeds of the Mountaineer Transaction;</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million of cash inflows from the sale of compressor equipment; partially offset by</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$154.2 million of cash outflows from the Tall Oak Acquisition; and</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$53.6 million of cash outflows for capital expenditures.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$325.0 million of cash outflows for repayments on the Amended and Restated ABL Facility;</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$12.3 million of cash outflows for repayments on the Permian Transmission Term Loan;</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 million of cash outflows for Distributions to Series A Preferred Shareholders;</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 million of cash outflows for Distributions to Subsidiary Series A Preferred Unitholders; offset by</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$258.4 million of cash inflows from the issuance of the Additional 2029 Secured Notes; and</w:t>
      </w:r>
    </w:p>
    <w:p>
      <w:pPr>
        <w:spacing w:after="0" w:line="113" w:lineRule="exact"/>
        <w:rPr>
          <w:rFonts w:ascii="Times New Roman" w:cs="Times New Roman" w:eastAsia="Times New Roman" w:hAnsi="Times New Roman"/>
          <w:sz w:val="17"/>
          <w:szCs w:val="17"/>
          <w:color w:val="auto"/>
        </w:rPr>
      </w:pPr>
    </w:p>
    <w:p>
      <w:pPr>
        <w:ind w:left="-622" w:right="2499" w:firstLine="622"/>
        <w:spacing w:after="0" w:line="379" w:lineRule="auto"/>
        <w:tabs>
          <w:tab w:leader="none" w:pos="61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$133.0 million of cash inflows from borrowings on the Amended and Restated ABL Facility. Financing activity cash flows during the year ended December 31, 2024 primarily reflected:</w:t>
      </w:r>
    </w:p>
    <w:p>
      <w:pPr>
        <w:spacing w:after="0" w:line="1"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$764.5 million of cash outflows for the 2026 Secured Notes Tender Offer and redemption of 2026 Secured Notes;</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$313.0 million of cash outflows for repayments on the Amended and Restated ABL Facility;</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$209.5 million of cash outflows from the redemption of 2026 Unsecured Notes;</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$49.8 million of cash outflows from the redemption of 2025 Senior Notes;</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$23.8 million of cash outflows for debt extinguishment costs;</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$15.5 million of cash outflows for repayments on the Permian Transmission Term Loan;</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 million of cash outflows for the Excess Cash Flow Offer;</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 million of cash outflows for the 2026 Secured Notes Asset Sale Offer; offset by</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$565.8 million of cash inflows from the issuance of the 2029 Secured Notes; and</w:t>
      </w:r>
    </w:p>
    <w:p>
      <w:pPr>
        <w:spacing w:after="0" w:line="113" w:lineRule="exact"/>
        <w:rPr>
          <w:rFonts w:ascii="Times New Roman" w:cs="Times New Roman" w:eastAsia="Times New Roman" w:hAnsi="Times New Roman"/>
          <w:sz w:val="17"/>
          <w:szCs w:val="17"/>
          <w:color w:val="auto"/>
        </w:rPr>
      </w:pPr>
    </w:p>
    <w:p>
      <w:pPr>
        <w:ind w:left="618" w:hanging="618"/>
        <w:spacing w:after="0"/>
        <w:tabs>
          <w:tab w:leader="none" w:pos="61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$305.0 million of cash inflows from borrowings on the Amended and Restated ABL Facility.</w:t>
      </w:r>
    </w:p>
    <w:p>
      <w:pPr>
        <w:spacing w:after="0" w:line="200" w:lineRule="exact"/>
        <w:rPr>
          <w:sz w:val="20"/>
          <w:szCs w:val="20"/>
          <w:color w:val="auto"/>
        </w:rPr>
      </w:pPr>
    </w:p>
    <w:p>
      <w:pPr>
        <w:spacing w:after="0" w:line="378" w:lineRule="exact"/>
        <w:rPr>
          <w:sz w:val="20"/>
          <w:szCs w:val="20"/>
          <w:color w:val="auto"/>
        </w:rPr>
      </w:pPr>
    </w:p>
    <w:p>
      <w:pPr>
        <w:ind w:left="4918"/>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17"/>
          </w:cols>
          <w:pgMar w:left="942" w:top="110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Contractual Obligations Update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cash flows generated from operations are the primary source for funding various contractual obligations. The table below summarizes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major commitments as of December 31, 2025 through 2030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35"/>
        </w:trPr>
        <w:tc>
          <w:tcPr>
            <w:tcW w:w="4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Amended and Restated ABL Facility, due July 2029 </w:t>
            </w:r>
            <w:r>
              <w:rPr>
                <w:rFonts w:ascii="Times New Roman" w:cs="Times New Roman" w:eastAsia="Times New Roman" w:hAnsi="Times New Roman"/>
                <w:sz w:val="17"/>
                <w:szCs w:val="17"/>
                <w:color w:val="auto"/>
                <w:vertAlign w:val="superscript"/>
              </w:rPr>
              <w:t>(1)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Secured Notes, due October 2029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1,100,730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4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Permian Transmission Term Loan, due January 2028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Global Settlement for 2015 Blacktail Release </w:t>
            </w:r>
            <w:r>
              <w:rPr>
                <w:rFonts w:ascii="Times New Roman" w:cs="Times New Roman" w:eastAsia="Times New Roman" w:hAnsi="Times New Roman"/>
                <w:sz w:val="17"/>
                <w:szCs w:val="17"/>
                <w:color w:val="auto"/>
                <w:vertAlign w:val="superscript"/>
              </w:rPr>
              <w:t>(3)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Tall Oak earn-out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obligations</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35"/>
        </w:trPr>
        <w:tc>
          <w:tcPr>
            <w:tcW w:w="4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37"/>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7"/>
                <w:szCs w:val="17"/>
                <w:color w:val="auto"/>
                <w:vertAlign w:val="superscript"/>
              </w:rPr>
              <w:t>(4)</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1,407,701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1,005,067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right="260" w:hanging="307"/>
        <w:spacing w:after="0" w:line="226" w:lineRule="auto"/>
        <w:tabs>
          <w:tab w:leader="none" w:pos="608"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include an estimate for interest cost based on either the stated interest rate for fixed rate indebtedness or the interest rate in effect as of December 31, 2025 for variable rate indebtedness.</w:t>
      </w:r>
    </w:p>
    <w:p>
      <w:pPr>
        <w:spacing w:after="0" w:line="33" w:lineRule="exact"/>
        <w:rPr>
          <w:rFonts w:ascii="Times New Roman" w:cs="Times New Roman" w:eastAsia="Times New Roman" w:hAnsi="Times New Roman"/>
          <w:sz w:val="20"/>
          <w:szCs w:val="20"/>
          <w:color w:val="auto"/>
          <w:vertAlign w:val="superscript"/>
        </w:rPr>
      </w:pPr>
    </w:p>
    <w:p>
      <w:pPr>
        <w:ind w:left="620" w:right="300" w:hanging="307"/>
        <w:spacing w:after="0" w:line="239" w:lineRule="auto"/>
        <w:tabs>
          <w:tab w:leader="none" w:pos="608"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Amounts include mandatory principal repayments of $21.3 million in 2026, which includes a $4.3 million principal payment that was made in January 2026 and $17.8 million in 2027. These amounts do not reflect the impact of the Summit Permian Transmission and Permian Holdco Refinancing (due March 2031). </w:t>
      </w:r>
      <w:r>
        <w:rPr>
          <w:rFonts w:ascii="Times New Roman" w:cs="Times New Roman" w:eastAsia="Times New Roman" w:hAnsi="Times New Roman"/>
          <w:sz w:val="17"/>
          <w:szCs w:val="17"/>
          <w:color w:val="auto"/>
        </w:rPr>
        <w:t>See Note 19 -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Subsequent Events for additional information.</w:t>
      </w:r>
    </w:p>
    <w:p>
      <w:pPr>
        <w:spacing w:after="0" w:line="39" w:lineRule="exact"/>
        <w:rPr>
          <w:rFonts w:ascii="Times New Roman" w:cs="Times New Roman" w:eastAsia="Times New Roman" w:hAnsi="Times New Roman"/>
          <w:sz w:val="20"/>
          <w:szCs w:val="20"/>
          <w:color w:val="auto"/>
          <w:vertAlign w:val="superscript"/>
        </w:rPr>
      </w:pPr>
    </w:p>
    <w:p>
      <w:pPr>
        <w:ind w:left="620" w:right="660" w:hanging="307"/>
        <w:spacing w:after="0" w:line="226" w:lineRule="auto"/>
        <w:tabs>
          <w:tab w:leader="none" w:pos="608"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Global Settlement amounts in the table exclude interest owed on the unpaid portion. See Note 10 - Commitments and Contingencies to the consolidated financial statements for additional details.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Requirements</w:t>
      </w:r>
    </w:p>
    <w:p>
      <w:pPr>
        <w:spacing w:after="0" w:line="1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spacing w:after="0" w:line="62" w:lineRule="exact"/>
        <w:rPr>
          <w:sz w:val="20"/>
          <w:szCs w:val="20"/>
          <w:color w:val="auto"/>
        </w:rPr>
      </w:pPr>
    </w:p>
    <w:p>
      <w:pPr>
        <w:ind w:left="1240" w:right="80" w:hanging="618"/>
        <w:spacing w:after="0" w:line="270"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62" w:lineRule="exact"/>
        <w:rPr>
          <w:rFonts w:ascii="Times New Roman" w:cs="Times New Roman" w:eastAsia="Times New Roman" w:hAnsi="Times New Roman"/>
          <w:sz w:val="17"/>
          <w:szCs w:val="17"/>
          <w:color w:val="auto"/>
        </w:rPr>
      </w:pPr>
    </w:p>
    <w:p>
      <w:pPr>
        <w:ind w:left="1240" w:right="200" w:hanging="618"/>
        <w:spacing w:after="0" w:line="287"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capital expenditures, which are cash expenditures incurred for acquisitions or capital improvements that we expect will increase our operating income or operating capacity over the long term.</w:t>
      </w:r>
    </w:p>
    <w:p>
      <w:pPr>
        <w:spacing w:after="0" w:line="48"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In connection with the consummation of the Corporate Reorganization, the Partnership Agreement was amended to, among other things, reflect that all of the issued and outstanding limited partnership interests of the Partnership are held by Summit Midstream Corporation. For information on the Corporate Reorganization, see Note 1 - Organization, Corporate Reorganization, Business Operations and Presentation and Consolidation.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2025, cash paid for capital expenditures totaled $89.0 million which included $17.3 million of maintenance capital expenditures.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2025, we contributed $3.8 million to Double E.</w:t>
      </w:r>
    </w:p>
    <w:p>
      <w:pPr>
        <w:spacing w:after="0" w:line="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rely primarily on internally generated cash flows, our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Permian Transmission Credit Facilities, and access to debt or equity capital markets, will be adequate to finance our operations for the next twelve months without adversely impacting our liquidity.</w:t>
      </w:r>
    </w:p>
    <w:p>
      <w:pPr>
        <w:spacing w:after="0" w:line="6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estimate that our 2026 capital program will range from $85.0 million to $105.0 million, including between $15.0 million and $20.0 million of maintenance capital expenditures. We estimate that we will make an additional investment in our Double E equity method investee of approximately $35.0 million.</w:t>
      </w:r>
    </w:p>
    <w:p>
      <w:pPr>
        <w:spacing w:after="0" w:line="4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There are a number of risks and uncertainties that could cause our current expectations to change, including, but not limited to, (i) the ability to reach agreements with third parties; (ii) prevailing conditions and outlook in the natural gas, crude oil and NGL industries and markets and (iii) our ability to obtain financing from commercial banks, the capital markets, or other financing sources.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and Counterparty Concentration Risks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82" w:name="page83"/>
    <w:bookmarkEnd w:id="82"/>
    <w:p>
      <w:pPr>
        <w:ind w:right="120"/>
        <w:spacing w:after="0" w:line="261" w:lineRule="auto"/>
        <w:rPr>
          <w:sz w:val="20"/>
          <w:szCs w:val="20"/>
          <w:color w:val="auto"/>
        </w:rPr>
      </w:pPr>
      <w:r>
        <w:rPr>
          <w:rFonts w:ascii="Times New Roman" w:cs="Times New Roman" w:eastAsia="Times New Roman" w:hAnsi="Times New Roman"/>
          <w:sz w:val="17"/>
          <w:szCs w:val="17"/>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7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discussion and analysis of financial condition and results of operations are based upon our consolidated financial statements, which have been prepared in accordance with accounting principles generally accepted in the U.S. The preparation of these financial statements requires management to make estimates and judgments that affect the amounts of assets, liabilities, revenues and expenses and related disclosure of contingent assets and liabilities. We evaluate our estimates on an on-going basis, based on historical experience and on various other assumptions that are believed to be reasonable under the circumstances. Actual results may differ from these estimates under different assumptions or conditions. We believe the following describes significant judgments and estimates used in the preparation of our consolidated financial statements.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Long-Lived Assets. </w:t>
      </w:r>
      <w:r>
        <w:rPr>
          <w:rFonts w:ascii="Times New Roman" w:cs="Times New Roman" w:eastAsia="Times New Roman" w:hAnsi="Times New Roman"/>
          <w:sz w:val="17"/>
          <w:szCs w:val="17"/>
          <w:color w:val="auto"/>
        </w:rPr>
        <w:t>Our long-lived assets consist of property, plant and equipment, and intangible assets that have been obtained by multiple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combinations and property, plant and equipment that has been constructed in recent years. The initial recording of a majority of these long-lived assets was at fair value, which is estimated by management primarily utilizing market-related information, asset specific information and other projections on the performance of the assets acquired (including an analysis of discounted cash flows which can involve assumptions on weighted average cost of capital and projected cash flows of the assets acquired). Management reviews this information to determine its reasonableness in comparison to the assumptions utilized in determining the purchase price of the assets in addition to other market-based information that was received through the purchase process and other sources. These projections also include projections on potential and contractual obligations assumed in these acquisitions. Due to the imprecise nature of the projections and assumptions utilized in determining fair value, actual results can and often do, differ from our estimates.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of December 31, 2025, we had net property, plant and equipment with a carrying value of approximately $1.8 billion and net intangible assets with a carrying value of approximately $153.6 million. When evidence exists that we will not be able to recover a long-lived asset’s carrying value through future cash flows, we write down the carrying value of the asset to its estimated fair value. We test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would recognize an impairment loss equal to the amount by which the carrying value exceeds the asset’s fair value. We determine fair value using a combination of approaches, including a market-based approach and an income-based approach in which we discount the asset’s expected future cash flows to reflect the risk associated with achieving the underlying cash flows. Any impairment determinations involve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spacing w:after="0" w:line="7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evaluate our equity method investments for impairment when we believe the current fair value may be less than the carrying amount and record an impairment if we believe the decline in value is other than temporary.</w:t>
      </w:r>
    </w:p>
    <w:p>
      <w:pPr>
        <w:spacing w:after="0" w:line="4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Business Combinations. </w:t>
      </w:r>
      <w:r>
        <w:rPr>
          <w:rFonts w:ascii="Times New Roman" w:cs="Times New Roman" w:eastAsia="Times New Roman" w:hAnsi="Times New Roman"/>
          <w:sz w:val="17"/>
          <w:szCs w:val="17"/>
          <w:color w:val="auto"/>
        </w:rPr>
        <w:t>In accordance with accounting guidance for business combinations, we allocate the purchase price of an acquired business to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identifiable assets and liabilities based on estimated fair values. The excess of the purchase price over the amount allocated to the assets and liabilities, if any, is recorded as goodwill. We use all available information to estimate fair values. We typically engage outside appraisal firms to assist in the fair value determination of identifiable intangible assets such as trade names and any other significant assets or liabilities. We adjust the preliminary purchase price allocation, as necessary, up to one year after the acquisition closing date as we obtain more information regarding asset valuations and liabilities assumed.</w:t>
      </w:r>
    </w:p>
    <w:p>
      <w:pPr>
        <w:spacing w:after="0" w:line="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purchase price allocation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 techniques,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3" w:name="page84"/>
    <w:bookmarkEnd w:id="83"/>
    <w:p>
      <w:pPr>
        <w:spacing w:after="0" w:line="264" w:lineRule="auto"/>
        <w:rPr>
          <w:sz w:val="20"/>
          <w:szCs w:val="20"/>
          <w:color w:val="auto"/>
        </w:rPr>
      </w:pPr>
      <w:r>
        <w:rPr>
          <w:rFonts w:ascii="Times New Roman" w:cs="Times New Roman" w:eastAsia="Times New Roman" w:hAnsi="Times New Roman"/>
          <w:sz w:val="17"/>
          <w:szCs w:val="17"/>
          <w:color w:val="auto"/>
        </w:rPr>
        <w:t>including discounted cash flows, and market multiple analysis. Unanticipated events or circumstances may occur which could affect the accuracy of our fair value estimates, including assumptions regarding industry economic factors and business strategies. If actual results are materially different than the assumptions we used to determine fair value of the assets and liabilities acquired through a business combination, it is possible that adjustments to the carrying values of such assets and liabilities will have an impact on our net earnings.</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current interest rate risk exposure is largely related to our indebtedness. As of December 31, 2025, we had $825.0 million principal amount of fixed-rate debt, $113.0 million outstanding under our variable rate Amended and Restated ABL Facility and $117.0 million outstanding under our variable rate Permian Transmission Term Loan. As of December 31, 2025, we had $101.5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year ended December 31, 2025, a hypothetical 1% increase (decrease) in interest rates on our variable rate debt would have increased (decreased) our interest expense by approximately $2.6 million assuming no changes in amounts drawn or other variables under our Amended and Restated ABL Facility or Permian Transmission Term Loan.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generate a majority of our revenues pursuant to primarily long-term and fee-based gathering agreements, many of which include MVCs and AMIs. Currently, our direct commodity price exposure relates to (i) the sale of physical natural gas and/or NGLs purchased under percentage-of-proceeds and other processing arrangements with certain of our customers in the Rockies, Piceance and Mid-Con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shd w:val="clear" w:color="auto" w:fill="CCEEFF"/>
          </w:tcPr>
          <w:p>
            <w:pPr>
              <w:spacing w:after="0"/>
              <w:rPr>
                <w:sz w:val="18"/>
                <w:szCs w:val="18"/>
                <w:color w:val="auto"/>
              </w:rPr>
            </w:pPr>
          </w:p>
        </w:tc>
        <w:tc>
          <w:tcPr>
            <w:tcW w:w="110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No. 34)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9"/>
                <w:szCs w:val="19"/>
                <w:color w:val="0000FF"/>
                <w:w w:val="83"/>
              </w:rPr>
              <w:t>87</w:t>
            </w:r>
          </w:p>
        </w:tc>
      </w:tr>
      <w:tr>
        <w:trPr>
          <w:trHeight w:val="57"/>
        </w:trPr>
        <w:tc>
          <w:tcPr>
            <w:tcW w:w="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66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6"/>
        </w:trPr>
        <w:tc>
          <w:tcPr>
            <w:tcW w:w="20" w:type="dxa"/>
            <w:vAlign w:val="bottom"/>
          </w:tcPr>
          <w:p>
            <w:pPr>
              <w:spacing w:after="0"/>
              <w:rPr>
                <w:sz w:val="17"/>
                <w:szCs w:val="17"/>
                <w:color w:val="auto"/>
              </w:rPr>
            </w:pPr>
          </w:p>
        </w:tc>
        <w:tc>
          <w:tcPr>
            <w:tcW w:w="4420" w:type="dxa"/>
            <w:vAlign w:val="bottom"/>
            <w:gridSpan w:val="6"/>
          </w:tcPr>
          <w:p>
            <w:pPr>
              <w:spacing w:after="0" w:line="206" w:lineRule="exact"/>
              <w:rPr>
                <w:sz w:val="20"/>
                <w:szCs w:val="20"/>
                <w:color w:val="auto"/>
              </w:rPr>
            </w:pPr>
            <w:r>
              <w:rPr>
                <w:rFonts w:ascii="Times New Roman" w:cs="Times New Roman" w:eastAsia="Times New Roman" w:hAnsi="Times New Roman"/>
                <w:sz w:val="19"/>
                <w:szCs w:val="19"/>
                <w:color w:val="0000FF"/>
              </w:rPr>
              <w:t>Consolidated Balance Sheets</w:t>
            </w:r>
          </w:p>
        </w:tc>
        <w:tc>
          <w:tcPr>
            <w:tcW w:w="6600" w:type="dxa"/>
            <w:vAlign w:val="bottom"/>
          </w:tcPr>
          <w:p>
            <w:pPr>
              <w:spacing w:after="0"/>
              <w:rPr>
                <w:sz w:val="17"/>
                <w:szCs w:val="17"/>
                <w:color w:val="auto"/>
              </w:rPr>
            </w:pPr>
          </w:p>
        </w:tc>
        <w:tc>
          <w:tcPr>
            <w:tcW w:w="2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9"/>
                <w:szCs w:val="19"/>
                <w:color w:val="0000FF"/>
                <w:w w:val="83"/>
              </w:rPr>
              <w:t>89</w:t>
            </w:r>
          </w:p>
        </w:tc>
      </w:tr>
      <w:tr>
        <w:trPr>
          <w:trHeight w:val="57"/>
        </w:trPr>
        <w:tc>
          <w:tcPr>
            <w:tcW w:w="20" w:type="dxa"/>
            <w:vAlign w:val="bottom"/>
          </w:tcPr>
          <w:p>
            <w:pPr>
              <w:spacing w:after="0"/>
              <w:rPr>
                <w:sz w:val="4"/>
                <w:szCs w:val="4"/>
                <w:color w:val="auto"/>
              </w:rPr>
            </w:pPr>
          </w:p>
        </w:tc>
        <w:tc>
          <w:tcPr>
            <w:tcW w:w="22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6"/>
        </w:trPr>
        <w:tc>
          <w:tcPr>
            <w:tcW w:w="2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9"/>
                <w:szCs w:val="19"/>
                <w:color w:val="0000FF"/>
                <w:w w:val="98"/>
              </w:rPr>
              <w:t>Consolidated Statements of Operations</w:t>
            </w:r>
          </w:p>
        </w:tc>
        <w:tc>
          <w:tcPr>
            <w:tcW w:w="8060" w:type="dxa"/>
            <w:vAlign w:val="bottom"/>
            <w:gridSpan w:val="4"/>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9"/>
                <w:szCs w:val="19"/>
                <w:color w:val="0000FF"/>
                <w:w w:val="83"/>
              </w:rPr>
              <w:t>90</w:t>
            </w:r>
          </w:p>
        </w:tc>
      </w:tr>
      <w:tr>
        <w:trPr>
          <w:trHeight w:val="57"/>
        </w:trPr>
        <w:tc>
          <w:tcPr>
            <w:tcW w:w="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6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6"/>
        </w:trPr>
        <w:tc>
          <w:tcPr>
            <w:tcW w:w="20" w:type="dxa"/>
            <w:vAlign w:val="bottom"/>
          </w:tcPr>
          <w:p>
            <w:pPr>
              <w:spacing w:after="0"/>
              <w:rPr>
                <w:sz w:val="17"/>
                <w:szCs w:val="17"/>
                <w:color w:val="auto"/>
              </w:rPr>
            </w:pPr>
          </w:p>
        </w:tc>
        <w:tc>
          <w:tcPr>
            <w:tcW w:w="2960" w:type="dxa"/>
            <w:vAlign w:val="bottom"/>
            <w:gridSpan w:val="3"/>
          </w:tcPr>
          <w:p>
            <w:pPr>
              <w:spacing w:after="0" w:line="206" w:lineRule="exact"/>
              <w:rPr>
                <w:sz w:val="20"/>
                <w:szCs w:val="20"/>
                <w:color w:val="auto"/>
              </w:rPr>
            </w:pPr>
            <w:r>
              <w:rPr>
                <w:rFonts w:ascii="Times New Roman" w:cs="Times New Roman" w:eastAsia="Times New Roman" w:hAnsi="Times New Roman"/>
                <w:sz w:val="19"/>
                <w:szCs w:val="19"/>
                <w:color w:val="0000FF"/>
              </w:rPr>
              <w:t>Consolidated Statements of Equity</w:t>
            </w:r>
          </w:p>
        </w:tc>
        <w:tc>
          <w:tcPr>
            <w:tcW w:w="8060" w:type="dxa"/>
            <w:vAlign w:val="bottom"/>
            <w:gridSpan w:val="4"/>
          </w:tcPr>
          <w:p>
            <w:pPr>
              <w:spacing w:after="0"/>
              <w:rPr>
                <w:sz w:val="17"/>
                <w:szCs w:val="17"/>
                <w:color w:val="auto"/>
              </w:rPr>
            </w:pPr>
          </w:p>
        </w:tc>
        <w:tc>
          <w:tcPr>
            <w:tcW w:w="2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9"/>
                <w:szCs w:val="19"/>
                <w:color w:val="0000FF"/>
                <w:w w:val="83"/>
              </w:rPr>
              <w:t>91</w:t>
            </w:r>
          </w:p>
        </w:tc>
      </w:tr>
      <w:tr>
        <w:trPr>
          <w:trHeight w:val="57"/>
        </w:trPr>
        <w:tc>
          <w:tcPr>
            <w:tcW w:w="20" w:type="dxa"/>
            <w:vAlign w:val="bottom"/>
          </w:tcPr>
          <w:p>
            <w:pPr>
              <w:spacing w:after="0"/>
              <w:rPr>
                <w:sz w:val="4"/>
                <w:szCs w:val="4"/>
                <w:color w:val="auto"/>
              </w:rPr>
            </w:pPr>
          </w:p>
        </w:tc>
        <w:tc>
          <w:tcPr>
            <w:tcW w:w="22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6"/>
        </w:trPr>
        <w:tc>
          <w:tcPr>
            <w:tcW w:w="20" w:type="dxa"/>
            <w:vAlign w:val="bottom"/>
            <w:shd w:val="clear" w:color="auto" w:fill="CCEEFF"/>
          </w:tcPr>
          <w:p>
            <w:pPr>
              <w:spacing w:after="0"/>
              <w:rPr>
                <w:sz w:val="17"/>
                <w:szCs w:val="17"/>
                <w:color w:val="auto"/>
              </w:rPr>
            </w:pPr>
          </w:p>
        </w:tc>
        <w:tc>
          <w:tcPr>
            <w:tcW w:w="3020" w:type="dxa"/>
            <w:vAlign w:val="bottom"/>
            <w:gridSpan w:val="4"/>
            <w:shd w:val="clear" w:color="auto" w:fill="CCEEFF"/>
          </w:tcPr>
          <w:p>
            <w:pPr>
              <w:spacing w:after="0" w:line="206" w:lineRule="exact"/>
              <w:rPr>
                <w:sz w:val="20"/>
                <w:szCs w:val="20"/>
                <w:color w:val="auto"/>
              </w:rPr>
            </w:pPr>
            <w:r>
              <w:rPr>
                <w:rFonts w:ascii="Times New Roman" w:cs="Times New Roman" w:eastAsia="Times New Roman" w:hAnsi="Times New Roman"/>
                <w:sz w:val="19"/>
                <w:szCs w:val="19"/>
                <w:color w:val="0000FF"/>
                <w:w w:val="99"/>
              </w:rPr>
              <w:t>Consolidated Statements of Cash Flows</w:t>
            </w:r>
          </w:p>
        </w:tc>
        <w:tc>
          <w:tcPr>
            <w:tcW w:w="8000" w:type="dxa"/>
            <w:vAlign w:val="bottom"/>
            <w:gridSpan w:val="3"/>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9"/>
                <w:szCs w:val="19"/>
                <w:color w:val="0000FF"/>
                <w:w w:val="83"/>
              </w:rPr>
              <w:t>92</w:t>
            </w:r>
          </w:p>
        </w:tc>
      </w:tr>
      <w:tr>
        <w:trPr>
          <w:trHeight w:val="57"/>
        </w:trPr>
        <w:tc>
          <w:tcPr>
            <w:tcW w:w="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6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6"/>
        </w:trPr>
        <w:tc>
          <w:tcPr>
            <w:tcW w:w="20" w:type="dxa"/>
            <w:vAlign w:val="bottom"/>
          </w:tcPr>
          <w:p>
            <w:pPr>
              <w:spacing w:after="0"/>
              <w:rPr>
                <w:sz w:val="17"/>
                <w:szCs w:val="17"/>
                <w:color w:val="auto"/>
              </w:rPr>
            </w:pPr>
          </w:p>
        </w:tc>
        <w:tc>
          <w:tcPr>
            <w:tcW w:w="11020" w:type="dxa"/>
            <w:vAlign w:val="bottom"/>
            <w:gridSpan w:val="7"/>
          </w:tcPr>
          <w:p>
            <w:pPr>
              <w:spacing w:after="0" w:line="206" w:lineRule="exact"/>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2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9"/>
                <w:szCs w:val="19"/>
                <w:color w:val="0000FF"/>
                <w:w w:val="83"/>
              </w:rPr>
              <w:t>93</w:t>
            </w: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86" w:name="page87"/>
    <w:bookmarkEnd w:id="86"/>
    <w:p>
      <w:pPr>
        <w:ind w:right="5360"/>
        <w:spacing w:after="0" w:line="38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Summit Midstream Corporation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Summit Midstream Corporation and subsidiaries (the "Company") as of December 31, 2025 and 2024, the related consolidated statements of operations,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March 16, 2026, expressed an unqualified opinion on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6" w:lineRule="exact"/>
        <w:rPr>
          <w:sz w:val="20"/>
          <w:szCs w:val="20"/>
          <w:color w:val="auto"/>
        </w:rPr>
      </w:pPr>
    </w:p>
    <w:p>
      <w:pPr>
        <w:ind w:right="3880"/>
        <w:spacing w:after="0" w:line="3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Acquisition and Divestitures – Purchase Price Accounting — Refer to Note 3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As described in Note 3 to the consolidated financial statements, on March 10, 2025, the Company completed the acquisition of Moonrise Midstream LLC, (“Moonrise”) for $70 million in cash and 462,265 shares of Common Stock of the Company. Accordingly, the purchase price was allocated to the assets acquired and liabilities assumed based on their preliminary estimated fair values on the date of acquisition. The valuation of assets acquired are based on preliminary appraisals, available market data, and cost and income approaches. These methods are considered Level 3 fair value estimates and include significant assumptions of future gathering and processing volumes, commodity prices, and operating and capital cost estimates, discounted using a weighted average cost of capital.</w:t>
      </w:r>
    </w:p>
    <w:p>
      <w:pPr>
        <w:spacing w:after="0" w:line="7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We identified the valuation of property, plant and equipment related to the Moonrise acquisition as a critical audit matter because of the significant estimates and assumptions made by management. This required a high degree of auditor judgment and an increased extent of effort, including the involvement of our fair value specialists, when performing audit procedures to evaluate the reasonableness of management's selection of a weighted average cost of capital, and the preliminary fair value of the acquired property, plant and equipment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Our audit procedures related to management's selection of a weighted average cost of capital, and the fair value of acquired property, plant and equipment included the following, among others: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87" w:name="page88"/>
    <w:bookmarkEnd w:id="87"/>
    <w:p>
      <w:pPr>
        <w:ind w:left="620" w:right="80" w:hanging="307"/>
        <w:spacing w:after="0" w:line="287"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the purchase price allocation, including management's controls over the assumptions used in the valuation of property, plant and equipment.</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fair value of acquired property, plant and equipment by:</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appropriateness of the valuation methodology.</w:t>
      </w:r>
    </w:p>
    <w:p>
      <w:pPr>
        <w:spacing w:after="0" w:line="27" w:lineRule="exact"/>
        <w:rPr>
          <w:rFonts w:ascii="Times New Roman" w:cs="Times New Roman" w:eastAsia="Times New Roman" w:hAnsi="Times New Roman"/>
          <w:sz w:val="17"/>
          <w:szCs w:val="17"/>
          <w:color w:val="auto"/>
        </w:rPr>
      </w:pPr>
    </w:p>
    <w:p>
      <w:pPr>
        <w:ind w:left="1240" w:right="480" w:hanging="309"/>
        <w:spacing w:after="0" w:line="253" w:lineRule="auto"/>
        <w:tabs>
          <w:tab w:leader="none" w:pos="123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cost to acquire or construct comparable assets and the remaining useful lives used for the cost approach for property, plant and equipment, including comparing such estimates to independent market information to determine reasonableness.</w:t>
      </w:r>
    </w:p>
    <w:p>
      <w:pPr>
        <w:ind w:left="1240" w:hanging="309"/>
        <w:spacing w:after="0"/>
        <w:tabs>
          <w:tab w:leader="none" w:pos="12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methodology used for the valuation of rights-of-way.</w:t>
      </w:r>
    </w:p>
    <w:p>
      <w:pPr>
        <w:spacing w:after="0" w:line="10" w:lineRule="exact"/>
        <w:rPr>
          <w:rFonts w:ascii="Times New Roman" w:cs="Times New Roman" w:eastAsia="Times New Roman" w:hAnsi="Times New Roman"/>
          <w:sz w:val="17"/>
          <w:szCs w:val="17"/>
          <w:color w:val="auto"/>
        </w:rPr>
      </w:pPr>
    </w:p>
    <w:p>
      <w:pPr>
        <w:ind w:left="1240" w:right="420" w:hanging="309"/>
        <w:spacing w:after="0" w:line="266" w:lineRule="auto"/>
        <w:tabs>
          <w:tab w:leader="none" w:pos="123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range of independent estimates of the weighted average cost of capital and comparing to the weighted average cost of capital utilized by management.</w:t>
      </w:r>
    </w:p>
    <w:p>
      <w:pPr>
        <w:spacing w:after="0" w:line="66"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management's use of experts related to the valuation of certain acquired assets including qualifications and methodology.</w:t>
      </w:r>
    </w:p>
    <w:p>
      <w:pPr>
        <w:spacing w:after="0" w:line="108" w:lineRule="exact"/>
        <w:rPr>
          <w:sz w:val="20"/>
          <w:szCs w:val="20"/>
          <w:color w:val="auto"/>
        </w:rPr>
      </w:pPr>
    </w:p>
    <w:p>
      <w:pPr>
        <w:ind w:right="2020"/>
        <w:spacing w:after="0" w:line="3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Property, Plant and Equipment, Net - Determination of Impairment Indicators– Refer to Notes 2 and 5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As described in Notes 2 and 5 to the Company's consolidated financial statements, the Company recorded approximately $1.84 billion of property, plant and equipment, net as of December 31, 2025. The Company tests assets for impairment when events or circumstances indicate the carrying value of a long-lived asset may not be recoverable. The carrying value of a long-lived asset is not recoverable if it exceeds the sum of the undiscounted cash flows expected to result from its use and eventual disposition. If the Company concludes that an asset’s carrying value will not be recovered through future cash flows, the Company recognizes an impairment loss on the long-lived asset equal to the amount by which the carrying value exceeds its fair value.</w:t>
      </w:r>
    </w:p>
    <w:p>
      <w:pPr>
        <w:spacing w:after="0" w:line="7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have identified the determination of impairment indicators for long-lived assets as a critical audit matter due to the significant judgments management makes when determining whether events or changes in circumstances have occurred indicating that the carrying amounts of long-lived assets may not be recoverable. Auditing management’s judgements involved especially challenging auditor judgment due to the nature and extent of audit effort required to address these matters, including the degree of auditor judgment and the extent of specialized knowledge needed.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identification of impairment indicators for long-lived assets included the following, among others:</w:t>
      </w:r>
    </w:p>
    <w:p>
      <w:pPr>
        <w:spacing w:after="0" w:line="114" w:lineRule="exact"/>
        <w:rPr>
          <w:sz w:val="20"/>
          <w:szCs w:val="20"/>
          <w:color w:val="auto"/>
        </w:rPr>
      </w:pPr>
    </w:p>
    <w:p>
      <w:pPr>
        <w:ind w:left="620" w:right="40" w:hanging="307"/>
        <w:spacing w:after="0" w:line="287"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internal controls over financial reporting related to management’s identification of possible impairment indicators for long-lived assets that may indicate the carrying amount of long-lived assets may not be recoverable.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analysis of impairment indicators by:</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whether long-lived assets having indicators of impairment were appropriately identified.</w:t>
      </w:r>
    </w:p>
    <w:p>
      <w:pPr>
        <w:spacing w:after="0" w:line="10" w:lineRule="exact"/>
        <w:rPr>
          <w:rFonts w:ascii="Times New Roman" w:cs="Times New Roman" w:eastAsia="Times New Roman" w:hAnsi="Times New Roman"/>
          <w:sz w:val="17"/>
          <w:szCs w:val="17"/>
          <w:color w:val="auto"/>
        </w:rPr>
      </w:pPr>
    </w:p>
    <w:p>
      <w:pPr>
        <w:ind w:left="1240" w:right="280" w:hanging="309"/>
        <w:spacing w:after="0" w:line="253" w:lineRule="auto"/>
        <w:tabs>
          <w:tab w:leader="none" w:pos="123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industry reports and the impact of macroeconomic factors, such as adverse changes in the regulatory environment, legislation or other factors that may represent impairment indicators not previously contemplated in management's analysis.</w:t>
      </w:r>
    </w:p>
    <w:p>
      <w:pPr>
        <w:ind w:left="1240" w:right="200" w:hanging="309"/>
        <w:spacing w:after="0" w:line="253" w:lineRule="auto"/>
        <w:tabs>
          <w:tab w:leader="none" w:pos="123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management’s judgments around historical trends, macroeconomic and industry conditions, and whether projections are consistent with the Company’s operating strategy.</w:t>
      </w:r>
    </w:p>
    <w:p>
      <w:pPr>
        <w:ind w:left="1240" w:hanging="309"/>
        <w:spacing w:after="0" w:line="253" w:lineRule="auto"/>
        <w:tabs>
          <w:tab w:leader="none" w:pos="123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Inquiry of management over whether long-lived assets may be sold or otherwise disposed of significantly before the end of the assets' previously estimated useful life.</w:t>
      </w:r>
    </w:p>
    <w:p>
      <w:pPr>
        <w:ind w:left="1240" w:right="180" w:hanging="309"/>
        <w:spacing w:after="0" w:line="266" w:lineRule="auto"/>
        <w:tabs>
          <w:tab w:leader="none" w:pos="123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Inspecting minutes of the board of directors and committees of executive management to understand if there were factors that would represent potential impairment indicators for long-lived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Deloitte &amp; Touche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2009.</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b w:val="1"/>
          <w:bCs w:val="1"/>
          <w:color w:val="auto"/>
        </w:rPr>
        <w:t>SUMMIT MIDSTREAM CORPORATION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60" w:type="dxa"/>
            <w:vAlign w:val="bottom"/>
          </w:tcPr>
          <w:p>
            <w:pPr>
              <w:spacing w:after="0"/>
              <w:rPr>
                <w:sz w:val="15"/>
                <w:szCs w:val="15"/>
                <w:color w:val="auto"/>
              </w:rPr>
            </w:pP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4"/>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31"/>
        </w:trPr>
        <w:tc>
          <w:tcPr>
            <w:tcW w:w="8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(In thousands, except share and unit</w:t>
            </w:r>
          </w:p>
        </w:tc>
      </w:tr>
      <w:tr>
        <w:trPr>
          <w:trHeight w:val="204"/>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4"/>
          </w:tcPr>
          <w:p>
            <w:pPr>
              <w:jc w:val="right"/>
              <w:ind w:right="983"/>
              <w:spacing w:after="0"/>
              <w:rPr>
                <w:sz w:val="20"/>
                <w:szCs w:val="20"/>
                <w:color w:val="auto"/>
              </w:rPr>
            </w:pPr>
            <w:r>
              <w:rPr>
                <w:rFonts w:ascii="Times New Roman" w:cs="Times New Roman" w:eastAsia="Times New Roman" w:hAnsi="Times New Roman"/>
                <w:sz w:val="15"/>
                <w:szCs w:val="15"/>
                <w:b w:val="1"/>
                <w:bCs w:val="1"/>
                <w:color w:val="auto"/>
              </w:rPr>
              <w:t>amounts)</w:t>
            </w:r>
          </w:p>
        </w:tc>
      </w:tr>
      <w:tr>
        <w:trPr>
          <w:trHeight w:val="31"/>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852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22,822</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2,377</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77,058</w:t>
            </w:r>
          </w:p>
        </w:tc>
      </w:tr>
      <w:tr>
        <w:trPr>
          <w:trHeight w:val="23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16,014</w:t>
            </w:r>
          </w:p>
        </w:tc>
      </w:tr>
      <w:tr>
        <w:trPr>
          <w:trHeight w:val="223"/>
        </w:trPr>
        <w:tc>
          <w:tcPr>
            <w:tcW w:w="8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118,271</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1,844,146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1,785,029</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154,279</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equity method investees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265,583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269,561</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32,344</w:t>
            </w:r>
          </w:p>
        </w:tc>
      </w:tr>
      <w:tr>
        <w:trPr>
          <w:trHeight w:val="257"/>
        </w:trPr>
        <w:tc>
          <w:tcPr>
            <w:tcW w:w="8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2,359,484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8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6"/>
        </w:trPr>
        <w:tc>
          <w:tcPr>
            <w:tcW w:w="852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25,162</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expenses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38,176</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revenue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9,595</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 valorem taxes payable</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9,544</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compensation and employee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11,222</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interest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21,711</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environmental remediation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settlement payable</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6,667</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16,580</w:t>
            </w: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34,714</w:t>
            </w:r>
          </w:p>
        </w:tc>
      </w:tr>
      <w:tr>
        <w:trPr>
          <w:trHeight w:val="223"/>
        </w:trPr>
        <w:tc>
          <w:tcPr>
            <w:tcW w:w="8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174,801</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63,326</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976,995</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deferred revenue</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25,373</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accrued environmental remediation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768</w:t>
            </w:r>
          </w:p>
        </w:tc>
      </w:tr>
      <w:tr>
        <w:trPr>
          <w:trHeight w:val="23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20,150</w:t>
            </w:r>
          </w:p>
        </w:tc>
      </w:tr>
      <w:tr>
        <w:trPr>
          <w:trHeight w:val="223"/>
        </w:trPr>
        <w:tc>
          <w:tcPr>
            <w:tcW w:w="8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1,299,757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1,261,413</w:t>
            </w:r>
          </w:p>
        </w:tc>
      </w:tr>
      <w:tr>
        <w:trPr>
          <w:trHeight w:val="24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10)</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06"/>
        </w:trPr>
        <w:tc>
          <w:tcPr>
            <w:tcW w:w="8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Mezzanine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Subsidiary Series A Preferred Units (93,039 issued and outstanding as of December 31, 2025 and December 31, 2024)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132,946</w:t>
            </w:r>
          </w:p>
        </w:tc>
      </w:tr>
      <w:tr>
        <w:trPr>
          <w:trHeight w:val="151"/>
        </w:trPr>
        <w:tc>
          <w:tcPr>
            <w:tcW w:w="8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05"/>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 Preferred Stock (65,508 shares authorized, issued and outstanding as of December 31, 2025 and December 31, 2024)</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110,230</w:t>
            </w:r>
          </w:p>
        </w:tc>
      </w:tr>
      <w:tr>
        <w:trPr>
          <w:trHeight w:val="194"/>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 $0.01 par value (42,000,000 authorized as of December 31, 2025 and December 31, 2024; 12,262,320 and 10,659,220</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200"/>
        </w:trPr>
        <w:tc>
          <w:tcPr>
            <w:tcW w:w="85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issued and outstanding as of December 31, 2025 and December 31, 2024, respectively)</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B Common Stock, $0.01 par value (7,471,008 shares authorized as of December 31, 2025 and December 31, 2024; 6,524,467 and</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11"/>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7,471,008 issued and outstanding as of December 31, 2025 and December 31, 2024, respectively)</w:t>
            </w: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540,714</w:t>
            </w:r>
          </w:p>
        </w:tc>
      </w:tr>
      <w:tr>
        <w:trPr>
          <w:trHeight w:val="23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(202,902)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(183,333)</w:t>
            </w:r>
          </w:p>
        </w:tc>
      </w:tr>
      <w:tr>
        <w:trPr>
          <w:trHeight w:val="219"/>
        </w:trPr>
        <w:tc>
          <w:tcPr>
            <w:tcW w:w="85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Company stockholders’ equity</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467,792</w:t>
            </w:r>
          </w:p>
        </w:tc>
      </w:tr>
      <w:tr>
        <w:trPr>
          <w:trHeight w:val="23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400,376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497,333</w:t>
            </w:r>
          </w:p>
        </w:tc>
      </w:tr>
      <w:tr>
        <w:trPr>
          <w:trHeight w:val="221"/>
        </w:trPr>
        <w:tc>
          <w:tcPr>
            <w:tcW w:w="8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equity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946,556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965,125</w:t>
            </w:r>
          </w:p>
        </w:tc>
      </w:tr>
      <w:tr>
        <w:trPr>
          <w:trHeight w:val="257"/>
        </w:trPr>
        <w:tc>
          <w:tcPr>
            <w:tcW w:w="8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2,359,484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99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9"/>
          <w:szCs w:val="19"/>
          <w:b w:val="1"/>
          <w:bCs w:val="1"/>
          <w:color w:val="auto"/>
        </w:rPr>
        <w:t>SUMMIT MIDSTREAM CORPORATION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gridSpan w:val="6"/>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w w:val="97"/>
              </w:rPr>
              <w:t>(In thousands, except per-share amount)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255,677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200,844</w:t>
            </w:r>
          </w:p>
        </w:tc>
        <w:tc>
          <w:tcPr>
            <w:tcW w:w="10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248,223</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NGLs and condensate sales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179,254</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31,426</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458,903</w:t>
            </w:r>
          </w:p>
        </w:tc>
        <w:tc>
          <w:tcPr>
            <w:tcW w:w="0" w:type="dxa"/>
            <w:vAlign w:val="bottom"/>
          </w:tcPr>
          <w:p>
            <w:pPr>
              <w:spacing w:after="0"/>
              <w:rPr>
                <w:sz w:val="1"/>
                <w:szCs w:val="1"/>
                <w:color w:val="auto"/>
              </w:rPr>
            </w:pP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natural gas and NGLs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112,462</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 and maintenance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100,741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42,135</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122,764</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integration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asset sales,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382,287</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interest rate swaps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0" w:type="dxa"/>
            <w:vAlign w:val="bottom"/>
          </w:tcPr>
          <w:p>
            <w:pPr>
              <w:spacing w:after="0"/>
              <w:rPr>
                <w:sz w:val="1"/>
                <w:szCs w:val="1"/>
                <w:color w:val="auto"/>
              </w:rPr>
            </w:pPr>
          </w:p>
        </w:tc>
      </w:tr>
      <w:tr>
        <w:trPr>
          <w:trHeight w:val="25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82,187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equity method investment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(140,784)</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(10,934)</w:t>
            </w:r>
          </w:p>
        </w:tc>
        <w:tc>
          <w:tcPr>
            <w:tcW w:w="0" w:type="dxa"/>
            <w:vAlign w:val="bottom"/>
          </w:tcPr>
          <w:p>
            <w:pPr>
              <w:spacing w:after="0"/>
              <w:rPr>
                <w:sz w:val="1"/>
                <w:szCs w:val="1"/>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equity method investees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33,829</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(38,625)</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(146,678)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(38,947)</w:t>
            </w:r>
          </w:p>
        </w:tc>
        <w:tc>
          <w:tcPr>
            <w:tcW w:w="0" w:type="dxa"/>
            <w:vAlign w:val="bottom"/>
          </w:tcPr>
          <w:p>
            <w:pPr>
              <w:spacing w:after="0"/>
              <w:rPr>
                <w:sz w:val="1"/>
                <w:szCs w:val="1"/>
                <w:color w:val="auto"/>
              </w:rPr>
            </w:pPr>
          </w:p>
        </w:tc>
      </w:tr>
      <w:tr>
        <w:trPr>
          <w:trHeight w:val="23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Net income attributable to Subsidiary Series A Preferred Units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Net income attributable to Series A Preferred Stock</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(11,566)</w:t>
            </w:r>
          </w:p>
        </w:tc>
        <w:tc>
          <w:tcPr>
            <w:tcW w:w="0" w:type="dxa"/>
            <w:vAlign w:val="bottom"/>
          </w:tcPr>
          <w:p>
            <w:pPr>
              <w:spacing w:after="0"/>
              <w:rPr>
                <w:sz w:val="1"/>
                <w:szCs w:val="1"/>
                <w:color w:val="auto"/>
              </w:rPr>
            </w:pPr>
          </w:p>
        </w:tc>
      </w:tr>
      <w:tr>
        <w:trPr>
          <w:trHeight w:val="232"/>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 Net loss attributable to noncontrolling interest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Summit Midstream Corporation</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(135,496)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 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 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22"/>
                <w:szCs w:val="22"/>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0" w:type="dxa"/>
            <w:vAlign w:val="bottom"/>
          </w:tcPr>
          <w:p>
            <w:pPr>
              <w:spacing w:after="0"/>
              <w:rPr>
                <w:sz w:val="1"/>
                <w:szCs w:val="1"/>
                <w:color w:val="auto"/>
              </w:rPr>
            </w:pPr>
          </w:p>
        </w:tc>
      </w:tr>
      <w:tr>
        <w:trPr>
          <w:trHeight w:val="245"/>
        </w:trPr>
        <w:tc>
          <w:tcPr>
            <w:tcW w:w="6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number of shares outstanding: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 basic</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w:t>
            </w: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 diluted</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9"/>
          <w:szCs w:val="19"/>
          <w:b w:val="1"/>
          <w:bCs w:val="1"/>
          <w:color w:val="auto"/>
        </w:rPr>
        <w:t>SUMMIT MIDSTREAM CORPORATION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EQUITY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Partners’ Capital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5"/>
            <w:vMerge w:val="restart"/>
          </w:tcPr>
          <w:p>
            <w:pPr>
              <w:jc w:val="center"/>
              <w:ind w:right="180"/>
              <w:spacing w:after="0" w:line="122" w:lineRule="exact"/>
              <w:rPr>
                <w:sz w:val="20"/>
                <w:szCs w:val="20"/>
                <w:color w:val="auto"/>
              </w:rPr>
            </w:pPr>
            <w:r>
              <w:rPr>
                <w:rFonts w:ascii="Times New Roman" w:cs="Times New Roman" w:eastAsia="Times New Roman" w:hAnsi="Times New Roman"/>
                <w:sz w:val="12"/>
                <w:szCs w:val="12"/>
                <w:b w:val="1"/>
                <w:bCs w:val="1"/>
                <w:color w:val="auto"/>
                <w:w w:val="99"/>
              </w:rPr>
              <w:t>(Before Corporate</w:t>
            </w: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3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gridSpan w:val="8"/>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(After Corporate Reorganization)</w:t>
            </w: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Reorganization)</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Summit Midstream Corporation Stockholders</w:t>
            </w: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Series A</w:t>
            </w:r>
          </w:p>
        </w:tc>
        <w:tc>
          <w:tcPr>
            <w:tcW w:w="120" w:type="dxa"/>
            <w:vAlign w:val="bottom"/>
          </w:tcPr>
          <w:p>
            <w:pPr>
              <w:spacing w:after="0"/>
              <w:rPr>
                <w:sz w:val="11"/>
                <w:szCs w:val="11"/>
                <w:color w:val="auto"/>
              </w:rPr>
            </w:pPr>
          </w:p>
        </w:tc>
        <w:tc>
          <w:tcPr>
            <w:tcW w:w="7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Series A</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2"/>
                <w:szCs w:val="12"/>
                <w:b w:val="1"/>
                <w:bCs w:val="1"/>
                <w:color w:val="auto"/>
                <w:w w:val="99"/>
              </w:rPr>
              <w:t>Amount, at</w:t>
            </w:r>
          </w:p>
        </w:tc>
        <w:tc>
          <w:tcPr>
            <w:tcW w:w="980" w:type="dxa"/>
            <w:vAlign w:val="bottom"/>
            <w:gridSpan w:val="3"/>
          </w:tcPr>
          <w:p>
            <w:pPr>
              <w:jc w:val="right"/>
              <w:ind w:right="140"/>
              <w:spacing w:after="0" w:line="116"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20" w:type="dxa"/>
            <w:vAlign w:val="bottom"/>
          </w:tcPr>
          <w:p>
            <w:pPr>
              <w:spacing w:after="0"/>
              <w:rPr>
                <w:sz w:val="11"/>
                <w:szCs w:val="11"/>
                <w:color w:val="auto"/>
              </w:rPr>
            </w:pPr>
          </w:p>
        </w:tc>
        <w:tc>
          <w:tcPr>
            <w:tcW w:w="7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8"/>
              </w:rPr>
              <w:t>Partners’</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$0.01 par</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 at</w:t>
            </w:r>
          </w:p>
        </w:tc>
        <w:tc>
          <w:tcPr>
            <w:tcW w:w="1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controlling</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63"/>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$0.01 par value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(In thousands)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Partners’ capital,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85,327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679,491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764,818</w:t>
            </w: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(51,528)</w:t>
            </w:r>
          </w:p>
        </w:tc>
        <w:tc>
          <w:tcPr>
            <w:tcW w:w="0" w:type="dxa"/>
            <w:vAlign w:val="bottom"/>
          </w:tcPr>
          <w:p>
            <w:pPr>
              <w:spacing w:after="0"/>
              <w:rPr>
                <w:sz w:val="1"/>
                <w:szCs w:val="1"/>
                <w:color w:val="auto"/>
              </w:rPr>
            </w:pPr>
          </w:p>
        </w:tc>
      </w:tr>
      <w:tr>
        <w:trPr>
          <w:trHeight w:val="17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compensation</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6,566</w:t>
            </w:r>
          </w:p>
        </w:tc>
        <w:tc>
          <w:tcPr>
            <w:tcW w:w="0" w:type="dxa"/>
            <w:vAlign w:val="bottom"/>
          </w:tcPr>
          <w:p>
            <w:pPr>
              <w:spacing w:after="0"/>
              <w:rPr>
                <w:sz w:val="1"/>
                <w:szCs w:val="1"/>
                <w:color w:val="auto"/>
              </w:rPr>
            </w:pPr>
          </w:p>
        </w:tc>
      </w:tr>
      <w:tr>
        <w:trPr>
          <w:trHeight w:val="152"/>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withholdings and associated payments on vested Summit LTIP</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0" w:type="dxa"/>
            <w:vAlign w:val="bottom"/>
          </w:tcPr>
          <w:p>
            <w:pPr>
              <w:spacing w:after="0"/>
              <w:rPr>
                <w:sz w:val="1"/>
                <w:szCs w:val="1"/>
                <w:color w:val="auto"/>
              </w:rPr>
            </w:pPr>
          </w:p>
        </w:tc>
      </w:tr>
      <w:tr>
        <w:trPr>
          <w:trHeight w:val="16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Partners’ capital,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96,893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621,670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718,563</w:t>
            </w: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(127,981)</w:t>
            </w:r>
          </w:p>
        </w:tc>
        <w:tc>
          <w:tcPr>
            <w:tcW w:w="0" w:type="dxa"/>
            <w:vAlign w:val="bottom"/>
          </w:tcPr>
          <w:p>
            <w:pPr>
              <w:spacing w:after="0"/>
              <w:rPr>
                <w:sz w:val="1"/>
                <w:szCs w:val="1"/>
                <w:color w:val="auto"/>
              </w:rPr>
            </w:pPr>
          </w:p>
        </w:tc>
      </w:tr>
      <w:tr>
        <w:trPr>
          <w:trHeight w:val="17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compensation</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8,561</w:t>
            </w:r>
          </w:p>
        </w:tc>
        <w:tc>
          <w:tcPr>
            <w:tcW w:w="0" w:type="dxa"/>
            <w:vAlign w:val="bottom"/>
          </w:tcPr>
          <w:p>
            <w:pPr>
              <w:spacing w:after="0"/>
              <w:rPr>
                <w:sz w:val="1"/>
                <w:szCs w:val="1"/>
                <w:color w:val="auto"/>
              </w:rPr>
            </w:pPr>
          </w:p>
        </w:tc>
      </w:tr>
      <w:tr>
        <w:trPr>
          <w:trHeight w:val="152"/>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withholdings and associated payments on vested Summit LTIP</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Reorganization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(673,040)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672,934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impact of Corporate Reorganization</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32,349</w:t>
            </w:r>
          </w:p>
        </w:tc>
        <w:tc>
          <w:tcPr>
            <w:tcW w:w="0" w:type="dxa"/>
            <w:vAlign w:val="bottom"/>
          </w:tcPr>
          <w:p>
            <w:pPr>
              <w:spacing w:after="0"/>
              <w:rPr>
                <w:sz w:val="1"/>
                <w:szCs w:val="1"/>
                <w:color w:val="auto"/>
              </w:rPr>
            </w:pP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 impact of Up-C Structure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52,582</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noncontrolling interest (Tall Oak Acquisition)</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(220,153)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503,155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283,077</w:t>
            </w:r>
          </w:p>
        </w:tc>
        <w:tc>
          <w:tcPr>
            <w:tcW w:w="0" w:type="dxa"/>
            <w:vAlign w:val="bottom"/>
          </w:tcPr>
          <w:p>
            <w:pPr>
              <w:spacing w:after="0"/>
              <w:rPr>
                <w:sz w:val="1"/>
                <w:szCs w:val="1"/>
                <w:color w:val="auto"/>
              </w:rPr>
            </w:pPr>
          </w:p>
        </w:tc>
      </w:tr>
      <w:tr>
        <w:trPr>
          <w:trHeight w:val="16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Equity,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110,230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540,714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(183,333)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497,333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965,125</w:t>
            </w: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(16,769)</w:t>
            </w:r>
          </w:p>
        </w:tc>
        <w:tc>
          <w:tcPr>
            <w:tcW w:w="0" w:type="dxa"/>
            <w:vAlign w:val="bottom"/>
          </w:tcPr>
          <w:p>
            <w:pPr>
              <w:spacing w:after="0"/>
              <w:rPr>
                <w:sz w:val="1"/>
                <w:szCs w:val="1"/>
                <w:color w:val="auto"/>
              </w:rPr>
            </w:pPr>
          </w:p>
        </w:tc>
      </w:tr>
      <w:tr>
        <w:trPr>
          <w:trHeight w:val="17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 paid on Series A Preferred Stock</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(13,393)</w:t>
            </w: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compensation</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w:t>
            </w:r>
          </w:p>
        </w:tc>
        <w:tc>
          <w:tcPr>
            <w:tcW w:w="0" w:type="dxa"/>
            <w:vAlign w:val="bottom"/>
          </w:tcPr>
          <w:p>
            <w:pPr>
              <w:spacing w:after="0"/>
              <w:rPr>
                <w:sz w:val="1"/>
                <w:szCs w:val="1"/>
                <w:color w:val="auto"/>
              </w:rPr>
            </w:pPr>
          </w:p>
        </w:tc>
      </w:tr>
      <w:tr>
        <w:trPr>
          <w:trHeight w:val="15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 withholdings and associated payments on vested Summit LTIP</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(3,117)</w:t>
            </w: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Moonrise Acquisition</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17,895</w:t>
            </w:r>
          </w:p>
        </w:tc>
        <w:tc>
          <w:tcPr>
            <w:tcW w:w="0" w:type="dxa"/>
            <w:vAlign w:val="bottom"/>
          </w:tcPr>
          <w:p>
            <w:pPr>
              <w:spacing w:after="0"/>
              <w:rPr>
                <w:sz w:val="1"/>
                <w:szCs w:val="1"/>
                <w:color w:val="auto"/>
              </w:rPr>
            </w:pPr>
          </w:p>
        </w:tc>
      </w:tr>
      <w:tr>
        <w:trPr>
          <w:trHeight w:val="122"/>
        </w:trPr>
        <w:tc>
          <w:tcPr>
            <w:tcW w:w="34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Conversion of Class B Common Stock and Partnership Common</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Units</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impact of Up-C Structure</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(10,983)</w:t>
            </w:r>
          </w:p>
        </w:tc>
        <w:tc>
          <w:tcPr>
            <w:tcW w:w="0" w:type="dxa"/>
            <w:vAlign w:val="bottom"/>
          </w:tcPr>
          <w:p>
            <w:pPr>
              <w:spacing w:after="0"/>
              <w:rPr>
                <w:sz w:val="1"/>
                <w:szCs w:val="1"/>
                <w:color w:val="auto"/>
              </w:rPr>
            </w:pPr>
          </w:p>
        </w:tc>
      </w:tr>
      <w:tr>
        <w:trPr>
          <w:trHeight w:val="17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shift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Equity, December 31, 2025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110,468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638,427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(202,902)</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400,376</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946,556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SUMMIT MIDSTREAM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3"/>
        </w:trPr>
        <w:tc>
          <w:tcPr>
            <w:tcW w:w="67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65"/>
        </w:trPr>
        <w:tc>
          <w:tcPr>
            <w:tcW w:w="6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(113,175)</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(38,947)</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 to reconcile net loss to net cash provided by 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86"/>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Deferred income taxes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123,702</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Noncash lease expense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3,773</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12,685</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Equity compensation</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6,566</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from equity method investees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(20,784)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(33,829)</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Distributions from equity method investees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57,572</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loss on asset sales, net</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Foreign currency (gain) loss</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loss on earn-out remeasurement</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r>
      <w:tr>
        <w:trPr>
          <w:trHeight w:val="186"/>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Loss on early extinguishment of debt</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10,934</w:t>
            </w:r>
          </w:p>
        </w:tc>
      </w:tr>
      <w:tr>
        <w:trPr>
          <w:trHeight w:val="181"/>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loss on sale of business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(82,187)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Gain on sale of equity method investment</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Unrealized loss on interest rate swaps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3,318</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Long-lived asset impairment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(3,352)</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Trade accounts payable</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4,483</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Accrued expenses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5,586</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revenue</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(6,467)</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 valorem taxes payable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(1,702)</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Accrued interest</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Accrued environmental remediation, net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net</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(19,057)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(19,415)</w:t>
            </w:r>
          </w:p>
        </w:tc>
      </w:tr>
      <w:tr>
        <w:trPr>
          <w:trHeight w:val="158"/>
        </w:trPr>
        <w:tc>
          <w:tcPr>
            <w:tcW w:w="67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9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133,595</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61,771</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126,906</w:t>
            </w:r>
          </w:p>
        </w:tc>
      </w:tr>
      <w:tr>
        <w:trPr>
          <w:trHeight w:val="28"/>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Capital expenditures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(68,905)</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consideration paid for the acquisition of Moonrise, net of cash acquired</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Investment in Double E equity method investee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consideration paid for Tall Oak Acquisition, net of cash acquired</w:t>
            </w: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(154,154)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Proceeds from Utica Sale (excluding Ohio Gathering)</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292,266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Proceeds from sale of Ohio Gathering</w:t>
            </w: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332,734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Proceeds from Mountaineer Transaction</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Proceeds from asset sale</w:t>
            </w:r>
          </w:p>
        </w:tc>
        <w:tc>
          <w:tcPr>
            <w:tcW w:w="9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Other, net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(2,611)</w:t>
            </w:r>
          </w:p>
        </w:tc>
      </w:tr>
      <w:tr>
        <w:trPr>
          <w:trHeight w:val="28"/>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(163,150)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487,059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(74,756)</w:t>
            </w:r>
          </w:p>
        </w:tc>
      </w:tr>
      <w:tr>
        <w:trPr>
          <w:trHeight w:val="145"/>
        </w:trPr>
        <w:tc>
          <w:tcPr>
            <w:tcW w:w="6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9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Issuance of Additional 2029 Secured Notes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Borrowings on Amended and Restated ABL Facility</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70,000</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repayments - Amended and Restated ABL Facility</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(87,000)</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Debt repayments - Permian Transmission Term Loan</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(10,507)</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Distribution on Series A Preferred Shares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Distributions on Subsidiary Series A Preferred Units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(6,512)</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Issuance of 2029 Secured Notes</w:t>
            </w: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565,800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6"/>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Debt repayments - Redemption of 2026 Unsecured Notes</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(209,510)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repayments - 2026 Secured Notes (Excess Cash Flow Offer)</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Debt repayments - 2026 Secured Notes (Asset Sale Offer)</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repayments - 2025 Senior Notes Redemption</w:t>
            </w: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(49,783)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Debt repayments - 2026 Secured Notes Tender Offer and Redemption</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repayments - Repurchase of 2025 Senior Notes</w:t>
            </w:r>
          </w:p>
        </w:tc>
        <w:tc>
          <w:tcPr>
            <w:tcW w:w="9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(29,650)</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Issuance of 2026 Unsecured Notes</w:t>
            </w:r>
          </w:p>
        </w:tc>
        <w:tc>
          <w:tcPr>
            <w:tcW w:w="9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29,480</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extinguishment costs</w:t>
            </w:r>
          </w:p>
        </w:tc>
        <w:tc>
          <w:tcPr>
            <w:tcW w:w="9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(10,306)</w:t>
            </w:r>
          </w:p>
        </w:tc>
      </w:tr>
      <w:tr>
        <w:trPr>
          <w:trHeight w:val="165"/>
        </w:trPr>
        <w:tc>
          <w:tcPr>
            <w:tcW w:w="6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Debt issuance costs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(2,968)</w:t>
            </w:r>
          </w:p>
        </w:tc>
      </w:tr>
      <w:tr>
        <w:trPr>
          <w:trHeight w:val="28"/>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3"/>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net</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(1,573)</w:t>
            </w:r>
          </w:p>
        </w:tc>
      </w:tr>
      <w:tr>
        <w:trPr>
          <w:trHeight w:val="158"/>
        </w:trPr>
        <w:tc>
          <w:tcPr>
            <w:tcW w:w="67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9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24,035</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(540,276)</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(49,036)</w:t>
            </w:r>
          </w:p>
        </w:tc>
      </w:tr>
      <w:tr>
        <w:trPr>
          <w:trHeight w:val="28"/>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6"/>
        </w:trPr>
        <w:tc>
          <w:tcPr>
            <w:tcW w:w="6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9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3,114</w:t>
            </w:r>
          </w:p>
        </w:tc>
      </w:tr>
      <w:tr>
        <w:trPr>
          <w:trHeight w:val="165"/>
        </w:trPr>
        <w:tc>
          <w:tcPr>
            <w:tcW w:w="6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13,531</w:t>
            </w:r>
          </w:p>
        </w:tc>
      </w:tr>
      <w:tr>
        <w:trPr>
          <w:trHeight w:val="28"/>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25,199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ectPr>
          <w:pgSz w:w="11900" w:h="16838" w:orient="portrait"/>
          <w:cols w:equalWidth="0" w:num="1">
            <w:col w:w="11240"/>
          </w:cols>
          <w:pgMar w:left="320" w:top="764" w:right="3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b w:val="1"/>
          <w:bCs w:val="1"/>
          <w:color w:val="auto"/>
        </w:rPr>
        <w:t>SUMMIT MIDSTREAM CORPORATION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CORPORATE REORGANIZATION, BUSINESS OPERATIONS AND PRESENTATION AND CONSOLIDATION</w:t>
      </w:r>
    </w:p>
    <w:p>
      <w:pPr>
        <w:spacing w:after="0" w:line="112" w:lineRule="exact"/>
        <w:rPr>
          <w:sz w:val="20"/>
          <w:szCs w:val="20"/>
          <w:color w:val="auto"/>
        </w:rPr>
      </w:pPr>
    </w:p>
    <w:p>
      <w:pPr>
        <w:ind w:right="160"/>
        <w:spacing w:after="0" w:line="210" w:lineRule="exact"/>
        <w:rPr>
          <w:sz w:val="20"/>
          <w:szCs w:val="20"/>
          <w:color w:val="auto"/>
        </w:rPr>
      </w:pPr>
      <w:r>
        <w:rPr>
          <w:rFonts w:ascii="Times New Roman" w:cs="Times New Roman" w:eastAsia="Times New Roman" w:hAnsi="Times New Roman"/>
          <w:sz w:val="17"/>
          <w:szCs w:val="17"/>
          <w:b w:val="1"/>
          <w:bCs w:val="1"/>
          <w:i w:val="1"/>
          <w:iCs w:val="1"/>
          <w:color w:val="auto"/>
        </w:rPr>
        <w:t xml:space="preserve">Organization. </w:t>
      </w:r>
      <w:r>
        <w:rPr>
          <w:rFonts w:ascii="Times New Roman" w:cs="Times New Roman" w:eastAsia="Times New Roman" w:hAnsi="Times New Roman"/>
          <w:sz w:val="17"/>
          <w:szCs w:val="17"/>
          <w:color w:val="auto"/>
        </w:rPr>
        <w:t>Summit Midstream Corporation (including its subsidiaries, collectively the “Company”) was incorporated under the laws of the State of Delaware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SMLP was formed in May 2012, and prior to August 1, 2024, SMLP’s common units were listed on the NYSE under the ticker symbol “SMLP.” Upon completion of the Tall Oak Acquisition (as defined herein) on December 2, 2024, ownership of SMLP shifted to an Up</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 tax structure, with the Company owning SMLP alongside holders of a noncontrolling limited partnership interest.</w:t>
      </w:r>
    </w:p>
    <w:p>
      <w:pPr>
        <w:spacing w:after="0" w:line="8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Company is a value-oriented company focused on developing, owning, and operating midstream energy infrastructure assets that are strategically located in the core producing areas of unconventional resource basins, primarily shale formations, in the continental U.S. The Company’s business activities are primarily conducted through various operating subsidiaries, each of which is owned or controlled by its subsidiary holding company, Summit Midstream Holdings, LLC, a Delaware limited liability company (“Summit Holdings”).</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Corporate Reorganization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connection with the Corporate Reorganization, SMLP entered into an Agreement and Plan of Merger (the “Merger Agreement”),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among SMLP, the Company, Summit SMC NewCo, LLC (“Merger Sub”), a wholly owned subsidiary of the Company, and Summit Midstream GP, LLC (the “General Partner”). Pursuant to the Merger Agreement, Merger Sub merged with and into SMLP (the “Merger”), with SMLP continuing as the surviving entity and a wholly owned subsidiary of the Company, with (i) each then outstanding common unit representing limited partner interests in SMLP automatically converting into the right to receive one share of the Company’s common stock and (ii) each then outstanding Series A Fixed to Floating Rate Cumulative Redeemable Perpetual Preferred Unit (“Series A Preferred Unit”) automatically converting into the right to receive one share of Series A Fixed-to-Floating Rate Cumulative Redeemable Perpetual Preferred Stock (“Series A Preferred Stock”) of the Company. The Merger was accounted for as a common-control transaction between SMLP and Summit Midstream Corporation as a result of SMLP’s unitholders controlling both SMLP and Summit Midstream Corporation before and after the Merger. Upon consummation of the Corporate Reorganization, Summit Midstream Corporation recognized (i) income tax expense in its consolidated statements of operations for temporary differences that existed as of the date of the Corporate Reorganization, (ii) a tax benefit to equity due to changes in tax basis in assets and liabilities and (iii) a net deferred tax liability in its consolidated balance sheet. Upon completion of the Merger, SMLP’s common limited partner capital accounts were eliminated and replaced with shares of common stock, paid in capital, and retained deficit. Additionally, the Series A Preferred Units were exchanged for an equivalent number of shares of Series A Preferred Stock, with no substantive changes in contractual terms or investor cash flows.</w:t>
      </w:r>
    </w:p>
    <w:p>
      <w:pPr>
        <w:spacing w:after="0" w:line="8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As a result of the Corporate Reorganization, periods prior to August 1, 2024 reflect Summit Midstream as a limited partnership, not a corporation. References to common units for periods prior to the Corporate Reorganization refer to common units of SMLP, and references to common stock for periods following the Corporate Reorganization refer to shares of common stock of the Company.</w:t>
      </w:r>
    </w:p>
    <w:p>
      <w:pPr>
        <w:spacing w:after="0" w:line="5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Business Operations. </w:t>
      </w:r>
      <w:r>
        <w:rPr>
          <w:rFonts w:ascii="Times New Roman" w:cs="Times New Roman" w:eastAsia="Times New Roman" w:hAnsi="Times New Roman"/>
          <w:sz w:val="17"/>
          <w:szCs w:val="17"/>
          <w:color w:val="auto"/>
        </w:rPr>
        <w:t>The Company provides natural gas gathering, compression, treating, and processing services as well as crude oil and produced water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spacing w:after="0" w:line="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Presentation and Consolidation. </w:t>
      </w:r>
      <w:r>
        <w:rPr>
          <w:rFonts w:ascii="Times New Roman" w:cs="Times New Roman" w:eastAsia="Times New Roman" w:hAnsi="Times New Roman"/>
          <w:sz w:val="17"/>
          <w:szCs w:val="17"/>
          <w:color w:val="auto"/>
        </w:rPr>
        <w:t>The Company prepares its consolidated financial statements in accordance with GAAP as established by the FASB.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 The consolidated financial statements include the assets, liabilities, and results of operations of Summit Midstream Corporation and its subsidiaries. All intercompany transactions among the consolidated entities have been eliminated in consolidation. Comprehensive income or loss is the same as net income or loss for all periods presented.</w:t>
      </w:r>
    </w:p>
    <w:p>
      <w:pPr>
        <w:spacing w:after="0" w:line="67" w:lineRule="exact"/>
        <w:rPr>
          <w:sz w:val="20"/>
          <w:szCs w:val="20"/>
          <w:color w:val="auto"/>
        </w:rPr>
      </w:pPr>
    </w:p>
    <w:p>
      <w:pPr>
        <w:ind w:right="360" w:firstLine="3"/>
        <w:spacing w:after="0" w:line="292" w:lineRule="auto"/>
        <w:tabs>
          <w:tab w:leader="none" w:pos="172"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AND RECENTLY ISSUED ACCOUNTING STANDARDS APPLICABLE TO THE COMPANY</w:t>
      </w:r>
    </w:p>
    <w:p>
      <w:pPr>
        <w:spacing w:after="0" w:line="38"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Cash, Cash Equivalents and Restricted Cash. </w:t>
      </w:r>
      <w:r>
        <w:rPr>
          <w:rFonts w:ascii="Times New Roman" w:cs="Times New Roman" w:eastAsia="Times New Roman" w:hAnsi="Times New Roman"/>
          <w:sz w:val="17"/>
          <w:szCs w:val="17"/>
          <w:color w:val="auto"/>
        </w:rPr>
        <w:t>The Company considers all highly liquid investments with an original maturity of three months or less to be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equivalents. Cash that has restrictions on its availability to the Company is classified as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93" w:name="page94"/>
    <w:bookmarkEnd w:id="93"/>
    <w:p>
      <w:pPr>
        <w:ind w:right="520"/>
        <w:spacing w:after="0" w:line="270" w:lineRule="auto"/>
        <w:rPr>
          <w:sz w:val="20"/>
          <w:szCs w:val="20"/>
          <w:color w:val="auto"/>
        </w:rPr>
      </w:pPr>
      <w:r>
        <w:rPr>
          <w:rFonts w:ascii="Times New Roman" w:cs="Times New Roman" w:eastAsia="Times New Roman" w:hAnsi="Times New Roman"/>
          <w:sz w:val="17"/>
          <w:szCs w:val="17"/>
          <w:color w:val="auto"/>
        </w:rPr>
        <w:t>restricted cash. The restricted cash balance of $10.4 million and $2.4 million as of December 31, 2025 and 2024, respectively, is related to proceeds that are available to finance Permian Transmission’s debt service or other general corporate purposes of Permian Transmission. See Note 9 - Debt for additional information.</w:t>
      </w:r>
    </w:p>
    <w:p>
      <w:pPr>
        <w:spacing w:after="0" w:line="56"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Accounts Receivable. </w:t>
      </w:r>
      <w:r>
        <w:rPr>
          <w:rFonts w:ascii="Times New Roman" w:cs="Times New Roman" w:eastAsia="Times New Roman" w:hAnsi="Times New Roman"/>
          <w:sz w:val="17"/>
          <w:szCs w:val="17"/>
          <w:color w:val="auto"/>
        </w:rPr>
        <w:t>Accounts receivable relate to gathering and other services provided to the Company’s customers and other counterparties.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evaluates the collectability of its accounts receivable and estimates the allowance for credit losses using its historical credit loss information adjusted for current conditions forecasts.</w:t>
      </w:r>
    </w:p>
    <w:p>
      <w:pPr>
        <w:spacing w:after="0" w:line="55"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Current Assets and Other Current Liabilities. </w:t>
      </w:r>
      <w:r>
        <w:rPr>
          <w:rFonts w:ascii="Times New Roman" w:cs="Times New Roman" w:eastAsia="Times New Roman" w:hAnsi="Times New Roman"/>
          <w:sz w:val="17"/>
          <w:szCs w:val="17"/>
          <w:color w:val="auto"/>
        </w:rPr>
        <w:t>As of December 31, 2024, other current assets and other current liabilities include a $9.8 million insurance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receivable and a corresponding liability, in connection with an insured claim that was fully settled during January 2025.</w:t>
      </w:r>
    </w:p>
    <w:p>
      <w:pPr>
        <w:spacing w:after="0" w:line="3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Property, Plant and Equipment. </w:t>
      </w:r>
      <w:r>
        <w:rPr>
          <w:rFonts w:ascii="Times New Roman" w:cs="Times New Roman" w:eastAsia="Times New Roman" w:hAnsi="Times New Roman"/>
          <w:sz w:val="17"/>
          <w:szCs w:val="17"/>
          <w:color w:val="auto"/>
        </w:rPr>
        <w:t>The Company records its property, plant and equipment at historical cost of construction or its fair value at the time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 The Company capitalizes expenditures that extend the useful life of an asset or enhance its productivity or efficiency from its original design over the expected remaining period of use. For maintenance and repairs that do not add capacity or extend the useful life of an asset, the Company recognizes expenditures as an expense as incurred. The Company capitalizes project costs incurred during construction, including interest on funds borrowed to finance the construction of facilities and pipelines, as construction in progress. Accrued capital expenditures are reflected in trade accounts payable.</w:t>
      </w:r>
    </w:p>
    <w:p>
      <w:pPr>
        <w:spacing w:after="0" w:line="6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records depreciation on a straight-line basis over an asset’s estimated useful life and bases its estimates for useful life on various factors including age (in the case of acquired assets), manufacturing specifications, technological advances and historical data concerning useful lives of similar assets. Estimates of useful lives follow.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Useful lives</w:t>
            </w:r>
          </w:p>
        </w:tc>
      </w:tr>
      <w:tr>
        <w:trPr>
          <w:trHeight w:val="227"/>
        </w:trPr>
        <w:tc>
          <w:tcPr>
            <w:tcW w:w="98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years)</w:t>
            </w:r>
          </w:p>
        </w:tc>
      </w:tr>
      <w:tr>
        <w:trPr>
          <w:trHeight w:val="25"/>
        </w:trPr>
        <w:tc>
          <w:tcPr>
            <w:tcW w:w="9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and processing systems and related equipment</w:t>
            </w:r>
          </w:p>
        </w:tc>
        <w:tc>
          <w:tcPr>
            <w:tcW w:w="142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12-30</w:t>
            </w:r>
          </w:p>
        </w:tc>
      </w:tr>
      <w:tr>
        <w:trPr>
          <w:trHeight w:val="23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3-15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Construction in progress is depreciated consistent with its applicable asset class once it is placed in service. Land and line fill are not depreciated.</w:t>
      </w:r>
    </w:p>
    <w:p>
      <w:pPr>
        <w:spacing w:after="0" w:line="11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bases an asset’s carrying value on estimates, assumptions and judgments for useful life and salvage value. Upon sale, retirement or other disposal, the Company removes the carrying value of an asset and its accumulated depreciation from its balance sheet and recognizes the related gain or loss, if any.</w:t>
      </w:r>
    </w:p>
    <w:p>
      <w:pPr>
        <w:spacing w:after="0" w:line="4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Asset Retirement Obligations. </w:t>
      </w:r>
      <w:r>
        <w:rPr>
          <w:rFonts w:ascii="Times New Roman" w:cs="Times New Roman" w:eastAsia="Times New Roman" w:hAnsi="Times New Roman"/>
          <w:sz w:val="17"/>
          <w:szCs w:val="17"/>
          <w:color w:val="auto"/>
        </w:rPr>
        <w:t>The Company records a liability for asset retirement obligations only if and when a future asset retirement obligation with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determinable life is identified. For identified asset retirement obligations, the Company evaluates whether the expected retirement date and related costs of retirement can be estimated. The Company has concluded that its gathering and processing assets have an indeterminate life because they are owned and will operate for an indeterminate period when properly maintained. Because the Company does not have sufficient information to reasonably estimate the amount or timing of such obligations, and does not have any current plan to discontinue use of any significant assets, the Company did not provide for any asset retirement obligations as of December 31, 2025 or 2024.</w:t>
      </w:r>
    </w:p>
    <w:p>
      <w:pPr>
        <w:spacing w:after="0" w:line="6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Amortizing Intangibles. </w:t>
      </w:r>
      <w:r>
        <w:rPr>
          <w:rFonts w:ascii="Times New Roman" w:cs="Times New Roman" w:eastAsia="Times New Roman" w:hAnsi="Times New Roman"/>
          <w:sz w:val="17"/>
          <w:szCs w:val="17"/>
          <w:color w:val="auto"/>
        </w:rPr>
        <w:t>The Company has certain acquired gas gathering contracts that had above-market pricing structures at the acquisition date and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amortizes these favorable contracts using a straight-line method over the contract’s estimated useful life. The Company defines useful life as the period over which the contract is expected to contribute to the Company’s future cash flows. These favorable contracts have original terms ranging from 10 years to 20 years and the Company recognizes the amortization expense associated with these contracts in Other revenues.</w:t>
      </w:r>
    </w:p>
    <w:p>
      <w:pPr>
        <w:spacing w:after="0" w:line="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Company amortizes all other gas gathering contracts, or contract intangibles, over the period of economic benefit based upon expected revenues over the life of the contract. The useful life of these contracts ranges from 3 years to 25 years. The Company recognizes the amortization expense associated with these contracts in Depreciation and amortization expense.</w:t>
      </w:r>
    </w:p>
    <w:p>
      <w:pPr>
        <w:spacing w:after="0" w:line="6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The Company also has rights-of-way associated with municipal easements and easements granted within existing rights-of-way. The Company amortizes these intangible assets over the shorter of the contractual term of the rights-of-way or the estimated useful life of the gathering system. The contractual terms of the rights-of-way range from 20 years to 30 years and the Company recognizes the amortization expense associated with these rights-of-way assets in Depreciation and amortization expense.</w:t>
      </w:r>
    </w:p>
    <w:p>
      <w:pPr>
        <w:spacing w:after="0" w:line="62"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Equity Method Investment. </w:t>
      </w:r>
      <w:r>
        <w:rPr>
          <w:rFonts w:ascii="Times New Roman" w:cs="Times New Roman" w:eastAsia="Times New Roman" w:hAnsi="Times New Roman"/>
          <w:sz w:val="17"/>
          <w:szCs w:val="17"/>
          <w:color w:val="auto"/>
        </w:rPr>
        <w:t>The Company accounts for its investment in which it exercises significant influence using the equity method so long as it (i) does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control the investee and (ii) is not the primary beneficiary. The Company reflects this investment in its consolidated balance sheets under the caption titled “investment in equity method investees.”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4" w:name="page95"/>
    <w:bookmarkEnd w:id="94"/>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 recognizes an other-than-temporary impairment for losses in the value of equity method investees when evidence indicates that the carrying amount is no longer supportable. Evidence of a loss in value might include, but is not limited to, absence of an ability to recover the carrying amount of the investment or an inability of the equity method investee to sustain an earnings capacity that would justify the carrying amount of the investment. A current fair value of an investment that is less than its carrying amount may indicate a loss in value of the investment. The Company evaluates its equity method investments for impairment whenever a triggering event exists that would indicate a need to assess the investment for potential impairment.</w:t>
      </w:r>
    </w:p>
    <w:p>
      <w:pPr>
        <w:spacing w:after="0" w:line="6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Long-Lived Assets. </w:t>
      </w:r>
      <w:r>
        <w:rPr>
          <w:rFonts w:ascii="Times New Roman" w:cs="Times New Roman" w:eastAsia="Times New Roman" w:hAnsi="Times New Roman"/>
          <w:sz w:val="17"/>
          <w:szCs w:val="17"/>
          <w:color w:val="auto"/>
        </w:rPr>
        <w:t>The Company tests assets for impairment when events or circumstances indicate the carrying value of a long-lived asset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be recoverable. The carrying value of a long-lived asset is not recoverable if it exceeds the sum of the undiscounted cash flows expected to result from its use and eventual disposition. If the Company concludes that an asset’s carrying value will not be recovered through future cash flows, the Company recognizes an impairment loss on the long-lived asset equal to the amount by which the carrying value exceeds its fair value. The Company determines fair value using a combination of market-based and income-based approaches.</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Environmental Matters. </w:t>
      </w:r>
      <w:r>
        <w:rPr>
          <w:rFonts w:ascii="Times New Roman" w:cs="Times New Roman" w:eastAsia="Times New Roman" w:hAnsi="Times New Roman"/>
          <w:sz w:val="17"/>
          <w:szCs w:val="17"/>
          <w:color w:val="auto"/>
        </w:rPr>
        <w:t>The Company is subject to various federal, state, and local laws and regulations relating to the protection of the environment. Liabilities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loss contingencies, including environmental remediation costs, arising from claims, assessments, litigation, fines and penalties and other sources are charged to expense when it is probable that a liability has been incurred and the amount of the assessment and/or remediation can be reasonably estimated. The Company accrues for losses associated with environmental remediation obligations when such losses are probable and reasonably estimable. Such accruals are adjusted as further information develops or circumstances change. Recoveries of environmental remediation costs from other parties or insurers are recorded as assets when their realization is assured beyond a reasonable doubt.</w:t>
      </w:r>
    </w:p>
    <w:p>
      <w:pPr>
        <w:spacing w:after="0" w:line="65"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Commitments and Contingencies. </w:t>
      </w:r>
      <w:r>
        <w:rPr>
          <w:rFonts w:ascii="Times New Roman" w:cs="Times New Roman" w:eastAsia="Times New Roman" w:hAnsi="Times New Roman"/>
          <w:sz w:val="17"/>
          <w:szCs w:val="17"/>
          <w:color w:val="auto"/>
        </w:rPr>
        <w:t>When required, the Company records accruals for loss contingencies in accordance with FASB ASC 450,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determinations are subject to interpretations of current facts and circumstances, forecasts of future events and estimates of the financial impacts of such events.</w:t>
      </w:r>
    </w:p>
    <w:p>
      <w:pPr>
        <w:spacing w:after="0" w:line="37"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Mezzanine Equity. </w:t>
      </w:r>
      <w:r>
        <w:rPr>
          <w:rFonts w:ascii="Times New Roman" w:cs="Times New Roman" w:eastAsia="Times New Roman" w:hAnsi="Times New Roman"/>
          <w:sz w:val="17"/>
          <w:szCs w:val="17"/>
          <w:color w:val="auto"/>
        </w:rPr>
        <w:t>A noncontrolling interest is reported as a component of equity unless the noncontrolling interest is considered redeemable, in which case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noncontrolling interest is recorded between liabilities and equity (mezzanine or temporary equity) in the Company’s consolidated balance sheet.</w:t>
      </w:r>
    </w:p>
    <w:p>
      <w:pPr>
        <w:spacing w:after="0" w:line="3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Noncontrolling Interest. </w:t>
      </w:r>
      <w:r>
        <w:rPr>
          <w:rFonts w:ascii="Times New Roman" w:cs="Times New Roman" w:eastAsia="Times New Roman" w:hAnsi="Times New Roman"/>
          <w:sz w:val="17"/>
          <w:szCs w:val="17"/>
          <w:color w:val="auto"/>
        </w:rPr>
        <w:t>Noncontrolling interests represent the portion of net assets in the Company’s consolidated subsidiaries that are not wholly owned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The Company’s noncontrolling interest is recorded at carrying value and is reported as a component of equity on the consolidated balance sheets. The Company’s noncontrolling interest was established in December 2024 in connection with the Tall Oak Acquisition, as a result of the Company owning SMLP alongside the former owners of Tall Oak. See Note 3 - Acquisitions and Divestitures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noncontrolling interest on the Company’s balance sheet reflects a 34.7% noncontrolling interest in SMLP.</w:t>
      </w:r>
    </w:p>
    <w:p>
      <w:pPr>
        <w:spacing w:after="0" w:line="108"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w:t>
      </w:r>
      <w:r>
        <w:rPr>
          <w:rFonts w:ascii="Times New Roman" w:cs="Times New Roman" w:eastAsia="Times New Roman" w:hAnsi="Times New Roman"/>
          <w:sz w:val="17"/>
          <w:szCs w:val="17"/>
          <w:color w:val="auto"/>
        </w:rPr>
        <w:t>The Company provides gathering and/or processing services principally under contracts that contain one or more of the following arrangements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described below:</w:t>
      </w:r>
    </w:p>
    <w:p>
      <w:pPr>
        <w:spacing w:after="0" w:line="37" w:lineRule="exact"/>
        <w:rPr>
          <w:sz w:val="20"/>
          <w:szCs w:val="20"/>
          <w:color w:val="auto"/>
        </w:rPr>
      </w:pPr>
    </w:p>
    <w:p>
      <w:pPr>
        <w:jc w:val="both"/>
        <w:ind w:left="940" w:hanging="318"/>
        <w:spacing w:after="0" w:line="294" w:lineRule="auto"/>
        <w:tabs>
          <w:tab w:leader="none" w:pos="9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Fee-based arrangements. </w:t>
      </w:r>
      <w:r>
        <w:rPr>
          <w:rFonts w:ascii="Times New Roman" w:cs="Times New Roman" w:eastAsia="Times New Roman" w:hAnsi="Times New Roman"/>
          <w:sz w:val="17"/>
          <w:szCs w:val="17"/>
          <w:color w:val="auto"/>
        </w:rPr>
        <w:t>Under fee-based arrangements, the Company receives a fee or fees for one or more of the following services (i) natural gas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gathering, treating, transporting, compressing, and/or processing, (ii) crude oil and/or produced water gathering and (iii) fresh water delivery services.</w:t>
      </w:r>
    </w:p>
    <w:p>
      <w:pPr>
        <w:spacing w:after="0" w:line="36" w:lineRule="exact"/>
        <w:rPr>
          <w:rFonts w:ascii="Times New Roman" w:cs="Times New Roman" w:eastAsia="Times New Roman" w:hAnsi="Times New Roman"/>
          <w:sz w:val="17"/>
          <w:szCs w:val="17"/>
          <w:color w:val="auto"/>
        </w:rPr>
      </w:pPr>
    </w:p>
    <w:p>
      <w:pPr>
        <w:ind w:left="940" w:right="20" w:hanging="318"/>
        <w:spacing w:after="0" w:line="261" w:lineRule="auto"/>
        <w:tabs>
          <w:tab w:leader="none" w:pos="9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Percent-of-proceeds arrangements. </w:t>
      </w:r>
      <w:r>
        <w:rPr>
          <w:rFonts w:ascii="Times New Roman" w:cs="Times New Roman" w:eastAsia="Times New Roman" w:hAnsi="Times New Roman"/>
          <w:sz w:val="17"/>
          <w:szCs w:val="17"/>
          <w:color w:val="auto"/>
        </w:rPr>
        <w:t>Under percent-of-proceeds arrangements, the Company generally purchases natural gas from producers at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wellhead, or other receipt points, gathers the wellhead natural gas through its gathering system, treats and compresses the natural gas, processes the natural gas and/or sells the natural gas to a third party for processing. The Company then remits to its producers an agreed-upon percentage of the actual proceeds received from sales of the residue natural gas and NGLs. Certain of these arrangements may also result in returning all or a portion of the residue natural gas and/or the NGLs to the producer, in lieu of returning sales proceeds. The margins earned are directly related to the volume of natural gas that flows through the system and the price at which the Company is able to sell the residue natural gas and NGLs.</w:t>
      </w:r>
    </w:p>
    <w:p>
      <w:pPr>
        <w:spacing w:after="0" w:line="7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majority of the Company’s contracts have a single performance obligation which is either to provide gathering services (an integrated service) or sell natural gas, NGLs and condensate, which are both satisfied when the related natural gas, crude oil and produced water are received and transferred to an agreed upon delivery point. The Company also has certain contracts with multiple performance obligations. They include an option for the customer to acquire additional services such as contracts containing minimum volume commitment (“MVCs”). These performance obligations would also be satisfied when the related natural gas, crude oil and produced water are received and transferred to an agreed upon delivery point. In these instances, the Company allocates the contract’s transaction price to each performance obligation using its best estimate of the standalone selling price of each service in the contract.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5" w:name="page96"/>
    <w:bookmarkEnd w:id="95"/>
    <w:p>
      <w:pPr>
        <w:ind w:right="420"/>
        <w:spacing w:after="0" w:line="287" w:lineRule="auto"/>
        <w:rPr>
          <w:sz w:val="20"/>
          <w:szCs w:val="20"/>
          <w:color w:val="auto"/>
        </w:rPr>
      </w:pPr>
      <w:r>
        <w:rPr>
          <w:rFonts w:ascii="Times New Roman" w:cs="Times New Roman" w:eastAsia="Times New Roman" w:hAnsi="Times New Roman"/>
          <w:sz w:val="17"/>
          <w:szCs w:val="17"/>
          <w:color w:val="auto"/>
        </w:rPr>
        <w:t>Performance obligations for gathering services are generally satisfied over time. The Company utilizes either an output method (i.e., measure of progress) for guaranteed, stand-ready service contracts or an asset/system delivery time estimate for non-guaranteed, as-available service contracts.</w:t>
      </w:r>
    </w:p>
    <w:p>
      <w:pPr>
        <w:spacing w:after="0" w:line="4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48"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Services are typically billed on a monthly basis and the Company does not offer extended payment terms. The Company does not have contracts with financing components.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contracts described above, the Company reflects its revenues in the financial statement captions described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60" w:type="dxa"/>
            <w:vAlign w:val="bottom"/>
            <w:gridSpan w:val="2"/>
          </w:tcPr>
          <w:p>
            <w:pPr>
              <w:ind w:left="1740"/>
              <w:spacing w:after="0"/>
              <w:rPr>
                <w:sz w:val="20"/>
                <w:szCs w:val="20"/>
                <w:color w:val="auto"/>
              </w:rPr>
            </w:pPr>
            <w:r>
              <w:rPr>
                <w:rFonts w:ascii="Times New Roman" w:cs="Times New Roman" w:eastAsia="Times New Roman" w:hAnsi="Times New Roman"/>
                <w:sz w:val="17"/>
                <w:szCs w:val="17"/>
                <w:b w:val="1"/>
                <w:bCs w:val="1"/>
                <w:color w:val="auto"/>
              </w:rPr>
              <w:t>Financial statement caption:</w:t>
            </w:r>
          </w:p>
        </w:tc>
        <w:tc>
          <w:tcPr>
            <w:tcW w:w="620" w:type="dxa"/>
            <w:vAlign w:val="bottom"/>
          </w:tcPr>
          <w:p>
            <w:pPr>
              <w:spacing w:after="0"/>
              <w:rPr>
                <w:sz w:val="19"/>
                <w:szCs w:val="19"/>
                <w:color w:val="auto"/>
              </w:rPr>
            </w:pPr>
          </w:p>
        </w:tc>
        <w:tc>
          <w:tcPr>
            <w:tcW w:w="4960" w:type="dxa"/>
            <w:vAlign w:val="bottom"/>
          </w:tcPr>
          <w:p>
            <w:pPr>
              <w:ind w:left="1400"/>
              <w:spacing w:after="0"/>
              <w:rPr>
                <w:sz w:val="20"/>
                <w:szCs w:val="20"/>
                <w:color w:val="auto"/>
              </w:rPr>
            </w:pPr>
            <w:r>
              <w:rPr>
                <w:rFonts w:ascii="Times New Roman" w:cs="Times New Roman" w:eastAsia="Times New Roman" w:hAnsi="Times New Roman"/>
                <w:sz w:val="17"/>
                <w:szCs w:val="17"/>
                <w:b w:val="1"/>
                <w:bCs w:val="1"/>
                <w:color w:val="auto"/>
              </w:rPr>
              <w:t>Revenue description:</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1"/>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Revenue earned from fee-based gathering, compression, treating, and</w:t>
            </w:r>
          </w:p>
        </w:tc>
      </w:tr>
      <w:tr>
        <w:trPr>
          <w:trHeight w:val="223"/>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processing services;</w:t>
            </w:r>
          </w:p>
        </w:tc>
      </w:tr>
      <w:tr>
        <w:trPr>
          <w:trHeight w:val="25"/>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NGLs and condensate sales</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Revenue from the sale of physical natural gas and NGLs (including</w:t>
            </w:r>
          </w:p>
        </w:tc>
      </w:tr>
      <w:tr>
        <w:trPr>
          <w:trHeight w:val="206"/>
        </w:trPr>
        <w:tc>
          <w:tcPr>
            <w:tcW w:w="5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percent-of-proceeds arrangements; costs are presented within cost of</w:t>
            </w:r>
          </w:p>
        </w:tc>
      </w:tr>
      <w:tr>
        <w:trPr>
          <w:trHeight w:val="206"/>
        </w:trPr>
        <w:tc>
          <w:tcPr>
            <w:tcW w:w="5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natural gas and NGLs);</w:t>
            </w:r>
          </w:p>
        </w:tc>
      </w:tr>
      <w:tr>
        <w:trPr>
          <w:trHeight w:val="206"/>
        </w:trPr>
        <w:tc>
          <w:tcPr>
            <w:tcW w:w="5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Revenue from sale of condensate and NGLs retained from gathering</w:t>
            </w:r>
          </w:p>
        </w:tc>
      </w:tr>
      <w:tr>
        <w:trPr>
          <w:trHeight w:val="228"/>
        </w:trPr>
        <w:tc>
          <w:tcPr>
            <w:tcW w:w="5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services;</w:t>
            </w: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Reimbursements to the Company for costs incurred on customer’s</w:t>
            </w:r>
          </w:p>
        </w:tc>
      </w:tr>
      <w:tr>
        <w:trPr>
          <w:trHeight w:val="20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behalf (Recorded on a gross basis with corresponding costs included</w:t>
            </w:r>
          </w:p>
        </w:tc>
      </w:tr>
      <w:tr>
        <w:trPr>
          <w:trHeight w:val="20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operations and maintenance expense);</w:t>
            </w:r>
          </w:p>
        </w:tc>
      </w:tr>
      <w:tr>
        <w:trPr>
          <w:trHeight w:val="20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Revenue for freshwater deliveries;</w:t>
            </w:r>
          </w:p>
        </w:tc>
      </w:tr>
      <w:tr>
        <w:trPr>
          <w:trHeight w:val="20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 revenue;</w:t>
            </w:r>
          </w:p>
        </w:tc>
      </w:tr>
      <w:tr>
        <w:trPr>
          <w:trHeight w:val="20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amortization; and</w:t>
            </w:r>
          </w:p>
        </w:tc>
      </w:tr>
      <w:tr>
        <w:trPr>
          <w:trHeight w:val="20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Revenue for management fees related to Double E</w:t>
            </w:r>
          </w:p>
        </w:tc>
      </w:tr>
      <w:tr>
        <w:trPr>
          <w:trHeight w:val="223"/>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defined herein).</w:t>
            </w:r>
          </w:p>
        </w:tc>
      </w:tr>
    </w:tbl>
    <w:p>
      <w:pPr>
        <w:spacing w:after="0" w:line="20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Certain of the Company’s gathering and/or processing agreements provide for monthly MVCs. Under these MVCs, customers agree to ship and/or process a minimum volume of production on the Company’s gathering systems or to pay a minimum monetary amount over certain periods during the term of the MVC. A customer must make a shortfall payment to the Company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7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Many of the Company’s gas gathering agreements contain provisions that can reduce or delay the cash flows that it expects to receive from MVCs to the extent that a customer’s actual throughput volumes are above or below its MVC for the applicable contracted measurement period. These provisions include the following:</w:t>
      </w:r>
    </w:p>
    <w:p>
      <w:pPr>
        <w:spacing w:after="0" w:line="62" w:lineRule="exact"/>
        <w:rPr>
          <w:sz w:val="20"/>
          <w:szCs w:val="20"/>
          <w:color w:val="auto"/>
        </w:rPr>
      </w:pPr>
    </w:p>
    <w:p>
      <w:pPr>
        <w:ind w:left="1240" w:hanging="618"/>
        <w:spacing w:after="0" w:line="261"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 customer’s throughput volumes are less than its MVC for the applicable period and the customer makes a shortfall payment, it may be entitled to an offset in one or more subsequent periods to the extent that its throughput volumes in subsequent periods exceed its MVC for those periods. In such a situation, the Company would not receive gathering fees on throughput in excess of that customer’s MVC (depending on the terms of the specific gas gathering agreement) to the extent that the customer had made a shortfall payment with respect to one or more preceding measurement periods (as applicable).</w:t>
      </w:r>
    </w:p>
    <w:p>
      <w:pPr>
        <w:spacing w:after="0" w:line="71" w:lineRule="exact"/>
        <w:rPr>
          <w:rFonts w:ascii="Times New Roman" w:cs="Times New Roman" w:eastAsia="Times New Roman" w:hAnsi="Times New Roman"/>
          <w:sz w:val="17"/>
          <w:szCs w:val="17"/>
          <w:color w:val="auto"/>
        </w:rPr>
      </w:pPr>
    </w:p>
    <w:p>
      <w:pPr>
        <w:ind w:left="1240" w:right="60" w:hanging="618"/>
        <w:spacing w:after="0" w:line="264"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 customer’s throughput volumes exceed its MVC in the applicable contracted measurement period, it may be entitled to apply the excess throughput against its aggregate MVC, thereby reducing the period for which its annual MVC applies. As a result of this mechanism, the weighted-average remaining period for which the Company’s MVCs apply will be less than the weighted-average of the originally stated MVC contractual terms.</w:t>
      </w:r>
    </w:p>
    <w:p>
      <w:pPr>
        <w:spacing w:after="0" w:line="68" w:lineRule="exact"/>
        <w:rPr>
          <w:rFonts w:ascii="Times New Roman" w:cs="Times New Roman" w:eastAsia="Times New Roman" w:hAnsi="Times New Roman"/>
          <w:sz w:val="17"/>
          <w:szCs w:val="17"/>
          <w:color w:val="auto"/>
        </w:rPr>
      </w:pPr>
    </w:p>
    <w:p>
      <w:pPr>
        <w:ind w:left="1240" w:right="280" w:hanging="618"/>
        <w:spacing w:after="0" w:line="270"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certain of the Company’s customers’ throughput volumes exceed its MVC for the applicable period, there is a crediting mechanism that allows the customer to build a bank of credits that it can utilize in the future to reduce shortfall payments owed in subsequent periods, subject to expiration if there 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6" w:name="page97"/>
    <w:bookmarkEnd w:id="96"/>
    <w:p>
      <w:pPr>
        <w:ind w:left="1240" w:right="220"/>
        <w:spacing w:after="0" w:line="287" w:lineRule="auto"/>
        <w:rPr>
          <w:sz w:val="20"/>
          <w:szCs w:val="20"/>
          <w:color w:val="auto"/>
        </w:rPr>
      </w:pPr>
      <w:r>
        <w:rPr>
          <w:rFonts w:ascii="Times New Roman" w:cs="Times New Roman" w:eastAsia="Times New Roman" w:hAnsi="Times New Roman"/>
          <w:sz w:val="17"/>
          <w:szCs w:val="17"/>
          <w:color w:val="auto"/>
        </w:rPr>
        <w:t>no shortfall in subsequent periods. The period over which this credit bank can be applied to future shortfall payments varies, depending on the particular gas gathering agreement.</w:t>
      </w:r>
    </w:p>
    <w:p>
      <w:pPr>
        <w:spacing w:after="0" w:line="4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The Company recognizes customer obligations under their MVCs as revenue when (i) it considers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 In making this determination, the Company considers both quantitative and qualitative facts and circumstances, including, but not limited to, contract terms, capacity of the associated pipeline or receipt point and/or expectations regarding future investment, drilling, and production.</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majority of the Company’s revenue is derived from long-term, fee-based contracts with its customers, which include original terms of up to 25 years. The Company also earns revenue in the Rockies, Piceance, and Mid-Con reporting segments from the sale of physical natural gas purchased from certain producers under percent-of-proceeds arrangements which are reported in Natural gas, NGLs and condensate sales. Consideration received from our producers for gathering services under percentage of proceeds arrangements is recognized as a reduction to cost of gas purchased and is presented net within cost of natural gas and NGLs. The Company also sells condensate and NGLs retained from certain of its gathering services in the Piceance, Rockies, and Mid-Con reporting segments. Revenues from the sale of condensate are recognized in Natural gas, NGLs and condensate sales. Certain customers reimburse the Company for costs incurred on their behalf. The Company records costs incurred and reimbursed by its customers on a gross basis, with the revenue component recognized in Other revenues and the associated expense included in operations and maintenance expense.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transaction price in the Company’s contracts is primarily based on the volume of natural gas, crude oil or produced water transferred by its gathering systems to the customer’s agreed upon delivery point multiplied by the contractual rate. For contracts that include MVCs, variable consideration up to the MVC will be included in the transaction price. For contracts that do not include MVCs, the Company does not estimate variable consideration because the performance obligations are completed on a daily basis. For contracts containing noncash consideration such as fuel received in-kind, the Company measures the transaction price at the point of sale when the volume, mix and market price of the commodities are known.</w:t>
      </w:r>
    </w:p>
    <w:p>
      <w:pPr>
        <w:spacing w:after="0" w:line="7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The Company has contracts with MVCs that are variable and constrained. Contracts with longer than monthly MVCs are reviewed on a quarterly basis and adjustments to those estimates are made during each respective reporting period, if necessary.</w:t>
      </w:r>
    </w:p>
    <w:p>
      <w:pPr>
        <w:spacing w:after="0" w:line="4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42"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Share-Based Compensation. </w:t>
      </w:r>
      <w:r>
        <w:rPr>
          <w:rFonts w:ascii="Times New Roman" w:cs="Times New Roman" w:eastAsia="Times New Roman" w:hAnsi="Times New Roman"/>
          <w:sz w:val="17"/>
          <w:szCs w:val="17"/>
          <w:color w:val="auto"/>
        </w:rPr>
        <w:t>For awards of share-based compensation, the Company determines a grant date fair value and recognizes the related compensation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expense in the statements of operations over the vesting period for each respective award.</w:t>
      </w:r>
    </w:p>
    <w:p>
      <w:pPr>
        <w:spacing w:after="0" w:line="3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Prior to the consummation of the Corporate Reorganization on August 1, 2024, SMLP was treated as a partnership for federal and state income tax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purposes, in which the taxable income or loss generally was passed through to its unitholders. SMLP was also subject to the Texas margin tax. Therefore, for periods prior to the Corporate Reorganization, with the exception of the state of Texas, SMLP did not directly pay federal and state income taxes and no entity-level income tax provision was recognized, other than for the effect of the Texas margin tax.</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 xml:space="preserve">Effective with the Corporate Reorganization, the Company became subject to federal and state income taxes as a C-corporation. As such, it accounts for income taxes, as required, under ASC 740, </w:t>
      </w:r>
      <w:r>
        <w:rPr>
          <w:rFonts w:ascii="Times New Roman" w:cs="Times New Roman" w:eastAsia="Times New Roman" w:hAnsi="Times New Roman"/>
          <w:sz w:val="17"/>
          <w:szCs w:val="17"/>
          <w:i w:val="1"/>
          <w:iCs w:val="1"/>
          <w:color w:val="auto"/>
        </w:rPr>
        <w:t>Accounting for Income Taxes (“ASC 740”)</w:t>
      </w:r>
      <w:r>
        <w:rPr>
          <w:rFonts w:ascii="Times New Roman" w:cs="Times New Roman" w:eastAsia="Times New Roman" w:hAnsi="Times New Roman"/>
          <w:sz w:val="17"/>
          <w:szCs w:val="17"/>
          <w:color w:val="auto"/>
        </w:rPr>
        <w:t>. Deferred tax assets and liabilities are recognized for future tax consequences attributable to differences between the financial statement carrying amounts of existing assets and liabilities and their respective tax bases and net operating loss and tax credit carry-forwards. Deferred tax assets and liabilities are measured using enacted tax rates applied to taxable income in the relevant years in which those temporary differences are expected to be recovered or settled. The effect of a change in tax rates on deferred tax assets and liabilities is recognized in net income or loss in the period that includes the enactment date. Deferred tax assets are reduced by a valuation allowance when, in the opinion of management, it is more likely than not that some portion or all of the deferred tax assets will not be realized.</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 records income tax balances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For tax positions which do not meet the more-likely-than-not threshold, the Company records uncertain tax positions in accordance with ASC 740.</w:t>
      </w:r>
    </w:p>
    <w:p>
      <w:pPr>
        <w:spacing w:after="0" w:line="6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Rate Swaps. </w:t>
      </w:r>
      <w:r>
        <w:rPr>
          <w:rFonts w:ascii="Times New Roman" w:cs="Times New Roman" w:eastAsia="Times New Roman" w:hAnsi="Times New Roman"/>
          <w:sz w:val="17"/>
          <w:szCs w:val="17"/>
          <w:color w:val="auto"/>
        </w:rPr>
        <w:t>Interest rate swap agreements are reported as either assets or liabilities on the consolidated balance sheet at fair value. Interest rate swap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agreements are not designated as cash-flow hedges, and accordingly, changes in fair value are recorded in earnings. The Company does not use interest rate swap agreements for speculative purposes.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7" w:name="page98"/>
    <w:bookmarkEnd w:id="97"/>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Implemented. </w:t>
      </w:r>
      <w:r>
        <w:rPr>
          <w:rFonts w:ascii="Times New Roman" w:cs="Times New Roman" w:eastAsia="Times New Roman" w:hAnsi="Times New Roman"/>
          <w:sz w:val="17"/>
          <w:szCs w:val="17"/>
          <w:color w:val="auto"/>
        </w:rPr>
        <w:t>ASU 2023-09, Income Taxes (Topic 740): Improvements to Income Tax Disclosures (“ASU 2023-09”). ASU 2023-09 requires additional transparency for income tax disclosures, including the income tax rate reconciliation table and cash taxes paid both in the U.S. and foreign jurisdictions. This standard is effective for annual periods beginning after December 15, 2024. The Company adopted ASU 2023-9 prospectively on this annual report as of and for the year ended December 31,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Standards Not Yet Implemented in this Annual Report.</w:t>
      </w:r>
    </w:p>
    <w:p>
      <w:pPr>
        <w:spacing w:after="0" w:line="1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ASU 2024-03, Income Statement - Reporting Comprehensive Income - Expense Disaggregation 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its disclosures.</w:t>
      </w:r>
    </w:p>
    <w:p>
      <w:pPr>
        <w:spacing w:after="0" w:line="7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ASU 2025-11, Interim Reporting (“ASU 2025-11”)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assessing the impact this standard will have on its consolidated financial statements and disclosures.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ACQUISITIONS AND DIVESTITURES</w:t>
      </w:r>
    </w:p>
    <w:p>
      <w:pPr>
        <w:spacing w:after="0" w:line="11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Moonrise Acquisition. </w:t>
      </w:r>
      <w:r>
        <w:rPr>
          <w:rFonts w:ascii="Times New Roman" w:cs="Times New Roman" w:eastAsia="Times New Roman" w:hAnsi="Times New Roman"/>
          <w:sz w:val="17"/>
          <w:szCs w:val="17"/>
          <w:color w:val="auto"/>
        </w:rPr>
        <w:t>On March 10, 2025, the Company completed the transaction contemplated in the Membership Interest Purchase Agreement, dated as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(“Moonrise”), to Summit Holdings in exchange for total consideration equal to approximately $90.0 million (the “Moonrise Acquisition”). Total consideration consisted of (i) a $70.0 million cash payment and (ii) the issuance of 462,265 shares of common stock of the Company.</w:t>
      </w:r>
    </w:p>
    <w:p>
      <w:pPr>
        <w:spacing w:after="0" w:line="7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fair values of certain assets and liabilities, including property, plant and equipment, and other intangible assets required the use of significant judgments and estimates.</w:t>
      </w:r>
    </w:p>
    <w:p>
      <w:pPr>
        <w:spacing w:after="0" w:line="4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The following table sets forth the preliminary fair value of the assets acquired and liabilities assumed as of the acquisition date. Certain data and assessments necessary to complete the purchase price allocation are still under evaluation, including, but not limited to,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Moonrise Purchase Price Allocation (in thousands):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99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 xml:space="preserve">Total consideration paid for Moonrise </w:t>
            </w:r>
            <w:r>
              <w:rPr>
                <w:rFonts w:ascii="Times New Roman" w:cs="Times New Roman" w:eastAsia="Times New Roman" w:hAnsi="Times New Roman"/>
                <w:sz w:val="22"/>
                <w:szCs w:val="22"/>
                <w:b w:val="1"/>
                <w:bCs w:val="1"/>
                <w:color w:val="auto"/>
                <w:vertAlign w:val="superscript"/>
              </w:rPr>
              <w:t>(1)</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89,771</w:t>
            </w: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Recognized amounts of identifiable assets acquired and liabilities assumed:</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19"/>
        </w:trPr>
        <w:tc>
          <w:tcPr>
            <w:tcW w:w="9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w:t>
            </w: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19"/>
        </w:trPr>
        <w:tc>
          <w:tcPr>
            <w:tcW w:w="9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74,124</w:t>
            </w: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13,114</w:t>
            </w:r>
          </w:p>
        </w:tc>
      </w:tr>
      <w:tr>
        <w:trPr>
          <w:trHeight w:val="219"/>
        </w:trPr>
        <w:tc>
          <w:tcPr>
            <w:tcW w:w="9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accounts payable, accrued expenses and other</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r>
      <w:tr>
        <w:trPr>
          <w:trHeight w:val="216"/>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assets acquired and liabilities assumed</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89,771</w:t>
            </w:r>
          </w:p>
        </w:tc>
      </w:tr>
    </w:tbl>
    <w:p>
      <w:pPr>
        <w:spacing w:after="0" w:line="169" w:lineRule="exact"/>
        <w:rPr>
          <w:sz w:val="20"/>
          <w:szCs w:val="20"/>
          <w:color w:val="auto"/>
        </w:rPr>
      </w:pPr>
    </w:p>
    <w:p>
      <w:pPr>
        <w:ind w:left="120" w:hanging="117"/>
        <w:spacing w:after="0"/>
        <w:tabs>
          <w:tab w:leader="none" w:pos="120" w:val="left"/>
        </w:tabs>
        <w:numPr>
          <w:ilvl w:val="0"/>
          <w:numId w:val="6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Purchase price consideration includes $17.9 million of equity consideration (462,265 shares valued at $38.71 per share on March 10, 2025) as well as $1.9 million of cash acquired.</w:t>
      </w:r>
    </w:p>
    <w:p>
      <w:pPr>
        <w:spacing w:after="0" w:line="101"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7"/>
          <w:szCs w:val="17"/>
          <w:color w:val="auto"/>
        </w:rPr>
        <w:t>The assets acquired and liabilities assumed were recorded at their preliminary estimated fair values at the date of the acquisition. Acquired working capital amounts are expected to approximate fair value due to their short-term nature. The valuation of certain assets, including property, are based on preliminary appraisals. The fair value of acquired equipment 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8" w:name="page99"/>
    <w:bookmarkEnd w:id="98"/>
    <w:p>
      <w:pPr>
        <w:ind w:right="100"/>
        <w:spacing w:after="0" w:line="270" w:lineRule="auto"/>
        <w:rPr>
          <w:sz w:val="20"/>
          <w:szCs w:val="20"/>
          <w:color w:val="auto"/>
        </w:rPr>
      </w:pPr>
      <w:r>
        <w:rPr>
          <w:rFonts w:ascii="Times New Roman" w:cs="Times New Roman" w:eastAsia="Times New Roman" w:hAnsi="Times New Roman"/>
          <w:sz w:val="17"/>
          <w:szCs w:val="17"/>
          <w:color w:val="auto"/>
        </w:rPr>
        <w:t>based on both available market data and cost and income approaches. These methods are considered Level 3 fair value estimates and include significant assumptions of future gathering and processing volumes, commodity prices, and operating and capital cost estimates, discounted using a weighted average cost of capital.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acquired consist of rights-of-way with a weighted average amortization period of approximately 30 years.</w:t>
      </w:r>
    </w:p>
    <w:p>
      <w:pPr>
        <w:spacing w:after="0" w:line="11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Subsequent to the Moonrise Acquisition, during the second quarter of 2025, the Company integrated the Moonrise assets within its Niobrara G&amp;P system. As a result of the integration, it is impracticable to disclose the amounts of revenues and earnings that the Moonrise Acquisition contributed to the Company’s consolidated statements of operations during the reporting period.</w:t>
      </w:r>
    </w:p>
    <w:p>
      <w:pPr>
        <w:spacing w:after="0" w:line="5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Tall Oak Business Contribution Agreement. </w:t>
      </w:r>
      <w:r>
        <w:rPr>
          <w:rFonts w:ascii="Times New Roman" w:cs="Times New Roman" w:eastAsia="Times New Roman" w:hAnsi="Times New Roman"/>
          <w:sz w:val="17"/>
          <w:szCs w:val="17"/>
          <w:color w:val="auto"/>
        </w:rPr>
        <w:t>On December 2, 2024, the Company completed the transaction contemplated in the Business Contribution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(the “Tall Oak Business Contribution Agreement”), by and among the Company, SMLP, and Tall Oak Midstream Holdings, LLC, a Delaware limited liability company (“Tall Oak Parent”), pursuant to which Tall Oak Parent contributed all of its equity interests in Tall Oak Midstream Operating, LLC, a Delaware limited liability company (“Tall Oak”), to the Company in exchange for an aggregate amount equal to (i) $425.0 million, consisting of (a) $155.0 million in cash consideration, subject to certain adjustments contemplated by the Tall Oak Business Contribution Agreement, and (b) 7,471,008 shares of Class B Common Stock and 7,471,008 Partnership Common Units, plus (ii) potential cumulative earn-out payments continuing through March 31, 2026, not to exceed $25.0 million in the aggregate, that Tall Oak Parent may become entitled to receive pursuant to the Tall Oak Business Contribution Agreement, subject to Tall Oak and its customers meeting certain development requirements (the “Tall Oak Acquisition”). During the year ended December 31, 2024, the Company paid $0.8 million to Tall Oak Midstream Management, LLC for transition services in connection with the Tall Oak acquisition, which is recorded within general and administrative expense on the consolidated statements of operations. See Note 11 - Financial Instruments for additional information regarding the Tall Oak earn-out.</w:t>
      </w:r>
    </w:p>
    <w:p>
      <w:pPr>
        <w:spacing w:after="0" w:line="7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fair value of the assets acquired and liabilities assumed as of the acquisition date. No material changes were made subsequent to the provisional purchase accounting measurements initially recorded in December 2024 for the Tall Oak Acquisition.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Price Allocation (in thousands):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9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 xml:space="preserve">Total consideration paid for Tall Oak </w:t>
            </w:r>
            <w:r>
              <w:rPr>
                <w:rFonts w:ascii="Times New Roman" w:cs="Times New Roman" w:eastAsia="Times New Roman" w:hAnsi="Times New Roman"/>
                <w:sz w:val="22"/>
                <w:szCs w:val="22"/>
                <w:b w:val="1"/>
                <w:bCs w:val="1"/>
                <w:color w:val="auto"/>
                <w:vertAlign w:val="superscript"/>
              </w:rPr>
              <w:t>(1)</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459,305</w:t>
            </w:r>
          </w:p>
        </w:tc>
      </w:tr>
      <w:tr>
        <w:trPr>
          <w:trHeight w:val="219"/>
        </w:trPr>
        <w:tc>
          <w:tcPr>
            <w:tcW w:w="9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Recognized amounts of identifiable assets acquired and liabilities assumed:</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r>
      <w:tr>
        <w:trPr>
          <w:trHeight w:val="219"/>
        </w:trPr>
        <w:tc>
          <w:tcPr>
            <w:tcW w:w="9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10,448</w:t>
            </w: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4,741</w:t>
            </w:r>
          </w:p>
        </w:tc>
      </w:tr>
      <w:tr>
        <w:trPr>
          <w:trHeight w:val="219"/>
        </w:trPr>
        <w:tc>
          <w:tcPr>
            <w:tcW w:w="9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436,418</w:t>
            </w:r>
          </w:p>
        </w:tc>
      </w:tr>
      <w:tr>
        <w:trPr>
          <w:trHeight w:val="219"/>
        </w:trPr>
        <w:tc>
          <w:tcPr>
            <w:tcW w:w="9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 assets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17,752</w:t>
            </w:r>
          </w:p>
        </w:tc>
      </w:tr>
      <w:tr>
        <w:trPr>
          <w:trHeight w:val="219"/>
        </w:trPr>
        <w:tc>
          <w:tcPr>
            <w:tcW w:w="9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Trade accounts payable, accrued expenses and other</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(10,900)</w:t>
            </w:r>
          </w:p>
        </w:tc>
      </w:tr>
      <w:tr>
        <w:trPr>
          <w:trHeight w:val="212"/>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assets acquired and liabilities assumed</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459,305</w:t>
            </w:r>
          </w:p>
        </w:tc>
      </w:tr>
    </w:tbl>
    <w:p>
      <w:pPr>
        <w:spacing w:after="0" w:line="173" w:lineRule="exact"/>
        <w:rPr>
          <w:sz w:val="20"/>
          <w:szCs w:val="20"/>
          <w:color w:val="auto"/>
        </w:rPr>
      </w:pPr>
    </w:p>
    <w:p>
      <w:pPr>
        <w:ind w:left="120" w:hanging="117"/>
        <w:spacing w:after="0"/>
        <w:tabs>
          <w:tab w:leader="none" w:pos="120" w:val="left"/>
        </w:tabs>
        <w:numPr>
          <w:ilvl w:val="0"/>
          <w:numId w:val="6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Purchase price consideration includes $283.1 million of equity consideration.(7,471,008 shares of Class B common stock valued at $37.89 per share on December 2, 2024)</w:t>
      </w:r>
    </w:p>
    <w:p>
      <w:pPr>
        <w:spacing w:after="0" w:line="10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assets acquired and liabilities assumed were recorded at their estimated fair values at the date of the acquisition. Acquired working capital amounts are expected to approximate fair value due to their short-term nature.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acquired consist of rights-of-way with a weighted average amortization period of 30 years.</w:t>
      </w:r>
    </w:p>
    <w:p>
      <w:pPr>
        <w:spacing w:after="0" w:line="114"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From the date of the Tall Oak Acquisition through December 31, 2024, revenues and operating income associated with the operations acquired through the acquisition totaled $6.8 million and $3.3 million, respectively.</w:t>
      </w:r>
    </w:p>
    <w:p>
      <w:pPr>
        <w:spacing w:after="0" w:line="42"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 Forma Information (Unaudited). </w:t>
      </w:r>
      <w:r>
        <w:rPr>
          <w:rFonts w:ascii="Times New Roman" w:cs="Times New Roman" w:eastAsia="Times New Roman" w:hAnsi="Times New Roman"/>
          <w:sz w:val="17"/>
          <w:szCs w:val="17"/>
          <w:color w:val="auto"/>
        </w:rPr>
        <w:t>The following table summarizes the unaudited pro forma condensed financial information of SMC as if the Moonrise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 and Tall Oak Acquisition had occurred on January 1,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7"/>
                <w:szCs w:val="17"/>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r>
      <w:tr>
        <w:trPr>
          <w:trHeight w:val="230"/>
        </w:trPr>
        <w:tc>
          <w:tcPr>
            <w:tcW w:w="7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jc w:val="right"/>
              <w:ind w:right="134"/>
              <w:spacing w:after="0"/>
              <w:rPr>
                <w:sz w:val="20"/>
                <w:szCs w:val="20"/>
                <w:color w:val="auto"/>
              </w:rPr>
            </w:pPr>
            <w:r>
              <w:rPr>
                <w:rFonts w:ascii="Times New Roman" w:cs="Times New Roman" w:eastAsia="Times New Roman" w:hAnsi="Times New Roman"/>
                <w:sz w:val="15"/>
                <w:szCs w:val="15"/>
                <w:color w:val="auto"/>
              </w:rPr>
              <w:t>(in thousands)</w:t>
            </w:r>
          </w:p>
        </w:tc>
        <w:tc>
          <w:tcPr>
            <w:tcW w:w="1400" w:type="dxa"/>
            <w:vAlign w:val="bottom"/>
          </w:tcPr>
          <w:p>
            <w:pPr>
              <w:spacing w:after="0"/>
              <w:rPr>
                <w:sz w:val="17"/>
                <w:szCs w:val="17"/>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566,070</w:t>
            </w:r>
          </w:p>
        </w:tc>
        <w:tc>
          <w:tcPr>
            <w:tcW w:w="6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543,481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6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ind w:left="800"/>
              <w:spacing w:after="0"/>
              <w:rPr>
                <w:sz w:val="20"/>
                <w:szCs w:val="20"/>
                <w:color w:val="auto"/>
              </w:rPr>
            </w:pPr>
            <w:r>
              <w:rPr>
                <w:rFonts w:ascii="Times New Roman" w:cs="Times New Roman" w:eastAsia="Times New Roman" w:hAnsi="Times New Roman"/>
                <w:sz w:val="17"/>
                <w:szCs w:val="17"/>
                <w:color w:val="auto"/>
                <w:w w:val="99"/>
              </w:rPr>
              <w:t>(80,168)</w:t>
            </w:r>
          </w:p>
        </w:tc>
      </w:tr>
    </w:tbl>
    <w:p>
      <w:pPr>
        <w:spacing w:after="0" w:line="17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unaudited pro forma information is for information purposes only and is not necessarily indicative of the operating results that would have occurred had the transaction been completed at January 1, 2024, nor is it necessarily indicative of future operating results.</w:t>
      </w:r>
    </w:p>
    <w:p>
      <w:pPr>
        <w:spacing w:after="0" w:line="4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 of Summit Utica Sale. </w:t>
      </w:r>
      <w:r>
        <w:rPr>
          <w:rFonts w:ascii="Times New Roman" w:cs="Times New Roman" w:eastAsia="Times New Roman" w:hAnsi="Times New Roman"/>
          <w:sz w:val="17"/>
          <w:szCs w:val="17"/>
          <w:color w:val="auto"/>
        </w:rPr>
        <w:t>On March 22, 2024, SMLP completed the disposition of Summit Midstream Utica, LLC (“Summit Utica”) to a subsidiary of MPLX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LP for a cash sale price of $625.0 million, subject to customary post-closing adjustments (the “Utica Sale”). Summit Utica was the owner of (i) approximately 36% of the issued and outstanding equity interests in Ohio Gathering Company, L.L.C. (“OGC”), (ii) approximately 38% of the issued and outstanding equity interests in Ohio Condensate Company, L.L.C. (“OCC” and, together with OGC, “Ohio Gathering”) and (iii) midstream assets located in the Utica Shale. Ohio Gathering was the owner of a natural gas gathering system and condensate stabilization facility located in Belmont and Monroe counties in the Utica Shale in southeastern Ohio.</w:t>
      </w:r>
    </w:p>
    <w:p>
      <w:pPr>
        <w:spacing w:after="0" w:line="7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During the quarterly period ended March 31, 2024, the Company recognized a total gain on the disposition of Summit Utica of $212.5 million based on total cash proceeds received of $625.0 million and net assets sold of $412.5 million. A portion of the cash proceeds was used to reduce amounts outstanding under the Company’s existing asset-based revolving credit facility and pay the costs and expenses in connection with the 2026 Secured Notes Asset Sale Offer (as defined herein) (see Note 8 - Debt, for additional information).</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purchase and sale agreement for the sale of Summit Utica did not discretely list values for OGC, OCC or SMLP’s midstream assets located in the Utica Shale. Using fair value methods allowed by GAAP, the Company derived a fair value estimate for the disposed assets and then determined the appropriate gain recognition amount for each disposal to include in its consolidated financial statements. The estimated fair values were determined utilizing a discounted cash flow technique based on estimated revenues, costs, capital expenditures, and an appropriate discount rate. Given the unobservable nature of the inputs, the fair value measurement is deemed to use Level 3 inputs. Based on these fair values, the Company recognized a gain on the disposition of the Utica midstream business of $85.6 million, which is recorded within gain on sale of business in the Company’s consolidated statements of operations, and a gain of $126.3 million related to the disposition of Ohio Gathering, which is recorded within gain on sale of Ohio Gathering in the Company’s consolidated statements of operations.</w:t>
      </w:r>
    </w:p>
    <w:p>
      <w:pPr>
        <w:spacing w:after="0" w:line="7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 of Mountaineer Midstream System. </w:t>
      </w:r>
      <w:r>
        <w:rPr>
          <w:rFonts w:ascii="Times New Roman" w:cs="Times New Roman" w:eastAsia="Times New Roman" w:hAnsi="Times New Roman"/>
          <w:sz w:val="17"/>
          <w:szCs w:val="17"/>
          <w:color w:val="auto"/>
        </w:rPr>
        <w:t>On May 1, 2024, SMLP completed the sale of its Mountaineer Midstream Company, LLC (“Mountaineer Midstream”)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 to Antero Midstream LLC for a cash sale price of $70.0 million, subject to customary post-closing adjustments (the “Mountaineer Transaction”). Mountaineer Midstream was the owner of midstream assets located in the Marcellus Shale. Prior to closing the Mountaineer Transaction, SMLP sold related compression assets located in the Marcellus Shale to a compression service provider for cash consideration of approximately $5 million in April 2024.</w:t>
      </w:r>
    </w:p>
    <w:p>
      <w:pPr>
        <w:spacing w:after="0" w:line="6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the Company recognized an impairment of $68.0 million in connection with the Mountaineer Transaction and the sale of compression assets based on their estimated fair value and net assets of approximately $143.0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w:t>
      </w:r>
    </w:p>
    <w:p>
      <w:pPr>
        <w:spacing w:after="0" w:line="118"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7"/>
          <w:szCs w:val="17"/>
          <w:color w:val="auto"/>
        </w:rPr>
        <w:t>The following table presents estimated revenue expected to be recognized over the remaining contract period related to performance obligations that are unsatisfied and are comprised of estimated MVC shortfall payments.</w:t>
      </w:r>
    </w:p>
    <w:p>
      <w:pPr>
        <w:spacing w:after="0" w:line="4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Company applies the practical expedient in paragraph 606-10-50-14 of Topic 606 for certain arrangements that are considered optional purchases (i.e., there is no enforceable obligation for the customer to make purchases) and those amounts are therefore excluded from the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tcPr>
          <w:p>
            <w:pPr>
              <w:spacing w:after="0"/>
              <w:rPr>
                <w:sz w:val="15"/>
                <w:szCs w:val="15"/>
                <w:color w:val="auto"/>
              </w:rPr>
            </w:pPr>
          </w:p>
        </w:tc>
        <w:tc>
          <w:tcPr>
            <w:tcW w:w="940" w:type="dxa"/>
            <w:vAlign w:val="bottom"/>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2028</w:t>
            </w:r>
          </w:p>
        </w:tc>
        <w:tc>
          <w:tcPr>
            <w:tcW w:w="500" w:type="dxa"/>
            <w:vAlign w:val="bottom"/>
          </w:tcPr>
          <w:p>
            <w:pPr>
              <w:spacing w:after="0"/>
              <w:rPr>
                <w:sz w:val="15"/>
                <w:szCs w:val="15"/>
                <w:color w:val="auto"/>
              </w:rPr>
            </w:pPr>
          </w:p>
        </w:tc>
        <w:tc>
          <w:tcPr>
            <w:tcW w:w="8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2029</w:t>
            </w:r>
          </w:p>
        </w:tc>
        <w:tc>
          <w:tcPr>
            <w:tcW w:w="360" w:type="dxa"/>
            <w:vAlign w:val="bottom"/>
          </w:tcPr>
          <w:p>
            <w:pPr>
              <w:spacing w:after="0"/>
              <w:rPr>
                <w:sz w:val="15"/>
                <w:szCs w:val="15"/>
                <w:color w:val="auto"/>
              </w:rPr>
            </w:pPr>
          </w:p>
        </w:tc>
        <w:tc>
          <w:tcPr>
            <w:tcW w:w="1200" w:type="dxa"/>
            <w:vAlign w:val="bottom"/>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2"/>
        </w:trPr>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3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services and related fees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27,416</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10,810</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10,043</w:t>
            </w:r>
          </w:p>
        </w:tc>
        <w:tc>
          <w:tcPr>
            <w:tcW w:w="5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1,200</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851"/>
        </w:trPr>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8"/>
        </w:trPr>
        <w:tc>
          <w:tcPr>
            <w:tcW w:w="3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100" w:name="page101"/>
    <w:bookmarkEnd w:id="100"/>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Revenue by Category</w:t>
      </w:r>
      <w:r>
        <w:rPr>
          <w:rFonts w:ascii="Times New Roman" w:cs="Times New Roman" w:eastAsia="Times New Roman" w:hAnsi="Times New Roman"/>
          <w:sz w:val="17"/>
          <w:szCs w:val="17"/>
          <w:color w:val="auto"/>
        </w:rPr>
        <w:t>. In the following tables, revenue is disaggregated by geographic area and major products and services. For more detailed information about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reportable segments, see Note 18 - Segment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2025</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220" w:type="dxa"/>
            <w:vAlign w:val="bottom"/>
          </w:tcPr>
          <w:p>
            <w:pPr>
              <w:spacing w:after="0"/>
              <w:rPr>
                <w:sz w:val="10"/>
                <w:szCs w:val="10"/>
                <w:color w:val="auto"/>
              </w:rPr>
            </w:pPr>
          </w:p>
        </w:tc>
        <w:tc>
          <w:tcPr>
            <w:tcW w:w="1520" w:type="dxa"/>
            <w:vAlign w:val="bottom"/>
            <w:gridSpan w:val="3"/>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7"/>
              </w:rPr>
              <w:t>Gathering services and</w:t>
            </w:r>
          </w:p>
        </w:tc>
        <w:tc>
          <w:tcPr>
            <w:tcW w:w="154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Natural gas, NGLs and</w:t>
            </w:r>
          </w:p>
        </w:tc>
        <w:tc>
          <w:tcPr>
            <w:tcW w:w="18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32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related fees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Rockies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62,760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329,351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Permian</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Mid-Con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159,232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Piceance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69,867</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Northeast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562,091</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and other</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562,091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2024</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5220" w:type="dxa"/>
            <w:vAlign w:val="bottom"/>
          </w:tcPr>
          <w:p>
            <w:pPr>
              <w:spacing w:after="0"/>
              <w:rPr>
                <w:sz w:val="10"/>
                <w:szCs w:val="10"/>
                <w:color w:val="auto"/>
              </w:rPr>
            </w:pPr>
          </w:p>
        </w:tc>
        <w:tc>
          <w:tcPr>
            <w:tcW w:w="15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Gathering services and</w:t>
            </w:r>
          </w:p>
        </w:tc>
        <w:tc>
          <w:tcPr>
            <w:tcW w:w="154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Natural gas, NGLs and</w:t>
            </w:r>
          </w:p>
        </w:tc>
        <w:tc>
          <w:tcPr>
            <w:tcW w:w="18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32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related fees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Rockies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63,219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268,511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Permian</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Mid-Con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56,891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Piceance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80,999</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Northeast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18,851</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428,893</w:t>
            </w:r>
          </w:p>
        </w:tc>
        <w:tc>
          <w:tcPr>
            <w:tcW w:w="0" w:type="dxa"/>
            <w:vAlign w:val="bottom"/>
          </w:tcPr>
          <w:p>
            <w:pPr>
              <w:spacing w:after="0"/>
              <w:rPr>
                <w:sz w:val="1"/>
                <w:szCs w:val="1"/>
                <w:color w:val="auto"/>
              </w:rPr>
            </w:pPr>
          </w:p>
        </w:tc>
      </w:tr>
      <w:tr>
        <w:trPr>
          <w:trHeight w:val="258"/>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and other</w:t>
            </w:r>
          </w:p>
        </w:tc>
        <w:tc>
          <w:tcPr>
            <w:tcW w:w="1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0" w:type="dxa"/>
            <w:vAlign w:val="bottom"/>
          </w:tcPr>
          <w:p>
            <w:pPr>
              <w:spacing w:after="0"/>
              <w:rPr>
                <w:sz w:val="1"/>
                <w:szCs w:val="1"/>
                <w:color w:val="auto"/>
              </w:rPr>
            </w:pPr>
          </w:p>
        </w:tc>
      </w:tr>
      <w:tr>
        <w:trPr>
          <w:trHeight w:val="23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429,619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 December 31, 2023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220" w:type="dxa"/>
            <w:vAlign w:val="bottom"/>
          </w:tcPr>
          <w:p>
            <w:pPr>
              <w:spacing w:after="0"/>
              <w:rPr>
                <w:sz w:val="10"/>
                <w:szCs w:val="10"/>
                <w:color w:val="auto"/>
              </w:rPr>
            </w:pPr>
          </w:p>
        </w:tc>
        <w:tc>
          <w:tcPr>
            <w:tcW w:w="1520" w:type="dxa"/>
            <w:vAlign w:val="bottom"/>
            <w:gridSpan w:val="3"/>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7"/>
              </w:rPr>
              <w:t>Gathering services and</w:t>
            </w:r>
          </w:p>
        </w:tc>
        <w:tc>
          <w:tcPr>
            <w:tcW w:w="154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Natural gas, NGLs and</w:t>
            </w:r>
          </w:p>
        </w:tc>
        <w:tc>
          <w:tcPr>
            <w:tcW w:w="18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revenues</w:t>
            </w:r>
          </w:p>
        </w:tc>
        <w:tc>
          <w:tcPr>
            <w:tcW w:w="32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related fees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Rockies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65,869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255,031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Permian</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Mid-Con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45,117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Piceance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91,417</w:t>
            </w:r>
          </w:p>
        </w:tc>
        <w:tc>
          <w:tcPr>
            <w:tcW w:w="0" w:type="dxa"/>
            <w:vAlign w:val="bottom"/>
          </w:tcPr>
          <w:p>
            <w:pPr>
              <w:spacing w:after="0"/>
              <w:rPr>
                <w:sz w:val="1"/>
                <w:szCs w:val="1"/>
                <w:color w:val="auto"/>
              </w:rPr>
            </w:pPr>
          </w:p>
        </w:tc>
      </w:tr>
      <w:tr>
        <w:trPr>
          <w:trHeight w:val="219"/>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Northeast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63,805</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458,940</w:t>
            </w:r>
          </w:p>
        </w:tc>
        <w:tc>
          <w:tcPr>
            <w:tcW w:w="0" w:type="dxa"/>
            <w:vAlign w:val="bottom"/>
          </w:tcPr>
          <w:p>
            <w:pPr>
              <w:spacing w:after="0"/>
              <w:rPr>
                <w:sz w:val="1"/>
                <w:szCs w:val="1"/>
                <w:color w:val="auto"/>
              </w:rPr>
            </w:pPr>
          </w:p>
        </w:tc>
      </w:tr>
      <w:tr>
        <w:trPr>
          <w:trHeight w:val="258"/>
        </w:trPr>
        <w:tc>
          <w:tcPr>
            <w:tcW w:w="5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and other</w:t>
            </w:r>
          </w:p>
        </w:tc>
        <w:tc>
          <w:tcPr>
            <w:tcW w:w="1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5. PROPERTY, PLANT AND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on the Company’s property, plant and equipment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63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Gathering and processing systems and related equipment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3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Land and line fill</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72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4"/>
          </w:tcPr>
          <w:p>
            <w:pPr>
              <w:spacing w:after="0" w:line="20" w:lineRule="exact"/>
              <w:rPr>
                <w:sz w:val="1"/>
                <w:szCs w:val="1"/>
                <w:color w:val="auto"/>
              </w:rPr>
            </w:pPr>
          </w:p>
        </w:tc>
      </w:tr>
      <w:tr>
        <w:trPr>
          <w:trHeight w:val="175"/>
        </w:trPr>
        <w:tc>
          <w:tcPr>
            <w:tcW w:w="140" w:type="dxa"/>
            <w:vAlign w:val="bottom"/>
          </w:tcPr>
          <w:p>
            <w:pPr>
              <w:spacing w:after="0"/>
              <w:rPr>
                <w:sz w:val="15"/>
                <w:szCs w:val="15"/>
                <w:color w:val="auto"/>
              </w:rPr>
            </w:pPr>
          </w:p>
        </w:tc>
        <w:tc>
          <w:tcPr>
            <w:tcW w:w="282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2,451,820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2,372,881</w:t>
            </w:r>
          </w:p>
        </w:tc>
      </w:tr>
      <w:tr>
        <w:trPr>
          <w:trHeight w:val="258"/>
        </w:trPr>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57,611</w:t>
            </w:r>
          </w:p>
        </w:tc>
      </w:tr>
      <w:tr>
        <w:trPr>
          <w:trHeight w:val="258"/>
        </w:trPr>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12,816</w:t>
            </w:r>
          </w:p>
        </w:tc>
      </w:tr>
      <w:tr>
        <w:trPr>
          <w:trHeight w:val="283"/>
        </w:trPr>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66,303</w:t>
            </w:r>
          </w:p>
        </w:tc>
      </w:tr>
      <w:tr>
        <w:trPr>
          <w:trHeight w:val="225"/>
        </w:trPr>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2,593,254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2,509,611</w:t>
            </w:r>
          </w:p>
        </w:tc>
      </w:tr>
      <w:tr>
        <w:trPr>
          <w:trHeight w:val="258"/>
        </w:trPr>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(749,108)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(724,582)</w:t>
            </w:r>
          </w:p>
        </w:tc>
      </w:tr>
      <w:tr>
        <w:trPr>
          <w:trHeight w:val="25"/>
        </w:trPr>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1,844,146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1,785,029</w:t>
            </w:r>
          </w:p>
        </w:tc>
      </w:tr>
      <w:tr>
        <w:trPr>
          <w:trHeight w:val="25"/>
        </w:trPr>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7560" w:space="720"/>
            <w:col w:w="2960"/>
          </w:cols>
          <w:pgMar w:left="320" w:top="1099"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When the carrying amount of a long-lived asset is not recoverable, an impairment is recognized equal to the excess of the asset’s carrying value over its fair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based on inputs that are not observable in the market, and thus represent Level 3 inputs under GAAP’s fair value hierarchy. The Company recognized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 million, $68.3 million, and $0.5 million of impairments during the fiscal years ended December 31, 2025, 2024, and 2023, respectively. The Company cannot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predict the likelihood of future impairments, if any.</w:t>
      </w:r>
    </w:p>
    <w:p>
      <w:pPr>
        <w:sectPr>
          <w:pgSz w:w="11900" w:h="16838" w:orient="portrait"/>
          <w:cols w:equalWidth="0" w:num="1">
            <w:col w:w="11240"/>
          </w:cols>
          <w:pgMar w:left="320" w:top="1099"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and capitalized interest for the Company follow.</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Capitalized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regarding the Company’s intangible assets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565785</wp:posOffset>
            </wp:positionV>
            <wp:extent cx="7138670" cy="163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Favorable gas gathering contracts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3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Rights-of-way</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Indefinite-lived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639445</wp:posOffset>
            </wp:positionV>
            <wp:extent cx="7138670" cy="163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Favorable gas gathering contracts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3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Rights-of-way</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Indefinite-lived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7"/>
        </w:trPr>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98,876</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85,615</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95,307</w:t>
            </w:r>
          </w:p>
        </w:tc>
      </w:tr>
      <w:tr>
        <w:trPr>
          <w:trHeight w:val="223"/>
        </w:trPr>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1,785</w:t>
            </w:r>
          </w:p>
        </w:tc>
        <w:tc>
          <w:tcPr>
            <w:tcW w:w="28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1,164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5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amortization</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(17,623)</w:t>
            </w:r>
          </w:p>
        </w:tc>
        <w:tc>
          <w:tcPr>
            <w:tcW w:w="10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0" w:type="dxa"/>
            <w:vAlign w:val="bottom"/>
          </w:tcPr>
          <w:p>
            <w:pPr>
              <w:spacing w:after="0"/>
              <w:rPr>
                <w:sz w:val="1"/>
                <w:szCs w:val="1"/>
                <w:color w:val="auto"/>
              </w:rPr>
            </w:pPr>
          </w:p>
        </w:tc>
      </w:tr>
      <w:tr>
        <w:trPr>
          <w:trHeight w:val="258"/>
        </w:trPr>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5,461</w:t>
            </w:r>
          </w:p>
        </w:tc>
        <w:tc>
          <w:tcPr>
            <w:tcW w:w="0" w:type="dxa"/>
            <w:vAlign w:val="bottom"/>
          </w:tcPr>
          <w:p>
            <w:pPr>
              <w:spacing w:after="0"/>
              <w:rPr>
                <w:sz w:val="1"/>
                <w:szCs w:val="1"/>
                <w:color w:val="auto"/>
              </w:rPr>
            </w:pPr>
          </w:p>
        </w:tc>
      </w:tr>
      <w:tr>
        <w:trPr>
          <w:trHeight w:val="258"/>
        </w:trPr>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136,227</w:t>
            </w:r>
          </w:p>
        </w:tc>
        <w:tc>
          <w:tcPr>
            <w:tcW w:w="0" w:type="dxa"/>
            <w:vAlign w:val="bottom"/>
          </w:tcPr>
          <w:p>
            <w:pPr>
              <w:spacing w:after="0"/>
              <w:rPr>
                <w:sz w:val="1"/>
                <w:szCs w:val="1"/>
                <w:color w:val="auto"/>
              </w:rPr>
            </w:pPr>
          </w:p>
        </w:tc>
      </w:tr>
      <w:tr>
        <w:trPr>
          <w:trHeight w:val="258"/>
        </w:trPr>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8,436</w:t>
            </w:r>
          </w:p>
        </w:tc>
        <w:tc>
          <w:tcPr>
            <w:tcW w:w="0" w:type="dxa"/>
            <w:vAlign w:val="bottom"/>
          </w:tcPr>
          <w:p>
            <w:pPr>
              <w:spacing w:after="0"/>
              <w:rPr>
                <w:sz w:val="1"/>
                <w:szCs w:val="1"/>
                <w:color w:val="auto"/>
              </w:rPr>
            </w:pPr>
          </w:p>
        </w:tc>
      </w:tr>
      <w:tr>
        <w:trPr>
          <w:trHeight w:val="25"/>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(231,857)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153,564</w:t>
            </w:r>
          </w:p>
        </w:tc>
        <w:tc>
          <w:tcPr>
            <w:tcW w:w="0" w:type="dxa"/>
            <w:vAlign w:val="bottom"/>
          </w:tcPr>
          <w:p>
            <w:pPr>
              <w:spacing w:after="0"/>
              <w:rPr>
                <w:sz w:val="1"/>
                <w:szCs w:val="1"/>
                <w:color w:val="auto"/>
              </w:rPr>
            </w:pPr>
          </w:p>
        </w:tc>
      </w:tr>
      <w:tr>
        <w:trPr>
          <w:trHeight w:val="25"/>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60" w:type="dxa"/>
            <w:vAlign w:val="bottom"/>
          </w:tcPr>
          <w:p>
            <w:pPr>
              <w:spacing w:after="0"/>
              <w:rPr>
                <w:sz w:val="10"/>
                <w:szCs w:val="10"/>
                <w:color w:val="auto"/>
              </w:rPr>
            </w:pPr>
          </w:p>
        </w:tc>
        <w:tc>
          <w:tcPr>
            <w:tcW w:w="106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amortization</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(16,685)</w:t>
            </w:r>
          </w:p>
        </w:tc>
        <w:tc>
          <w:tcPr>
            <w:tcW w:w="10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0" w:type="dxa"/>
            <w:vAlign w:val="bottom"/>
          </w:tcPr>
          <w:p>
            <w:pPr>
              <w:spacing w:after="0"/>
              <w:rPr>
                <w:sz w:val="1"/>
                <w:szCs w:val="1"/>
                <w:color w:val="auto"/>
              </w:rPr>
            </w:pPr>
          </w:p>
        </w:tc>
      </w:tr>
      <w:tr>
        <w:trPr>
          <w:trHeight w:val="258"/>
        </w:trPr>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12,015</w:t>
            </w:r>
          </w:p>
        </w:tc>
        <w:tc>
          <w:tcPr>
            <w:tcW w:w="0" w:type="dxa"/>
            <w:vAlign w:val="bottom"/>
          </w:tcPr>
          <w:p>
            <w:pPr>
              <w:spacing w:after="0"/>
              <w:rPr>
                <w:sz w:val="1"/>
                <w:szCs w:val="1"/>
                <w:color w:val="auto"/>
              </w:rPr>
            </w:pPr>
          </w:p>
        </w:tc>
      </w:tr>
      <w:tr>
        <w:trPr>
          <w:trHeight w:val="258"/>
        </w:trPr>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129,450</w:t>
            </w:r>
          </w:p>
        </w:tc>
        <w:tc>
          <w:tcPr>
            <w:tcW w:w="0" w:type="dxa"/>
            <w:vAlign w:val="bottom"/>
          </w:tcPr>
          <w:p>
            <w:pPr>
              <w:spacing w:after="0"/>
              <w:rPr>
                <w:sz w:val="1"/>
                <w:szCs w:val="1"/>
                <w:color w:val="auto"/>
              </w:rPr>
            </w:pPr>
          </w:p>
        </w:tc>
      </w:tr>
      <w:tr>
        <w:trPr>
          <w:trHeight w:val="258"/>
        </w:trPr>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8,436</w:t>
            </w:r>
          </w:p>
        </w:tc>
        <w:tc>
          <w:tcPr>
            <w:tcW w:w="0" w:type="dxa"/>
            <w:vAlign w:val="bottom"/>
          </w:tcPr>
          <w:p>
            <w:pPr>
              <w:spacing w:after="0"/>
              <w:rPr>
                <w:sz w:val="1"/>
                <w:szCs w:val="1"/>
                <w:color w:val="auto"/>
              </w:rPr>
            </w:pPr>
          </w:p>
        </w:tc>
      </w:tr>
      <w:tr>
        <w:trPr>
          <w:trHeight w:val="25"/>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(219,197)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154,279</w:t>
            </w:r>
          </w:p>
        </w:tc>
        <w:tc>
          <w:tcPr>
            <w:tcW w:w="0" w:type="dxa"/>
            <w:vAlign w:val="bottom"/>
          </w:tcPr>
          <w:p>
            <w:pPr>
              <w:spacing w:after="0"/>
              <w:rPr>
                <w:sz w:val="1"/>
                <w:szCs w:val="1"/>
                <w:color w:val="auto"/>
              </w:rPr>
            </w:pPr>
          </w:p>
        </w:tc>
      </w:tr>
      <w:tr>
        <w:trPr>
          <w:trHeight w:val="25"/>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720"/>
            <w:col w:w="4500"/>
          </w:cols>
          <w:pgMar w:left="320" w:top="1099"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The Company recognized amortization expense of its favorable gas gathering contracts in Other revenues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740" w:type="dxa"/>
            <w:vAlign w:val="bottom"/>
          </w:tcPr>
          <w:p>
            <w:pPr>
              <w:spacing w:after="0"/>
              <w:rPr>
                <w:sz w:val="15"/>
                <w:szCs w:val="15"/>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 – favorable gas gathering contracts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rPr>
              <w:t>938</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recognized amortization expense of its contract and right of way intangibles in costs and expenses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7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 – contract intangibles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6,554</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7,093</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expense – rights-of-way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8,730</w:t>
            </w:r>
          </w:p>
        </w:tc>
        <w:tc>
          <w:tcPr>
            <w:tcW w:w="300" w:type="dxa"/>
            <w:vAlign w:val="bottom"/>
          </w:tcPr>
          <w:p>
            <w:pPr>
              <w:spacing w:after="0"/>
              <w:rPr>
                <w:sz w:val="19"/>
                <w:szCs w:val="19"/>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7"/>
                <w:szCs w:val="17"/>
                <w:color w:val="auto"/>
              </w:rPr>
              <w:t>7,940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8,576</w:t>
            </w:r>
          </w:p>
        </w:tc>
      </w:tr>
    </w:tbl>
    <w:p>
      <w:pPr>
        <w:spacing w:after="0" w:line="16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Company’s estimated aggregate annual amortization expected to be recognized for each of the five succeeding fiscal years and thereafter, as of December 31, 2025,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
        </w:trPr>
        <w:tc>
          <w:tcPr>
            <w:tcW w:w="5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9"/>
        </w:trPr>
        <w:tc>
          <w:tcPr>
            <w:tcW w:w="5100" w:type="dxa"/>
            <w:vAlign w:val="bottom"/>
            <w:shd w:val="clear" w:color="auto" w:fill="CCEEFF"/>
          </w:tcPr>
          <w:p>
            <w:pPr>
              <w:jc w:val="right"/>
              <w:ind w:right="4654"/>
              <w:spacing w:after="0"/>
              <w:rPr>
                <w:sz w:val="20"/>
                <w:szCs w:val="20"/>
                <w:color w:val="auto"/>
              </w:rPr>
            </w:pPr>
            <w:r>
              <w:rPr>
                <w:rFonts w:ascii="Times New Roman" w:cs="Times New Roman" w:eastAsia="Times New Roman" w:hAnsi="Times New Roman"/>
                <w:sz w:val="17"/>
                <w:szCs w:val="17"/>
                <w:color w:val="auto"/>
                <w:w w:val="99"/>
              </w:rPr>
              <w:t>2026</w:t>
            </w:r>
          </w:p>
        </w:tc>
        <w:tc>
          <w:tcPr>
            <w:tcW w:w="4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14,967</w:t>
            </w:r>
          </w:p>
        </w:tc>
      </w:tr>
      <w:tr>
        <w:trPr>
          <w:trHeight w:val="219"/>
        </w:trPr>
        <w:tc>
          <w:tcPr>
            <w:tcW w:w="5100" w:type="dxa"/>
            <w:vAlign w:val="bottom"/>
          </w:tcPr>
          <w:p>
            <w:pPr>
              <w:jc w:val="right"/>
              <w:ind w:right="4654"/>
              <w:spacing w:after="0"/>
              <w:rPr>
                <w:sz w:val="20"/>
                <w:szCs w:val="20"/>
                <w:color w:val="auto"/>
              </w:rPr>
            </w:pPr>
            <w:r>
              <w:rPr>
                <w:rFonts w:ascii="Times New Roman" w:cs="Times New Roman" w:eastAsia="Times New Roman" w:hAnsi="Times New Roman"/>
                <w:sz w:val="17"/>
                <w:szCs w:val="17"/>
                <w:color w:val="auto"/>
                <w:w w:val="99"/>
              </w:rPr>
              <w:t>2027</w:t>
            </w:r>
          </w:p>
        </w:tc>
        <w:tc>
          <w:tcPr>
            <w:tcW w:w="4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9,506</w:t>
            </w:r>
          </w:p>
        </w:tc>
      </w:tr>
      <w:tr>
        <w:trPr>
          <w:trHeight w:val="219"/>
        </w:trPr>
        <w:tc>
          <w:tcPr>
            <w:tcW w:w="5100" w:type="dxa"/>
            <w:vAlign w:val="bottom"/>
            <w:shd w:val="clear" w:color="auto" w:fill="CCEEFF"/>
          </w:tcPr>
          <w:p>
            <w:pPr>
              <w:jc w:val="right"/>
              <w:ind w:right="4654"/>
              <w:spacing w:after="0"/>
              <w:rPr>
                <w:sz w:val="20"/>
                <w:szCs w:val="20"/>
                <w:color w:val="auto"/>
              </w:rPr>
            </w:pPr>
            <w:r>
              <w:rPr>
                <w:rFonts w:ascii="Times New Roman" w:cs="Times New Roman" w:eastAsia="Times New Roman" w:hAnsi="Times New Roman"/>
                <w:sz w:val="17"/>
                <w:szCs w:val="17"/>
                <w:color w:val="auto"/>
                <w:w w:val="99"/>
              </w:rPr>
              <w:t>2028</w:t>
            </w:r>
          </w:p>
        </w:tc>
        <w:tc>
          <w:tcPr>
            <w:tcW w:w="49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9,338</w:t>
            </w:r>
          </w:p>
        </w:tc>
      </w:tr>
      <w:tr>
        <w:trPr>
          <w:trHeight w:val="219"/>
        </w:trPr>
        <w:tc>
          <w:tcPr>
            <w:tcW w:w="5100" w:type="dxa"/>
            <w:vAlign w:val="bottom"/>
          </w:tcPr>
          <w:p>
            <w:pPr>
              <w:jc w:val="right"/>
              <w:ind w:right="4654"/>
              <w:spacing w:after="0"/>
              <w:rPr>
                <w:sz w:val="20"/>
                <w:szCs w:val="20"/>
                <w:color w:val="auto"/>
              </w:rPr>
            </w:pPr>
            <w:r>
              <w:rPr>
                <w:rFonts w:ascii="Times New Roman" w:cs="Times New Roman" w:eastAsia="Times New Roman" w:hAnsi="Times New Roman"/>
                <w:sz w:val="17"/>
                <w:szCs w:val="17"/>
                <w:color w:val="auto"/>
                <w:w w:val="99"/>
              </w:rPr>
              <w:t>2029</w:t>
            </w:r>
          </w:p>
        </w:tc>
        <w:tc>
          <w:tcPr>
            <w:tcW w:w="49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8,893</w:t>
            </w:r>
          </w:p>
        </w:tc>
      </w:tr>
      <w:tr>
        <w:trPr>
          <w:trHeight w:val="219"/>
        </w:trPr>
        <w:tc>
          <w:tcPr>
            <w:tcW w:w="5100" w:type="dxa"/>
            <w:vAlign w:val="bottom"/>
            <w:shd w:val="clear" w:color="auto" w:fill="CCEEFF"/>
          </w:tcPr>
          <w:p>
            <w:pPr>
              <w:jc w:val="right"/>
              <w:ind w:right="4654"/>
              <w:spacing w:after="0"/>
              <w:rPr>
                <w:sz w:val="20"/>
                <w:szCs w:val="20"/>
                <w:color w:val="auto"/>
              </w:rPr>
            </w:pPr>
            <w:r>
              <w:rPr>
                <w:rFonts w:ascii="Times New Roman" w:cs="Times New Roman" w:eastAsia="Times New Roman" w:hAnsi="Times New Roman"/>
                <w:sz w:val="17"/>
                <w:szCs w:val="17"/>
                <w:color w:val="auto"/>
                <w:w w:val="99"/>
              </w:rPr>
              <w:t>2030</w:t>
            </w:r>
          </w:p>
        </w:tc>
        <w:tc>
          <w:tcPr>
            <w:tcW w:w="49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8,233</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EQUITY METHOD INVESTMENTS</w:t>
      </w:r>
    </w:p>
    <w:p>
      <w:pPr>
        <w:spacing w:after="0" w:line="11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As of December 31, 2025, the Company has an equity method investment in Double E, the balance of which is included in the Investment in equity method investees caption on the consolidated balance sheets. On March 22, 2024, in connection with the Utica Sale, the Company sold its investment in Ohio Gathering and recognized a $126.3 million gain, which is recorded within Gain on sale of equity method investment within the consolidated statements of operations. See Note 3 - Acquisitions and Divestitures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Company’s equity method investments follow.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136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gridSpan w:val="3"/>
          </w:tcPr>
          <w:p>
            <w:pPr>
              <w:spacing w:after="0" w:line="20" w:lineRule="exact"/>
              <w:rPr>
                <w:sz w:val="1"/>
                <w:szCs w:val="1"/>
                <w:color w:val="auto"/>
              </w:rPr>
            </w:pPr>
          </w:p>
        </w:tc>
      </w:tr>
      <w:tr>
        <w:trPr>
          <w:trHeight w:val="179"/>
        </w:trPr>
        <w:tc>
          <w:tcPr>
            <w:tcW w:w="8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3"/>
          </w:tcPr>
          <w:p>
            <w:pPr>
              <w:jc w:val="right"/>
              <w:ind w:right="1103"/>
              <w:spacing w:after="0"/>
              <w:rPr>
                <w:sz w:val="20"/>
                <w:szCs w:val="20"/>
                <w:color w:val="auto"/>
              </w:rPr>
            </w:pPr>
            <w:r>
              <w:rPr>
                <w:rFonts w:ascii="Times New Roman" w:cs="Times New Roman" w:eastAsia="Times New Roman" w:hAnsi="Times New Roman"/>
                <w:sz w:val="14"/>
                <w:szCs w:val="14"/>
                <w:color w:val="auto"/>
              </w:rPr>
              <w:t>(In thousands)</w:t>
            </w:r>
          </w:p>
        </w:tc>
      </w:tr>
      <w:tr>
        <w:trPr>
          <w:trHeight w:val="227"/>
        </w:trPr>
        <w:tc>
          <w:tcPr>
            <w:tcW w:w="810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7"/>
                <w:szCs w:val="17"/>
                <w:color w:val="auto"/>
              </w:rPr>
              <w:t xml:space="preserve">Double E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265,583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269,561</w:t>
            </w:r>
          </w:p>
        </w:tc>
      </w:tr>
    </w:tbl>
    <w:p>
      <w:pPr>
        <w:spacing w:after="0" w:line="156" w:lineRule="exact"/>
        <w:rPr>
          <w:sz w:val="20"/>
          <w:szCs w:val="20"/>
          <w:color w:val="auto"/>
        </w:rPr>
      </w:pPr>
    </w:p>
    <w:p>
      <w:pPr>
        <w:ind w:left="140" w:hanging="137"/>
        <w:spacing w:after="0"/>
        <w:tabs>
          <w:tab w:leader="none" w:pos="14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Company’s investment balance in Double E includes capitalized interest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Double E. </w:t>
      </w:r>
      <w:r>
        <w:rPr>
          <w:rFonts w:ascii="Times New Roman" w:cs="Times New Roman" w:eastAsia="Times New Roman" w:hAnsi="Times New Roman"/>
          <w:sz w:val="17"/>
          <w:szCs w:val="17"/>
          <w:color w:val="auto"/>
        </w:rPr>
        <w:t>The Company, through its wholly owned subsidiary Summit Permian Transmission, LLC (“Summit Permian</w:t>
      </w:r>
    </w:p>
    <w:p>
      <w:pPr>
        <w:spacing w:after="0" w:line="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Transmission”), has a 70% ownership in Double E Pipeline, LLC (“Double E”). Double E owns a long-haul natural gas pipeline (the “Double E Pipeline”) that provides transportation service for residue natural gas from multiple receipt points in the Delaware Basin to various delivery points in and around the Waha hub in Texas. The Double E Pipeline commenced operations in November 2021 and during the years ended December 31, 2025 and 2024, the Company made cash investments of $3.8 million and $3.9 million, respectively, in Double E. During the year ended December 31, 2025, Double E made distributions to its investors totaling $44.0 million of which the Company received $30.8 million. All amounts received by the Company were utilized for payment of interest and principal on the Permian Transmission Term Loan and distributions to the holders of the Subsidiary Series A Preferred Units.</w:t>
      </w:r>
    </w:p>
    <w:p>
      <w:pPr>
        <w:spacing w:after="0" w:line="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Double E is deemed to be a variable interest entity as defined in GAAP. Summit Permian Transmission was not deemed to be the primary beneficiary of Double E due to the voting rights of Double E’s other owner regarding significant matters. The Company accounts for its ownership interest in Double E as an equity method investment because it has significant influence over Double 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Summarized balance sheet information for Double E follows (amounts represent 100% of investee financial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5"/>
              </w:rPr>
              <w:t>December 31, 2024</w:t>
            </w:r>
          </w:p>
        </w:tc>
      </w:tr>
      <w:tr>
        <w:trPr>
          <w:trHeight w:val="22"/>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4"/>
          </w:tcPr>
          <w:p>
            <w:pPr>
              <w:spacing w:after="0" w:line="20" w:lineRule="exact"/>
              <w:rPr>
                <w:sz w:val="1"/>
                <w:szCs w:val="1"/>
                <w:color w:val="auto"/>
              </w:rPr>
            </w:pPr>
          </w:p>
        </w:tc>
      </w:tr>
      <w:tr>
        <w:trPr>
          <w:trHeight w:val="181"/>
        </w:trPr>
        <w:tc>
          <w:tcPr>
            <w:tcW w:w="8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10,762</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374,971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385,837</w:t>
            </w: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396,599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10,987</w:t>
            </w: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11,890</w:t>
            </w: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Summarized statements of operations information for Double E follows (amounts represent 100% of investee financial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1"/>
        </w:trPr>
        <w:tc>
          <w:tcPr>
            <w:tcW w:w="62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2"/>
        </w:trPr>
        <w:tc>
          <w:tcPr>
            <w:tcW w:w="6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400" w:type="dxa"/>
            <w:vAlign w:val="bottom"/>
          </w:tcPr>
          <w:p>
            <w:pPr>
              <w:spacing w:after="0"/>
              <w:rPr>
                <w:sz w:val="15"/>
                <w:szCs w:val="15"/>
                <w:color w:val="auto"/>
              </w:rPr>
            </w:pPr>
          </w:p>
        </w:tc>
        <w:tc>
          <w:tcPr>
            <w:tcW w:w="11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2"/>
              </w:rPr>
              <w:t>Ended</w:t>
            </w:r>
          </w:p>
        </w:tc>
        <w:tc>
          <w:tcPr>
            <w:tcW w:w="300" w:type="dxa"/>
            <w:vAlign w:val="bottom"/>
          </w:tcPr>
          <w:p>
            <w:pPr>
              <w:spacing w:after="0"/>
              <w:rPr>
                <w:sz w:val="15"/>
                <w:szCs w:val="15"/>
                <w:color w:val="auto"/>
              </w:rPr>
            </w:pPr>
          </w:p>
        </w:tc>
        <w:tc>
          <w:tcPr>
            <w:tcW w:w="12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48"/>
        </w:trPr>
        <w:tc>
          <w:tcPr>
            <w:tcW w:w="6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181"/>
        </w:trPr>
        <w:tc>
          <w:tcPr>
            <w:tcW w:w="6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5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56,889</w:t>
            </w:r>
          </w:p>
        </w:tc>
        <w:tc>
          <w:tcPr>
            <w:tcW w:w="4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52,981</w:t>
            </w: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42,335</w:t>
            </w:r>
          </w:p>
        </w:tc>
      </w:tr>
      <w:tr>
        <w:trPr>
          <w:trHeight w:val="25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27,611</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28,328</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26,868</w:t>
            </w:r>
          </w:p>
        </w:tc>
      </w:tr>
      <w:tr>
        <w:trPr>
          <w:trHeight w:val="25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29,270</w:t>
            </w:r>
          </w:p>
        </w:tc>
        <w:tc>
          <w:tcPr>
            <w:tcW w:w="4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24,660</w:t>
            </w: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15,467</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the Company’s carrying amount of its interest in Double E approximated its underlying investment.</w:t>
      </w:r>
    </w:p>
    <w:p>
      <w:pPr>
        <w:spacing w:after="0" w:line="108"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Ohio Gathering. </w:t>
      </w:r>
      <w:r>
        <w:rPr>
          <w:rFonts w:ascii="Times New Roman" w:cs="Times New Roman" w:eastAsia="Times New Roman" w:hAnsi="Times New Roman"/>
          <w:sz w:val="17"/>
          <w:szCs w:val="17"/>
          <w:color w:val="auto"/>
        </w:rPr>
        <w:t>The Company had an investment in OGC and OCC that was collectively referred to as Ohio Gathering. Ohio Gathering owned, operated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developed midstream infrastructure consisting of a liquids-rich natural gas gathering system, a dry natural gas gathering system and a condensate stabilization facility in the Utica Shale in southeastern Ohio. Ohio Gathering provided gathering services pursuant to primarily long-term, fee-based gathering agreements, which included acreage dedications.</w:t>
      </w:r>
    </w:p>
    <w:p>
      <w:pPr>
        <w:spacing w:after="0" w:line="6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As previously discussed, on March 22, 2024, the Company completed the Utica Sale. Summit Utica was the owner of Ohio Gathering. Ohio Gathering was accounted for as an equity method investment because it had joint control with non-affiliated owners, which gave the Company significant influence. For the years ended December 31, 2024 and 2023, equity in earnings from our equity method investee Ohio Gathering totaled $7.0 million and $22.9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DEFERRED REVENUE</w:t>
      </w:r>
    </w:p>
    <w:p>
      <w:pPr>
        <w:spacing w:after="0" w:line="11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balances in deferred revenue as of December 31, 2025 and 2024 are primarily related to contributions in aid of construction which will be recognized as revenue over the life of the contract. An update of current deferred revenue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
        </w:trPr>
        <w:tc>
          <w:tcPr>
            <w:tcW w:w="9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deferred revenue, December 31,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9,595</w:t>
            </w:r>
          </w:p>
        </w:tc>
        <w:tc>
          <w:tcPr>
            <w:tcW w:w="0" w:type="dxa"/>
            <w:vAlign w:val="bottom"/>
          </w:tcPr>
          <w:p>
            <w:pPr>
              <w:spacing w:after="0"/>
              <w:rPr>
                <w:sz w:val="1"/>
                <w:szCs w:val="1"/>
                <w:color w:val="auto"/>
              </w:rPr>
            </w:pPr>
          </w:p>
        </w:tc>
      </w:tr>
      <w:tr>
        <w:trPr>
          <w:trHeight w:val="219"/>
        </w:trPr>
        <w:tc>
          <w:tcPr>
            <w:tcW w:w="9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revenue recognized and 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0" w:type="dxa"/>
            <w:vAlign w:val="bottom"/>
          </w:tcPr>
          <w:p>
            <w:pPr>
              <w:spacing w:after="0"/>
              <w:rPr>
                <w:sz w:val="1"/>
                <w:szCs w:val="1"/>
                <w:color w:val="auto"/>
              </w:rPr>
            </w:pPr>
          </w:p>
        </w:tc>
      </w:tr>
      <w:tr>
        <w:trPr>
          <w:trHeight w:val="21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deferred revenue, December 31, 2025</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10,122</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An update of noncurrent deferred revenue follows.</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9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
        </w:trPr>
        <w:tc>
          <w:tcPr>
            <w:tcW w:w="9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deferred revenue, December 31,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25,373</w:t>
            </w:r>
          </w:p>
        </w:tc>
        <w:tc>
          <w:tcPr>
            <w:tcW w:w="0" w:type="dxa"/>
            <w:vAlign w:val="bottom"/>
          </w:tcPr>
          <w:p>
            <w:pPr>
              <w:spacing w:after="0"/>
              <w:rPr>
                <w:sz w:val="1"/>
                <w:szCs w:val="1"/>
                <w:color w:val="auto"/>
              </w:rPr>
            </w:pPr>
          </w:p>
        </w:tc>
      </w:tr>
      <w:tr>
        <w:trPr>
          <w:trHeight w:val="219"/>
        </w:trPr>
        <w:tc>
          <w:tcPr>
            <w:tcW w:w="9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reclassification to current deferred revenue and 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(10,928)</w:t>
            </w:r>
          </w:p>
        </w:tc>
        <w:tc>
          <w:tcPr>
            <w:tcW w:w="0" w:type="dxa"/>
            <w:vAlign w:val="bottom"/>
          </w:tcPr>
          <w:p>
            <w:pPr>
              <w:spacing w:after="0"/>
              <w:rPr>
                <w:sz w:val="1"/>
                <w:szCs w:val="1"/>
                <w:color w:val="auto"/>
              </w:rPr>
            </w:pPr>
          </w:p>
        </w:tc>
      </w:tr>
      <w:tr>
        <w:trPr>
          <w:trHeight w:val="212"/>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deferred revenue, December 31, 2025</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18,398</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9.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for the Company as of December 31, 2025 and 2024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5"/>
        </w:trPr>
        <w:tc>
          <w:tcPr>
            <w:tcW w:w="8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4"/>
          </w:tcPr>
          <w:p>
            <w:pPr>
              <w:spacing w:after="0"/>
              <w:rPr>
                <w:sz w:val="3"/>
                <w:szCs w:val="3"/>
                <w:color w:val="auto"/>
              </w:rPr>
            </w:pPr>
          </w:p>
        </w:tc>
      </w:tr>
      <w:tr>
        <w:trPr>
          <w:trHeight w:val="177"/>
        </w:trPr>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5"/>
        </w:trPr>
        <w:tc>
          <w:tcPr>
            <w:tcW w:w="8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Amended and Restated ABL Facility</w:t>
            </w:r>
            <w:r>
              <w:rPr>
                <w:rFonts w:ascii="Times New Roman" w:cs="Times New Roman" w:eastAsia="Times New Roman" w:hAnsi="Times New Roman"/>
                <w:sz w:val="17"/>
                <w:szCs w:val="17"/>
                <w:color w:val="auto"/>
              </w:rPr>
              <w:t>: Summit Holdings’ asset based credit facility due July 2029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305,000</w:t>
            </w: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Permian Transmission Term Loan</w:t>
            </w:r>
            <w:r>
              <w:rPr>
                <w:rFonts w:ascii="Times New Roman" w:cs="Times New Roman" w:eastAsia="Times New Roman" w:hAnsi="Times New Roman"/>
                <w:sz w:val="17"/>
                <w:szCs w:val="17"/>
                <w:color w:val="auto"/>
              </w:rPr>
              <w:t>: Summit Permian Transmission’s variable rate senior secured term loan due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129,321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2028</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2029 Secured Notes</w:t>
            </w:r>
            <w:r>
              <w:rPr>
                <w:rFonts w:ascii="Times New Roman" w:cs="Times New Roman" w:eastAsia="Times New Roman" w:hAnsi="Times New Roman"/>
                <w:sz w:val="17"/>
                <w:szCs w:val="17"/>
                <w:color w:val="auto"/>
              </w:rPr>
              <w:t>: 8.625% senior secured second lien notes due October 2029</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575,000</w:t>
            </w:r>
          </w:p>
        </w:tc>
      </w:tr>
      <w:tr>
        <w:trPr>
          <w:trHeight w:val="23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unamortized debt discount and debt issuance costs</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99"/>
              </w:rPr>
              <w:t>(15,746)</w:t>
            </w:r>
          </w:p>
        </w:tc>
      </w:tr>
      <w:tr>
        <w:trPr>
          <w:trHeight w:val="25"/>
        </w:trPr>
        <w:tc>
          <w:tcPr>
            <w:tcW w:w="8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 net of unamortized debt discount, premium and debt issuance costs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1,045,570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993,575</w:t>
            </w:r>
          </w:p>
        </w:tc>
      </w:tr>
      <w:tr>
        <w:trPr>
          <w:trHeight w:val="25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xml:space="preserve">Less: current portion of Permian Transmission Term Loan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w w:val="99"/>
              </w:rPr>
              <w:t>(16,580)</w:t>
            </w:r>
          </w:p>
        </w:tc>
      </w:tr>
      <w:tr>
        <w:trPr>
          <w:trHeight w:val="27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1,024,347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976,995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620" w:hanging="307"/>
        <w:spacing w:after="0"/>
        <w:tabs>
          <w:tab w:leader="none" w:pos="620" w:val="left"/>
        </w:tabs>
        <w:numPr>
          <w:ilvl w:val="0"/>
          <w:numId w:val="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include $4.3 million for 2025 principal payment made on January 2,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amount of Company’s debt maturing during each of the years after December 31, 2025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21,223</w:t>
            </w: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17,769</w:t>
            </w: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78,006</w:t>
            </w:r>
          </w:p>
        </w:tc>
      </w:tr>
      <w:tr>
        <w:trPr>
          <w:trHeight w:val="219"/>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938,000</w:t>
            </w: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9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debt</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1,054,998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Amended and Restated ABL Facility. </w:t>
      </w:r>
      <w:r>
        <w:rPr>
          <w:rFonts w:ascii="Times New Roman" w:cs="Times New Roman" w:eastAsia="Times New Roman" w:hAnsi="Times New Roman"/>
          <w:sz w:val="17"/>
          <w:szCs w:val="17"/>
          <w:color w:val="auto"/>
        </w:rPr>
        <w:t>Concurrently with the issuance of the 2029 Secured Notes, as discussed below, on July 26, 2024, Summit Holdings,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borrower, amended and restated its existing first-lien, senior secured credit agreement pursuant to that certain Amended and Restated Loan and Security Agreement (the “Amended and Restated ABL Agreement”), with SMLP, the subsidiaries party thereto, Bank of America, N.A., as agent, and the several lenders and other agents party thereto,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December 31, 2025, the most recent borrowing base determination of eligible assets, totaled $809.8 million, an amount greater than the $500.0 million of aggregate lending commitments.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7"/>
          <w:szCs w:val="17"/>
          <w:color w:val="auto"/>
        </w:rPr>
        <w:t>$50.0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w:t>
      </w:r>
    </w:p>
    <w:p>
      <w:pPr>
        <w:ind w:right="160" w:firstLine="3"/>
        <w:spacing w:after="0" w:line="259" w:lineRule="auto"/>
        <w:tabs>
          <w:tab w:leader="none" w:pos="24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(such date, the “Amended and Restated ABL Termination Date”).</w:t>
      </w:r>
    </w:p>
    <w:p>
      <w:pPr>
        <w:spacing w:after="0" w:line="7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Borrowings under the Amended and Restated ABL Facility bear interest at rates equal to, at the election of Summit Holdings, at a SOFR-based rate or a base rate, in each case, plus an applicable borrowing margin based on our Total Net Leverage Ratio (as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05" w:name="page106"/>
    <w:bookmarkEnd w:id="105"/>
    <w:p>
      <w:pPr>
        <w:spacing w:after="0" w:line="270" w:lineRule="auto"/>
        <w:rPr>
          <w:sz w:val="20"/>
          <w:szCs w:val="20"/>
          <w:color w:val="auto"/>
        </w:rPr>
      </w:pPr>
      <w:r>
        <w:rPr>
          <w:rFonts w:ascii="Times New Roman" w:cs="Times New Roman" w:eastAsia="Times New Roman" w:hAnsi="Times New Roman"/>
          <w:sz w:val="17"/>
          <w:szCs w:val="17"/>
          <w:color w:val="auto"/>
        </w:rPr>
        <w:t>defined in the Amended and Restated ABL Agreement consistent with the Amended and Restated ABL Facility). The applicable margin for base rate loans varies from 1.50% to 2.25% and the applicable margin for SOFR-based loans varies from 2.50% to 3.25%, in each case, depending on the Company’s Total Net Leverage Ratio (as defined in the Amended and Restated ABL Agreement).</w:t>
      </w:r>
    </w:p>
    <w:p>
      <w:pPr>
        <w:spacing w:after="0" w:line="6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spacing w:after="0" w:line="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spacing w:after="0" w:line="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December 31, 2025, the First Lien Net Leverage Ratio was 0.48:1.00 and the Interest Coverage Ratio was 2.70:1.00, and the Company was in compliance with the financial covenants of the Amended and Restated ABL Facility.</w:t>
      </w:r>
    </w:p>
    <w:p>
      <w:pPr>
        <w:spacing w:after="0" w:line="68"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7"/>
          <w:szCs w:val="17"/>
          <w:color w:val="auto"/>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spacing w:after="0" w:line="6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7"/>
          <w:szCs w:val="17"/>
          <w:color w:val="auto"/>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the Company, (iii)</w:t>
      </w:r>
    </w:p>
    <w:p>
      <w:pPr>
        <w:spacing w:after="0" w:line="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7"/>
          <w:szCs w:val="17"/>
          <w:color w:val="auto"/>
        </w:rPr>
        <w:t>Closing Date Material Gathering Station Real Property and Closing Date Pipeline Material Gathering Station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r>
        <w:rPr>
          <w:rFonts w:ascii="Times New Roman" w:cs="Times New Roman" w:eastAsia="Times New Roman" w:hAnsi="Times New Roman"/>
          <w:sz w:val="17"/>
          <w:szCs w:val="17"/>
          <w:i w:val="1"/>
          <w:iCs w:val="1"/>
          <w:color w:val="auto"/>
        </w:rPr>
        <w:t>.</w:t>
      </w:r>
    </w:p>
    <w:p>
      <w:pPr>
        <w:spacing w:after="0" w:line="7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As of December 31, 2025, the applicable margin under the adjusted SOFR borrowings was 2.75%, the interest rate was 6.57%, and the total available borrowing capacity totaled $385.7 million, after giving effect to certain adjustments that are primarily related to the issuance of $0.8 million in outstanding but undrawn irrevocable standby letters of credit.</w:t>
      </w:r>
    </w:p>
    <w:p>
      <w:pPr>
        <w:spacing w:after="0" w:line="5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Intercreditor Agreement. </w:t>
      </w:r>
      <w:r>
        <w:rPr>
          <w:rFonts w:ascii="Times New Roman" w:cs="Times New Roman" w:eastAsia="Times New Roman" w:hAnsi="Times New Roman"/>
          <w:sz w:val="17"/>
          <w:szCs w:val="17"/>
          <w:color w:val="auto"/>
        </w:rPr>
        <w:t>On November 2, 2021, in connection with the entry into the ABL Facility and issuance of the 2026 Secured Notes, Summit Holdings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other guarantors party thereto entered into an Intercreditor Agreement (as reaffirmed and modified by the Notice of Reaffirmation (as defined below), the “Intercreditor Agreement”) with Bank of America, N.A., as first lien representative and collateral agent for the initial first lien claimholders, Regions Bank, as second lien representative for the initial second lien claimholders and collateral agent for the initial second lien claimholders. On July 26, 2024, in connection with and substantially concurrently with the entry into the Amended and Restated ABL Agreement, Bank of America, N.A. reaffirmed the Intercreditor Agreement pursuant to that certain Notice and Reaffirmation of Intercreditor Agreement (the “Notice of Reaffirmation”), dated as of July 26, 2024, and Regions Bank joined the Intercreditor Agreement as an additional second lien representative for the additional second lien claimholders and additional second lien collateral agent for the additional second lien claimholders. The Intercreditor Agreement established (i) a first-priority lien (subject to permitted liens) status for the liens on the collateral securing the Amended and Restated ABL Facility and any additional first-lien indebtedness and (ii) a junior priority lien (subject to permitted liens) status for the liens on the collateral securing the 2029 Secured Notes and any additional second-lien indebtedness.</w:t>
      </w:r>
    </w:p>
    <w:p>
      <w:pPr>
        <w:spacing w:after="0" w:line="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Permian Transmission Credit Facilities. </w:t>
      </w:r>
      <w:r>
        <w:rPr>
          <w:rFonts w:ascii="Times New Roman" w:cs="Times New Roman" w:eastAsia="Times New Roman" w:hAnsi="Times New Roman"/>
          <w:sz w:val="17"/>
          <w:szCs w:val="17"/>
          <w:color w:val="auto"/>
        </w:rPr>
        <w:t>On March 8, 2021 (the “Permian Closing Date”), the Company’s unrestricted subsidiary, Summit Permian Transmission,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Unexpended proceeds from draws on the Permian Transmission Credit Facilities are classified as restricted cash on the accompanying consolidated balance sheets.</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As of December 31, 2025, the applicable margin under adjusted term SOFR borrowings was 2.475%, the interest rate was 6.50% and the unused portion of the Permian Transmission Credit Facilities totaled $2.0 million, subject to a commitment fee of 0.7% after giving effect to the issuance of $13.0 million in outstanding but undrawn irrevocable standby letters of credit. Summit Permian Transmission entered into interest rate hedges with notional amounts representing approximately 90% of the Permian Term Loan Facility at a fixed SOFR rate of 1.23%. As of December 31, 2025, the Company was in compliance with the financial covenants of the Permian Transmission Credit Facilities. See Note 19 - Subsequent Events for additional information.</w:t>
      </w:r>
    </w:p>
    <w:p>
      <w:pPr>
        <w:spacing w:after="0" w:line="6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Permian Transmission Term Loan. </w:t>
      </w:r>
      <w:r>
        <w:rPr>
          <w:rFonts w:ascii="Times New Roman" w:cs="Times New Roman" w:eastAsia="Times New Roman" w:hAnsi="Times New Roman"/>
          <w:sz w:val="17"/>
          <w:szCs w:val="17"/>
          <w:color w:val="auto"/>
        </w:rPr>
        <w:t>In accordance with the terms of the Permian Transmission Credit Facilities, in January 2022, the Permian Term Loan Facility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converted into a Term Loan (the “Permian Transmission Term Loan”). The Permian Transmission Term Loan is due January 2028. As of December 31, 2025, the applicable margin under adjusted term SOFR borrowings was 2.475% and the interest rate was 6.50%. As of December 31, 2025, the Company was in compliance with the financial covenants governing the Permian Transmission Term Loan. See Note 19 - Subsequent Events for additional information.</w:t>
      </w:r>
    </w:p>
    <w:p>
      <w:pPr>
        <w:spacing w:after="0" w:line="6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accordance with the terms of the Permian Transmission Term Loan, Summit Permian Transmission is required to make mandatory principal repayments. Below is a summary of the remaining mandatory principal repayments as of December 31, 2025:</w:t>
      </w:r>
    </w:p>
    <w:tbl>
      <w:tblPr>
        <w:tblLayout w:type="fixed"/>
        <w:tblInd w:w="0" w:type="dxa"/>
        <w:tblCellMar>
          <w:top w:w="0" w:type="dxa"/>
          <w:left w:w="0" w:type="dxa"/>
          <w:bottom w:w="0" w:type="dxa"/>
          <w:right w:w="0" w:type="dxa"/>
        </w:tblCellMar>
      </w:tblPr>
      <w:tr>
        <w:trPr>
          <w:trHeight w:val="21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3"/>
              <w:spacing w:after="0" w:line="209" w:lineRule="exact"/>
              <w:rPr>
                <w:sz w:val="20"/>
                <w:szCs w:val="20"/>
                <w:color w:val="auto"/>
              </w:rPr>
            </w:pPr>
            <w:r>
              <w:rPr>
                <w:rFonts w:ascii="Times New Roman" w:cs="Times New Roman" w:eastAsia="Times New Roman" w:hAnsi="Times New Roman"/>
                <w:sz w:val="15"/>
                <w:szCs w:val="15"/>
                <w:b w:val="1"/>
                <w:bCs w:val="1"/>
                <w:color w:val="auto"/>
              </w:rPr>
              <w:t xml:space="preserve">2026 </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Thereafter</w:t>
            </w: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Amortizing principal repayments</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78,006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w:t>
            </w:r>
          </w:p>
        </w:tc>
      </w:tr>
    </w:tbl>
    <w:p>
      <w:pPr>
        <w:spacing w:after="0" w:line="100" w:lineRule="exact"/>
        <w:rPr>
          <w:sz w:val="20"/>
          <w:szCs w:val="20"/>
          <w:color w:val="auto"/>
        </w:rPr>
      </w:pPr>
    </w:p>
    <w:p>
      <w:pPr>
        <w:ind w:left="620" w:hanging="307"/>
        <w:spacing w:after="0"/>
        <w:tabs>
          <w:tab w:leader="none" w:pos="620"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include $4.3 million for 2025 principal payment made on January 2, 2026.</w:t>
      </w:r>
    </w:p>
    <w:p>
      <w:pPr>
        <w:spacing w:after="0" w:line="7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2029 Secured Notes. </w:t>
      </w:r>
      <w:r>
        <w:rPr>
          <w:rFonts w:ascii="Times New Roman" w:cs="Times New Roman" w:eastAsia="Times New Roman" w:hAnsi="Times New Roman"/>
          <w:sz w:val="17"/>
          <w:szCs w:val="17"/>
          <w:color w:val="auto"/>
        </w:rPr>
        <w:t>On July 26, 2024, Summit Holdings issued $575.0 million aggregate principal amount of 8.625% Senior Secured Second Lien Notes due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at a price of 103.375% of their face value, as additional notes under the same indenture pursuant to which, on July 26, 2024, Summit Holdings issued $575.0 million in aggregate principal amount of 2029 Secured Notes. The 2029 Secured Notes mature on October 31, 2029 and have interest payable semi-annually in arrears on each February 15 and August 15.</w:t>
      </w:r>
    </w:p>
    <w:p>
      <w:pPr>
        <w:spacing w:after="0" w:line="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Redemption Price</w:t>
            </w:r>
          </w:p>
        </w:tc>
      </w:tr>
      <w:tr>
        <w:trPr>
          <w:trHeight w:val="25"/>
        </w:trPr>
        <w:tc>
          <w:tcPr>
            <w:tcW w:w="5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18"/>
        </w:trPr>
        <w:tc>
          <w:tcPr>
            <w:tcW w:w="5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July 31, 2026 to July 30, 2027</w:t>
            </w:r>
          </w:p>
        </w:tc>
        <w:tc>
          <w:tcPr>
            <w:tcW w:w="80" w:type="dxa"/>
            <w:vAlign w:val="bottom"/>
            <w:tcBorders>
              <w:bottom w:val="single" w:sz="8" w:color="CFF0FC"/>
            </w:tcBorders>
            <w:shd w:val="clear" w:color="auto" w:fill="CFF0FC"/>
          </w:tcPr>
          <w:p>
            <w:pPr>
              <w:spacing w:after="0"/>
              <w:rPr>
                <w:sz w:val="18"/>
                <w:szCs w:val="18"/>
                <w:color w:val="auto"/>
              </w:rPr>
            </w:pPr>
          </w:p>
        </w:tc>
        <w:tc>
          <w:tcPr>
            <w:tcW w:w="5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104.313%</w:t>
            </w:r>
          </w:p>
        </w:tc>
      </w:tr>
      <w:tr>
        <w:trPr>
          <w:trHeight w:val="223"/>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July 31, 2027 to July 30, 2028</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102.156%</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3"/>
        </w:trPr>
        <w:tc>
          <w:tcPr>
            <w:tcW w:w="56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7"/>
                <w:szCs w:val="17"/>
                <w:color w:val="auto"/>
              </w:rPr>
              <w:t>July 31, 2028 and thereafter</w:t>
            </w:r>
          </w:p>
        </w:tc>
        <w:tc>
          <w:tcPr>
            <w:tcW w:w="5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100.000%</w:t>
            </w:r>
          </w:p>
        </w:tc>
      </w:tr>
      <w:tr>
        <w:trPr>
          <w:trHeight w:val="22"/>
        </w:trPr>
        <w:tc>
          <w:tcPr>
            <w:tcW w:w="5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580" w:type="dxa"/>
            <w:vAlign w:val="bottom"/>
            <w:shd w:val="clear" w:color="auto" w:fill="CFF0FC"/>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Company was in compliance with the financial covenants of the indenture governing the 2029 Secured Notes.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2026 Secured Notes. </w:t>
      </w:r>
      <w:r>
        <w:rPr>
          <w:rFonts w:ascii="Times New Roman" w:cs="Times New Roman" w:eastAsia="Times New Roman" w:hAnsi="Times New Roman"/>
          <w:sz w:val="17"/>
          <w:szCs w:val="17"/>
          <w:color w:val="auto"/>
        </w:rPr>
        <w:t>In 2021, Summit Holdings and Summit Midstream Finance Corp. (“Finance Corp.”) issued $700.0 million of 8.500% Senior Secured Second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Lien Notes due 2026 (the “2026 Secured Notes”) to eligible purchasers pursuant to Rule 144A and Regulation S of the Securities Act, at a price of 98.5% of their face value. Additionally, in November 2022, in connection with the acquisition of Outrigger DJ Midstream LLC from Outrigger Energy II LLC, and each of Sterling Energy Investments LLC, Grasslands Energy Marketing LLC and Centennial Water Pipelines LLC from Sterling Investment Holdings LLC, Summit Holdings and Finance Corp issued an additional $85.0 million of 2026 Secured Notes at a price of 99.26% of their face value. The Company paid interest on the 2026 Secured Notes semi-annually on April 15 and October 15 of each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7" w:name="page108"/>
    <w:bookmarkEnd w:id="107"/>
    <w:p>
      <w:pPr>
        <w:jc w:val="both"/>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2026 Secured Notes Tender Offers and Redemption. </w:t>
      </w:r>
      <w:r>
        <w:rPr>
          <w:rFonts w:ascii="Times New Roman" w:cs="Times New Roman" w:eastAsia="Times New Roman" w:hAnsi="Times New Roman"/>
          <w:sz w:val="17"/>
          <w:szCs w:val="17"/>
          <w:color w:val="auto"/>
        </w:rPr>
        <w:t>On March 27, 2024, Summit Holdings and Finance Corp. commenced a cash tender offer to purchase up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$19.3 million of the outstanding 2026 Secured Notes (the “Excess Cash Flow Offer”). The Excess Cash Flow Offer expired on April 24, 2024 with $13.6 million of the 2026 Secured Notes tendered and validly accepted and fully discharged.</w:t>
      </w:r>
    </w:p>
    <w:p>
      <w:pPr>
        <w:spacing w:after="0" w:line="6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On May 7, 2024, Summit Holdings and Finance Corp. commenced a cash tender offer to purchase up to $215.0 million of the outstanding 2026 Secured Notes (the “2026 Secured Notes Asset Sale Offer”). The 2026 Secured Notes Asset Sale Offer expired on June 5, 2024 with $6.9 million of the 2026 Secured Notes tendered and validly accepted and fully discharged.</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26, 2024, concurrently with closing the offering of 2029 Secured Notes, Summit Holdings and Finance Corp. consummated a cash tender offer to purchase any and all of the outstanding 2026 Secured Notes (the “2026 Secured Notes Tender Offer”). Summit Holdings and Finance Corp. accepted for payment and made payment for $649.8 million aggregate principal amount of the 2026 Secured Notes validly tendered in the 2026 Secured Notes Tender Offer.</w:t>
      </w:r>
    </w:p>
    <w:p>
      <w:pPr>
        <w:spacing w:after="0" w:line="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w:t>
      </w:r>
    </w:p>
    <w:p>
      <w:pPr>
        <w:spacing w:after="0" w:line="6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On July 26, 2024, concurrently with delivery of the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 and as of December 31, 2025, no amounts of the 2026 Secured Notes remained outstanding.</w:t>
      </w:r>
    </w:p>
    <w:p>
      <w:pPr>
        <w:spacing w:after="0" w:line="6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2026 Unsecured Notes. </w:t>
      </w:r>
      <w:r>
        <w:rPr>
          <w:rFonts w:ascii="Times New Roman" w:cs="Times New Roman" w:eastAsia="Times New Roman" w:hAnsi="Times New Roman"/>
          <w:sz w:val="17"/>
          <w:szCs w:val="17"/>
          <w:color w:val="auto"/>
        </w:rPr>
        <w:t>In November 2023, Summit Holdings and Finance Corp. issued a total of $209.5 million aggregate principal amount of 2026 Unsecured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(“2026 Unsecured Notes”) in exchange for $180.0 million aggregate principal amount of the 2025 Senior Notes and $29.5 million in cash. The cash raised was used to repurchase $29.7 million aggregate principal amount of the remaining 2025 Senior Notes that were not exchanged. The Company paid interest on the 2026 Unsecured Notes semi-annually in cash in arrears on April 15 and October 15 of each year.</w:t>
      </w:r>
    </w:p>
    <w:p>
      <w:pPr>
        <w:spacing w:after="0" w:line="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On June 7, 2024, Summit Holdings and Finance Corp. delivered a redemption notice with respect to all $209.5 million of the outstanding 2026 Unsecured Notes. On June 24, 2024, the 2026 Unsecured Notes were fully repaid and discharged. As of December 31, 2025, no amounts of the 2026 Unsecured Notes remained outstanding.</w:t>
      </w:r>
    </w:p>
    <w:p>
      <w:pPr>
        <w:spacing w:after="0" w:line="56"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2025 Senior Notes. </w:t>
      </w:r>
      <w:r>
        <w:rPr>
          <w:rFonts w:ascii="Times New Roman" w:cs="Times New Roman" w:eastAsia="Times New Roman" w:hAnsi="Times New Roman"/>
          <w:sz w:val="17"/>
          <w:szCs w:val="17"/>
          <w:color w:val="auto"/>
        </w:rPr>
        <w:t>In February 2017, Summit Holdings and Finance Corp. issued the 2025 Senior Notes. The Company paid interest on the 2025 Senior Notes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semi-annually in cash in arrears on April 15 and October 15 of each year.</w:t>
      </w:r>
    </w:p>
    <w:p>
      <w:pPr>
        <w:spacing w:after="0" w:line="43"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Summit Holdings and Finance Corp. had the right to redeem all or part of the 2025 Senior Notes at a redemption price of 100.00%, plus accrued and unpaid interest, if any, to, but not including, the redemption date.</w:t>
      </w:r>
    </w:p>
    <w:p>
      <w:pPr>
        <w:spacing w:after="0" w:line="4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In November 2023, the Company exchanged $180.0 million aggregate principal amount of the 2025 Senior Notes and repurchased $29.7 million aggregate principal amount of the remaining 2025 Senior Notes that were not exchanged.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17, 2024, Summit Holdings and Finance Corp. delivered a conditional notice of redemption to holders of 2025 Senior Notes for the redemption of all</w:t>
      </w:r>
    </w:p>
    <w:p>
      <w:pPr>
        <w:spacing w:after="0" w:line="2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$49.8 million aggregate principal amount of outstanding 2025 Senior Notes, at a price equal to 100.00% of the principal amount thereof, plus accrued and unpaid interest to the redemption date, which was conditioned on the closing of the offering of 2029 Secured Notes.</w:t>
      </w:r>
    </w:p>
    <w:p>
      <w:pPr>
        <w:spacing w:after="0" w:line="66"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7"/>
          <w:szCs w:val="17"/>
          <w:color w:val="auto"/>
        </w:rPr>
        <w:t>On July 26, 2024, concurrently with the closing of the offering of 2029 Secured Notes, Summit Holdings and Finance Corp. irrevocably deposited $50.6 million in aggregate principal amount of non-callable U.S. Treasury securities, which included amounts for principal and interest with the trustee to satisfy and discharge the 2025 Senior Notes until redeemed with the funds deposited with the trustee. On August 16, 2024, the 2025 Senior Notes were fully repaid, and as of December 31, 2025, no amounts of the 2025 Senior Notes remained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11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Environmental Matters. </w:t>
      </w:r>
      <w:r>
        <w:rPr>
          <w:rFonts w:ascii="Times New Roman" w:cs="Times New Roman" w:eastAsia="Times New Roman" w:hAnsi="Times New Roman"/>
          <w:sz w:val="17"/>
          <w:szCs w:val="17"/>
          <w:color w:val="auto"/>
        </w:rPr>
        <w:t>Although the Company believes that it is in material compliance with applicable environmental regulations, the risk of environmental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spacing w:after="0" w:line="6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has recognized (i) a current liability for remediation effort expenditures expected to be incurred within the next 12 months and (ii) a noncurrent liability for estimated remediation expenditures expected to be incurred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8" w:name="page109"/>
    <w:bookmarkEnd w:id="108"/>
    <w:p>
      <w:pPr>
        <w:ind w:right="120"/>
        <w:spacing w:after="0" w:line="287" w:lineRule="auto"/>
        <w:rPr>
          <w:sz w:val="20"/>
          <w:szCs w:val="20"/>
          <w:color w:val="auto"/>
        </w:rPr>
      </w:pPr>
      <w:r>
        <w:rPr>
          <w:rFonts w:ascii="Times New Roman" w:cs="Times New Roman" w:eastAsia="Times New Roman" w:hAnsi="Times New Roman"/>
          <w:sz w:val="17"/>
          <w:szCs w:val="17"/>
          <w:color w:val="auto"/>
        </w:rPr>
        <w:t>subsequent to December 31, 2026. Each of these amounts represent the Company’s best estimate for costs expected to be incurred. Neither of these amounts have been discounted to their present value.</w:t>
      </w:r>
    </w:p>
    <w:p>
      <w:pPr>
        <w:spacing w:after="0" w:line="48"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An update of the Company’s undiscounted accrued environmental remediation is as follows and is primarily related to the 2015 Blacktail Release and other environmental remediation activities, as detailed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58"/>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environmental remediation, December 31,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r>
      <w:tr>
        <w:trPr>
          <w:trHeight w:val="258"/>
        </w:trPr>
        <w:tc>
          <w:tcPr>
            <w:tcW w:w="9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made</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w:t>
            </w:r>
          </w:p>
        </w:tc>
      </w:tr>
      <w:tr>
        <w:trPr>
          <w:trHeight w:val="258"/>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estimates</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51"/>
        </w:trPr>
        <w:tc>
          <w:tcPr>
            <w:tcW w:w="9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environmental remediation, December 31, 2024</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58"/>
        </w:trPr>
        <w:tc>
          <w:tcPr>
            <w:tcW w:w="9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made</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58"/>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Changes in estimates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76"/>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environmental remediation, December 31, 2025</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Blacktail Release: (i) a Consent Decree with the U.S. Department of Justice,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December 31, 2025 and 2024, the accrued loss liability for the 2015 Blacktail Release was $8.3 million and $15.0 million, respectively, and are recorded within Other noncurrent liabilities and Accrued settlement payable within the consolidated balance sheets. The Company intends to fully satisfy all monetary obligations related to the 2015 Blacktail Release by December 31, 2026.</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Key terms of the Global Settlement included (i) payment of penalties and fines totaling $36.3 million, consisting of $1.25 million in natural resource damages payable to federal and state governments, $25.0 million payable to the federal government over five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spacing w:after="0" w:line="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Subsidiaries of the Company are also participating in two proceedings before the EPA as a result of the Plea Agreement becoming effective. Following the U.S. District Court’s entering judgment on the Defendant’s guilty plea to one count of negligent discharge of produced water in violation of the Clean Water Act, the Defendant was statutorily debarred by operation of law pursuant to 33 U.S.C. § 1368(a) to participate in federal awards performed at the “violating facility,” which the EPA determined to be the Marmon subsystem of the produced water gathering system in North Dakota. The scope and effect of the debarment as defined do not materially affect the Company’s operations. The Defendant has submitted a petition for reinstatement, which was denied by the EPA’s suspension and debarment office (“SDO”) on July 11, 2022. The SDO determined that the term of probation in the Plea Agreement was the appropriate period of time to demonstrate the Defendant’s change of corporate attitude, policies, practices, and procedures. SMLP and certain subsidiaries of SMLP have also received a show cause notice from the EPA requesting us to “show cause” why SDO should not issue a Notice of Proposed Debarment to the Defendant and certain affiliates under 2 C.F.R. § 180.800(d), to which SMLP responded, and in which proceeding no further developments have occurred.</w:t>
      </w:r>
    </w:p>
    <w:p>
      <w:pPr>
        <w:spacing w:after="0" w:line="7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Legal Proceedings. </w:t>
      </w:r>
      <w:r>
        <w:rPr>
          <w:rFonts w:ascii="Times New Roman" w:cs="Times New Roman" w:eastAsia="Times New Roman" w:hAnsi="Times New Roman"/>
          <w:sz w:val="17"/>
          <w:szCs w:val="17"/>
          <w:color w:val="auto"/>
        </w:rPr>
        <w:t>The Company is involved in various litigation and administrative proceedings arising in the ordinary course of business. In the opinion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9" w:name="page110"/>
    <w:bookmarkEnd w:id="109"/>
    <w:p>
      <w:pPr>
        <w:ind w:right="340"/>
        <w:spacing w:after="0" w:line="287" w:lineRule="auto"/>
        <w:rPr>
          <w:sz w:val="20"/>
          <w:szCs w:val="20"/>
          <w:color w:val="auto"/>
        </w:rPr>
      </w:pPr>
      <w:r>
        <w:rPr>
          <w:rFonts w:ascii="Times New Roman" w:cs="Times New Roman" w:eastAsia="Times New Roman" w:hAnsi="Times New Roman"/>
          <w:sz w:val="17"/>
          <w:szCs w:val="17"/>
          <w:color w:val="auto"/>
        </w:rPr>
        <w:t>amount recoverable from the insurance company. As of December 31, 2025, the Company has an accrued loss liability of $0.9 million related to ongoing legal matters.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FINANCIAL INSTRUMENTS</w:t>
      </w:r>
    </w:p>
    <w:p>
      <w:pPr>
        <w:spacing w:after="0" w:line="11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Concentrations of Credit Risk. </w:t>
      </w:r>
      <w:r>
        <w:rPr>
          <w:rFonts w:ascii="Times New Roman" w:cs="Times New Roman" w:eastAsia="Times New Roman" w:hAnsi="Times New Roman"/>
          <w:sz w:val="17"/>
          <w:szCs w:val="17"/>
          <w:color w:val="auto"/>
        </w:rPr>
        <w:t>Financial instruments that potentially subject the Company to concentrations of credit risk consist of cash and cash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cash, and accounts receivable. The Company maintains its cash and cash equivalents and restricted cash in bank deposit accounts that frequently exceed federally insured limits. The Company has not experienced any losses in such accounts and does not believe it is exposed to any significant risk.</w:t>
      </w:r>
    </w:p>
    <w:p>
      <w:pPr>
        <w:spacing w:after="0" w:line="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Accounts receivable primarily comprise amounts due for the gathering, compression, treating, and processing services the Company provides to its customers and also the sale of natural gas liquids resulting from its processing services. This industry concentration has the potential to impact its overall exposure to credit risk, either positively or negatively, in that the Company’s customers may be similarly affected by changes in economic, industry or other conditions. The Company monitors the creditworthiness of its counterparties and can require letters of credit or other forms of credit assurance for receivables from counterparties that are judged to have substandard credit unless the credit risk can otherwise be mitigated.</w:t>
      </w:r>
    </w:p>
    <w:p>
      <w:pPr>
        <w:spacing w:after="0" w:line="66"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Fair Value. </w:t>
      </w:r>
      <w:r>
        <w:rPr>
          <w:rFonts w:ascii="Times New Roman" w:cs="Times New Roman" w:eastAsia="Times New Roman" w:hAnsi="Times New Roman"/>
          <w:sz w:val="17"/>
          <w:szCs w:val="17"/>
          <w:color w:val="auto"/>
        </w:rPr>
        <w:t>The carrying amount of cash and cash equivalents, restricted cash, accounts receivable and trade accounts payable reported on the consolidated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balance sheet approximates fair value due to their short-term maturities.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estimated fair value of the Company’s debt financial instruments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5"/>
                <w:szCs w:val="15"/>
                <w:color w:val="auto"/>
              </w:rPr>
            </w:pPr>
          </w:p>
        </w:tc>
        <w:tc>
          <w:tcPr>
            <w:tcW w:w="2560" w:type="dxa"/>
            <w:vAlign w:val="bottom"/>
            <w:gridSpan w:val="3"/>
          </w:tcPr>
          <w:p>
            <w:pPr>
              <w:jc w:val="right"/>
              <w:ind w:right="84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center"/>
              <w:ind w:right="207"/>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400" w:type="dxa"/>
            <w:vAlign w:val="bottom"/>
          </w:tcPr>
          <w:p>
            <w:pPr>
              <w:spacing w:after="0"/>
              <w:rPr>
                <w:sz w:val="14"/>
                <w:szCs w:val="14"/>
                <w:color w:val="auto"/>
              </w:rPr>
            </w:pPr>
          </w:p>
        </w:tc>
        <w:tc>
          <w:tcPr>
            <w:tcW w:w="1060" w:type="dxa"/>
            <w:vAlign w:val="bottom"/>
            <w:vMerge w:val="restart"/>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4"/>
                <w:szCs w:val="14"/>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52"/>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fair value</w:t>
            </w:r>
          </w:p>
        </w:tc>
        <w:tc>
          <w:tcPr>
            <w:tcW w:w="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center"/>
              <w:ind w:right="207"/>
              <w:spacing w:after="0" w:line="152" w:lineRule="exact"/>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21"/>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4"/>
                <w:szCs w:val="14"/>
                <w:b w:val="1"/>
                <w:bCs w:val="1"/>
                <w:color w:val="auto"/>
                <w:w w:val="88"/>
              </w:rPr>
              <w:t xml:space="preserve">Value </w:t>
            </w:r>
            <w:r>
              <w:rPr>
                <w:rFonts w:ascii="Times New Roman" w:cs="Times New Roman" w:eastAsia="Times New Roman" w:hAnsi="Times New Roman"/>
                <w:sz w:val="17"/>
                <w:szCs w:val="17"/>
                <w:b w:val="1"/>
                <w:bCs w:val="1"/>
                <w:color w:val="auto"/>
                <w:w w:val="88"/>
                <w:vertAlign w:val="superscript"/>
              </w:rPr>
              <w:t>(1)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b w:val="1"/>
                <w:bCs w:val="1"/>
                <w:color w:val="auto"/>
                <w:w w:val="88"/>
              </w:rPr>
              <w:t xml:space="preserve">Value </w:t>
            </w:r>
            <w:r>
              <w:rPr>
                <w:rFonts w:ascii="Times New Roman" w:cs="Times New Roman" w:eastAsia="Times New Roman" w:hAnsi="Times New Roman"/>
                <w:sz w:val="17"/>
                <w:szCs w:val="17"/>
                <w:b w:val="1"/>
                <w:bCs w:val="1"/>
                <w:color w:val="auto"/>
                <w:w w:val="88"/>
                <w:vertAlign w:val="superscript"/>
              </w:rPr>
              <w:t>(1)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 Secured Notes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825,000</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851,125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rPr>
              <w:t>575,000</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595,125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20" w:hanging="117"/>
        <w:spacing w:after="0"/>
        <w:tabs>
          <w:tab w:leader="none" w:pos="120" w:val="left"/>
        </w:tabs>
        <w:numPr>
          <w:ilvl w:val="0"/>
          <w:numId w:val="6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applicable unamortized debt issuance costs and debt discounts.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carrying values on the balance sheets of both the Amended and Restated ABL Facility and Permian Transmission Term Loan represents their fair values due to their floating interest rates. The fair value for the 2029 Secured Notes is based on an average of nonbinding broker quotes as of December 31, 2025 and 2024. The use of different market assumptions or valuation methodologies may have a material effect on the estimated fair value.</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Deferred Earn-Outs. </w:t>
      </w:r>
      <w:r>
        <w:rPr>
          <w:rFonts w:ascii="Times New Roman" w:cs="Times New Roman" w:eastAsia="Times New Roman" w:hAnsi="Times New Roman"/>
          <w:sz w:val="17"/>
          <w:szCs w:val="17"/>
          <w:color w:val="auto"/>
        </w:rPr>
        <w:t>The estimated fair value of the Company’s deferred earn-outs are remeasured each reporting period and estimated using discounted cash flow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techniques with appropriate discount rates. Given the unobservable nature of the inputs, the fair value measurement of the deferred earn-out is deemed to use Level 3 inputs.</w:t>
      </w:r>
    </w:p>
    <w:p>
      <w:pPr>
        <w:spacing w:after="0" w:line="5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Tall Oak earn-out: </w:t>
      </w:r>
      <w:r>
        <w:rPr>
          <w:rFonts w:ascii="Times New Roman" w:cs="Times New Roman" w:eastAsia="Times New Roman" w:hAnsi="Times New Roman"/>
          <w:sz w:val="17"/>
          <w:szCs w:val="17"/>
          <w:color w:val="auto"/>
        </w:rPr>
        <w:t>In connection with the Tall Oak Acquisition, the Company incurred a deferred earn-out liability. As of December 31, 2025, the estimated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deferred earn-out liability recorded on the Company’s consolidated balance sheet was $21.5 million which is reflected within other current liabilities. The earn-out becomes payable to Tall Oak Parent subject to Tall Oak and its customers meeting certain development requirements.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Interest Rate Swaps. </w:t>
      </w:r>
      <w:r>
        <w:rPr>
          <w:rFonts w:ascii="Times New Roman" w:cs="Times New Roman" w:eastAsia="Times New Roman" w:hAnsi="Times New Roman"/>
          <w:sz w:val="17"/>
          <w:szCs w:val="17"/>
          <w:color w:val="auto"/>
        </w:rPr>
        <w:t>In connection with the Permian Transmission Term Loan, formerly the Permian Transmission Credit Facilities, SMLP entered into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amortizing interest rate swap agreements. As of December 31, 2025 and 2024, the outstanding notional amount of interest rate swaps was $101.5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$116.4 million, respectively. These interest rate swaps manage exposure to variability in expected cash flows attributable to interest rate risk. Interest rate swaps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 a portion of the Company’s variable rate debt to fixed rate debt. The Company chooses counterparties for its derivative instruments that it believes 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creditworthy at the time the transactions are entered into, and the Company actively monitors the creditworthiness where applicable. However, there can be 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assurance that a counterparty will be able to meet its obligations to the Company. The Company presents its derivative positions on a gross basis and does not net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asset and liability positions.</w:t>
      </w:r>
    </w:p>
    <w:p>
      <w:pPr>
        <w:spacing w:after="0" w:line="9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As of December 31, 2025 and 2024, the Company’s interest rate swap agreements had a fair value of $6.6 million and $11.0 million, respectively, and are recorded within other noncurrent assets within the consolidated balance sheets. The derivative instruments’ fair value are determined using level 2 inputs from the fair value hierarchy.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EQUITY AND MEZZANINE EQUITY</w:t>
      </w:r>
    </w:p>
    <w:p>
      <w:pPr>
        <w:spacing w:after="0" w:line="11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w:t>
      </w:r>
      <w:r>
        <w:rPr>
          <w:rFonts w:ascii="Times New Roman" w:cs="Times New Roman" w:eastAsia="Times New Roman" w:hAnsi="Times New Roman"/>
          <w:sz w:val="17"/>
          <w:szCs w:val="17"/>
          <w:color w:val="auto"/>
        </w:rPr>
        <w:t>Upon the consummation of the Corporate Reorganization, each outstanding common unit of SMLP was converted into the right to receive 1.000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of common stock of Summit Midstream Corporation. An update on the number of shares of common stock issued and outstanding follows for the period from December 31, 2022 to December 31,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2"/>
        </w:trPr>
        <w:tc>
          <w:tcPr>
            <w:tcW w:w="7820" w:type="dxa"/>
            <w:vAlign w:val="bottom"/>
          </w:tcPr>
          <w:p>
            <w:pPr>
              <w:spacing w:after="0"/>
              <w:rPr>
                <w:sz w:val="15"/>
                <w:szCs w:val="15"/>
                <w:color w:val="auto"/>
              </w:rPr>
            </w:pP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r>
      <w:tr>
        <w:trPr>
          <w:trHeight w:val="22"/>
        </w:trPr>
        <w:tc>
          <w:tcPr>
            <w:tcW w:w="78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10,182,763</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Common units issued for SMLP LTIP, net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193,426</w:t>
            </w:r>
          </w:p>
        </w:tc>
        <w:tc>
          <w:tcPr>
            <w:tcW w:w="14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10,376,189</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units issued for SMLP LTIP, net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272,496</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Reorganization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(10,648,685)</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10,648,685</w:t>
            </w:r>
          </w:p>
        </w:tc>
      </w:tr>
      <w:tr>
        <w:trPr>
          <w:trHeight w:val="219"/>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issued for SMC LTIP, net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10,535</w:t>
            </w:r>
          </w:p>
        </w:tc>
      </w:tr>
      <w:tr>
        <w:trPr>
          <w:trHeight w:val="21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10,659,220</w:t>
            </w:r>
          </w:p>
        </w:tc>
      </w:tr>
      <w:tr>
        <w:trPr>
          <w:trHeight w:val="219"/>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Common Stock and Partnership Common Units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946,541</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issued for SMC LTIP, net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194,294</w:t>
            </w:r>
          </w:p>
        </w:tc>
      </w:tr>
      <w:tr>
        <w:trPr>
          <w:trHeight w:val="219"/>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Moonrise Acquisition</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462,265</w:t>
            </w:r>
          </w:p>
        </w:tc>
      </w:tr>
      <w:tr>
        <w:trPr>
          <w:trHeight w:val="237"/>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2025</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12,262,320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B Common Stock. </w:t>
      </w:r>
      <w:r>
        <w:rPr>
          <w:rFonts w:ascii="Times New Roman" w:cs="Times New Roman" w:eastAsia="Times New Roman" w:hAnsi="Times New Roman"/>
          <w:sz w:val="17"/>
          <w:szCs w:val="17"/>
          <w:color w:val="auto"/>
        </w:rPr>
        <w:t>In the Tall Oak Acquisition, the Company issued 7,471,008 shares of non-economic Class B Common Stock to Tall Oak Parent.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of Class B Common Stock have Company voting rights and are exchangeable along with the associated Partnership Common Units for shares of our common stock at the election of the holder for no additional consideration.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update on the number of shares of Class B Common Stock follows for the period from December 31, 2022 to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Shares of Class B Common</w:t>
            </w:r>
          </w:p>
        </w:tc>
      </w:tr>
      <w:tr>
        <w:trPr>
          <w:trHeight w:val="186"/>
        </w:trPr>
        <w:tc>
          <w:tcPr>
            <w:tcW w:w="9600" w:type="dxa"/>
            <w:vAlign w:val="bottom"/>
          </w:tcPr>
          <w:p>
            <w:pPr>
              <w:spacing w:after="0"/>
              <w:rPr>
                <w:sz w:val="16"/>
                <w:szCs w:val="16"/>
                <w:color w:val="auto"/>
              </w:rPr>
            </w:pPr>
          </w:p>
        </w:tc>
        <w:tc>
          <w:tcPr>
            <w:tcW w:w="16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Tall Oak Acquisition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7,471,008</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7,471,008</w:t>
            </w:r>
          </w:p>
        </w:tc>
      </w:tr>
      <w:tr>
        <w:trPr>
          <w:trHeight w:val="21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Conversion of Class B Common Stock</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(946,541)</w:t>
            </w:r>
          </w:p>
        </w:tc>
      </w:tr>
      <w:tr>
        <w:trPr>
          <w:trHeight w:val="237"/>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Series A Preferred Stock. </w:t>
      </w:r>
      <w:r>
        <w:rPr>
          <w:rFonts w:ascii="Times New Roman" w:cs="Times New Roman" w:eastAsia="Times New Roman" w:hAnsi="Times New Roman"/>
          <w:sz w:val="17"/>
          <w:szCs w:val="17"/>
          <w:color w:val="auto"/>
        </w:rPr>
        <w:t>Upon the consummation of the Corporate Reorganization, each outstanding Series A Preferred Unit was converted into the right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receive 1.000 shares of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w:t>
      </w:r>
    </w:p>
    <w:p>
      <w:pPr>
        <w:spacing w:after="0" w:line="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Series A Preferred Stock ranks senior to (i) shares of common stock and Class B Common Stock and (ii) each other class or 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spacing w:after="0" w:line="7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Company’s Board of Directors out of legally available funds for such purpose.</w:t>
      </w:r>
    </w:p>
    <w:p>
      <w:pPr>
        <w:spacing w:after="0" w:line="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dividend rate for the Series A Preferred Stock is equal to the three-month SOFR plus a spread of 7.69%. The floating rate established on December 15, 2025 for the period ending March 31, 2026 was 11.4%.</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11" w:name="page112"/>
    <w:bookmarkEnd w:id="111"/>
    <w:p>
      <w:pPr>
        <w:ind w:right="140"/>
        <w:spacing w:after="0" w:line="270" w:lineRule="auto"/>
        <w:rPr>
          <w:sz w:val="20"/>
          <w:szCs w:val="20"/>
          <w:color w:val="auto"/>
        </w:rPr>
      </w:pPr>
      <w:r>
        <w:rPr>
          <w:rFonts w:ascii="Times New Roman" w:cs="Times New Roman" w:eastAsia="Times New Roman" w:hAnsi="Times New Roman"/>
          <w:sz w:val="17"/>
          <w:szCs w:val="17"/>
          <w:color w:val="auto"/>
        </w:rPr>
        <w:t>On May 3, 2020, SMLP suspended distributions to holders of the Series A Preferred Units, commencing with respect to the quarter ending March 31, 2020. On February 28, 2025, the Company announced the resumption of its dividends to holders of shares of Series A Preferred Stock (the “Series A Preferred Dividend”). During the year ended December 31, 2025, cash dividend payments totaling $13.4 million were paid.</w:t>
      </w:r>
    </w:p>
    <w:p>
      <w:pPr>
        <w:spacing w:after="0" w:line="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had 65,508 shares of Series A Preferred Stock outstanding and $46.6 million of accrued and unpaid distributions on the Series A Preferred Stock. See Note 19 - Subsequent Events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update on the number of shares of Series A Preferred Stock is as follows for the period from December 31, 2022 to December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2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1640" w:type="dxa"/>
            <w:vAlign w:val="bottom"/>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Preferred Units</w:t>
            </w: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8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5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2022</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65,508</w:t>
            </w:r>
          </w:p>
        </w:tc>
        <w:tc>
          <w:tcPr>
            <w:tcW w:w="140" w:type="dxa"/>
            <w:vAlign w:val="bottom"/>
          </w:tcPr>
          <w:p>
            <w:pPr>
              <w:spacing w:after="0"/>
              <w:rPr>
                <w:sz w:val="22"/>
                <w:szCs w:val="22"/>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2023 activity</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2023</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65,508</w:t>
            </w:r>
          </w:p>
        </w:tc>
        <w:tc>
          <w:tcPr>
            <w:tcW w:w="140" w:type="dxa"/>
            <w:vAlign w:val="bottom"/>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Reorganization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(65,508)</w:t>
            </w:r>
          </w:p>
        </w:tc>
        <w:tc>
          <w:tcPr>
            <w:tcW w:w="14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65,508</w:t>
            </w:r>
          </w:p>
        </w:tc>
        <w:tc>
          <w:tcPr>
            <w:tcW w:w="0" w:type="dxa"/>
            <w:vAlign w:val="bottom"/>
          </w:tcPr>
          <w:p>
            <w:pPr>
              <w:spacing w:after="0"/>
              <w:rPr>
                <w:sz w:val="1"/>
                <w:szCs w:val="1"/>
                <w:color w:val="auto"/>
              </w:rPr>
            </w:pPr>
          </w:p>
        </w:tc>
      </w:tr>
      <w:tr>
        <w:trPr>
          <w:trHeight w:val="251"/>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2024</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65,508</w:t>
            </w:r>
          </w:p>
        </w:tc>
        <w:tc>
          <w:tcPr>
            <w:tcW w:w="0" w:type="dxa"/>
            <w:vAlign w:val="bottom"/>
          </w:tcPr>
          <w:p>
            <w:pPr>
              <w:spacing w:after="0"/>
              <w:rPr>
                <w:sz w:val="1"/>
                <w:szCs w:val="1"/>
                <w:color w:val="auto"/>
              </w:rPr>
            </w:pPr>
          </w:p>
        </w:tc>
      </w:tr>
      <w:tr>
        <w:trPr>
          <w:trHeight w:val="25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2025 activity</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Shares, December 31, 2025</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65,508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Partnership Common Units. </w:t>
      </w:r>
      <w:r>
        <w:rPr>
          <w:rFonts w:ascii="Times New Roman" w:cs="Times New Roman" w:eastAsia="Times New Roman" w:hAnsi="Times New Roman"/>
          <w:sz w:val="17"/>
          <w:szCs w:val="17"/>
          <w:color w:val="auto"/>
        </w:rPr>
        <w:t>In the Tall Oak Acquisition, the Company issued 7,471,008 Partnership Common Units to Tall Oak Parent. Such Partnership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Units are exchangeable along with the associated shares of Class B Common Stock for shares of the Company’s common stock at the election of the holder for no additional consideration.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update on the number of Partnership Common Units not owned by the Company follows for the period from December 31, 2022 to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Partnership Common</w:t>
            </w:r>
          </w:p>
        </w:tc>
      </w:tr>
      <w:tr>
        <w:trPr>
          <w:trHeight w:val="186"/>
        </w:trPr>
        <w:tc>
          <w:tcPr>
            <w:tcW w:w="9600" w:type="dxa"/>
            <w:vAlign w:val="bottom"/>
          </w:tcPr>
          <w:p>
            <w:pPr>
              <w:spacing w:after="0"/>
              <w:rPr>
                <w:sz w:val="16"/>
                <w:szCs w:val="16"/>
                <w:color w:val="auto"/>
              </w:rPr>
            </w:pPr>
          </w:p>
        </w:tc>
        <w:tc>
          <w:tcPr>
            <w:tcW w:w="16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Tall Oak Acquisition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7,471,008</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7,471,008</w:t>
            </w:r>
          </w:p>
        </w:tc>
      </w:tr>
      <w:tr>
        <w:trPr>
          <w:trHeight w:val="21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Conversion of Partnership Common Units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(946,541)</w:t>
            </w:r>
          </w:p>
        </w:tc>
      </w:tr>
      <w:tr>
        <w:trPr>
          <w:trHeight w:val="237"/>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Units,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Subsidiary Series A Preferred Units. </w:t>
      </w:r>
      <w:r>
        <w:rPr>
          <w:rFonts w:ascii="Times New Roman" w:cs="Times New Roman" w:eastAsia="Times New Roman" w:hAnsi="Times New Roman"/>
          <w:sz w:val="17"/>
          <w:szCs w:val="17"/>
          <w:color w:val="auto"/>
        </w:rPr>
        <w:t>Summit Permian Transmission Holdco, LLC (“Permian Holdco”) has Series A Fixed Rate Cumulative Redeemable Preferred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Units (“Subsidiary Series A Preferred Units”) that rank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w:t>
      </w:r>
    </w:p>
    <w:p>
      <w:pPr>
        <w:spacing w:after="0" w:line="4" w:lineRule="exact"/>
        <w:rPr>
          <w:sz w:val="20"/>
          <w:szCs w:val="20"/>
          <w:color w:val="auto"/>
        </w:rPr>
      </w:pPr>
    </w:p>
    <w:p>
      <w:pPr>
        <w:ind w:firstLine="3"/>
        <w:spacing w:after="0" w:line="257" w:lineRule="auto"/>
        <w:tabs>
          <w:tab w:leader="none" w:pos="20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spacing w:after="0" w:line="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Distributions on the Subsidiary Series A Preferred Units are cumulative and compounding and are payable 21 days following the quarterly period ended March, June, September and December of each year (each, a “Subsidiary Series A Distribution Payment Date”) to holders of record as of the close of business on the first business day of the month of the applicable Subsidiary Series A Distribution Payment Date, in each case, when, as, and if declared by the board of directors of Permian Holdco out of legally available funds for such purpose.</w:t>
      </w:r>
    </w:p>
    <w:p>
      <w:pPr>
        <w:spacing w:after="0" w:line="6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The distribution rate for the Subsidiary Series A Preferred Units is 7.00% per annum of the $1,000 issue amount per outstanding Subsidiary Series A Preferred Unit.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2" w:name="page113"/>
    <w:bookmarkEnd w:id="112"/>
    <w:p>
      <w:pPr>
        <w:ind w:right="40"/>
        <w:spacing w:after="0" w:line="287" w:lineRule="auto"/>
        <w:rPr>
          <w:sz w:val="20"/>
          <w:szCs w:val="20"/>
          <w:color w:val="auto"/>
        </w:rPr>
      </w:pPr>
      <w:r>
        <w:rPr>
          <w:rFonts w:ascii="Times New Roman" w:cs="Times New Roman" w:eastAsia="Times New Roman" w:hAnsi="Times New Roman"/>
          <w:sz w:val="17"/>
          <w:szCs w:val="17"/>
          <w:color w:val="auto"/>
        </w:rPr>
        <w:t>These Subsidiary Series A Preferred Units are considered redeemable securities under GAAP due to the existence of certain redemption provisions that are outside of the Company’s control. Therefore, the securities are classified as temporary equity in the mezzanine section of the consolidated balance sheets.</w:t>
      </w:r>
    </w:p>
    <w:p>
      <w:pPr>
        <w:spacing w:after="0" w:line="4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Company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As of December 31, 2025 and 2024, the Company had 93,039 Subsidiary Series A Preferred Units outstanding.</w:t>
      </w:r>
    </w:p>
    <w:p>
      <w:pPr>
        <w:spacing w:after="0" w:line="6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If the Subsidiary Series A Preferred Units were redeemed on December 31, 2025, the redemption amount would be $141.9 million, when considering the applicable multiple of invested capital metric and make-whole amount provisions contained in the Amended and Restated Limited Liability Company Agreement of Permian Holdco. See Note 19 - Subsequent Events for additional information.</w:t>
      </w:r>
    </w:p>
    <w:p>
      <w:pPr>
        <w:spacing w:after="0" w:line="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following table shows the change in the Company’s Subsidiary Series A Preferred Unit balance from December 31, 2022 through December 31, 2025, net of $0.6 million and $1.1 million of unamortized issuance costs as of December 31, 2025 and December 31, 2024,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
        </w:trPr>
        <w:tc>
          <w:tcPr>
            <w:tcW w:w="9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118,584</w:t>
            </w:r>
          </w:p>
        </w:tc>
      </w:tr>
      <w:tr>
        <w:trPr>
          <w:trHeight w:val="219"/>
        </w:trPr>
        <w:tc>
          <w:tcPr>
            <w:tcW w:w="9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accretion, net of issuance cost amortization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12,581</w:t>
            </w:r>
          </w:p>
        </w:tc>
      </w:tr>
      <w:tr>
        <w:trPr>
          <w:trHeight w:val="21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distribution (includes $1.6 million distribution payable as of December 31, 2023)</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w:t>
            </w:r>
          </w:p>
        </w:tc>
      </w:tr>
      <w:tr>
        <w:trPr>
          <w:trHeight w:val="238"/>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124,652</w:t>
            </w:r>
          </w:p>
        </w:tc>
      </w:tr>
      <w:tr>
        <w:trPr>
          <w:trHeight w:val="21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accretion, net of issuance cost amortization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14,807</w:t>
            </w:r>
          </w:p>
        </w:tc>
      </w:tr>
      <w:tr>
        <w:trPr>
          <w:trHeight w:val="219"/>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Cash distribution (includes $1.6 million distribution payable as of December 31, 2024)</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(6,513)</w:t>
            </w:r>
          </w:p>
        </w:tc>
      </w:tr>
      <w:tr>
        <w:trPr>
          <w:trHeight w:val="23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132,946</w:t>
            </w:r>
          </w:p>
        </w:tc>
      </w:tr>
      <w:tr>
        <w:trPr>
          <w:trHeight w:val="219"/>
        </w:trPr>
        <w:tc>
          <w:tcPr>
            <w:tcW w:w="9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accretion, net of issuance cost amortization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14,863</w:t>
            </w:r>
          </w:p>
        </w:tc>
      </w:tr>
      <w:tr>
        <w:trPr>
          <w:trHeight w:val="219"/>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distribution (includes $1.6 million distribution payable as of December 31, 2025)</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141,296</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Noncontrolling Interest. </w:t>
      </w:r>
      <w:r>
        <w:rPr>
          <w:rFonts w:ascii="Times New Roman" w:cs="Times New Roman" w:eastAsia="Times New Roman" w:hAnsi="Times New Roman"/>
          <w:sz w:val="17"/>
          <w:szCs w:val="17"/>
          <w:color w:val="auto"/>
        </w:rPr>
        <w:t>Noncontrolling interest represents the portion of net assets in the Company’s consolidated subsidiaries that are not wholly owned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The Company’s noncontrolling interest is recorded at carrying value and is reported as a component of equity on the consolidated balance sheet. As of December 31, 2025, the Company’s noncontrolling interest is approximately 34.7% of the net assets of SMLP. The noncontrolling interest will be adjusted in the future for (i) any net income or loss generated by SMLP, and (ii) any equity shifts resulting from the issuance of common stock in connection with the SMC LTIP, or certain changes to SMLP’s capital accounts.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noncontrolling interest during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Noncontrolling</w:t>
            </w:r>
          </w:p>
        </w:tc>
      </w:tr>
      <w:tr>
        <w:trPr>
          <w:trHeight w:val="188"/>
        </w:trPr>
        <w:tc>
          <w:tcPr>
            <w:tcW w:w="9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Issuance of noncontrolling interest (Tall Oak Acquisition)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503,155</w:t>
            </w:r>
          </w:p>
        </w:tc>
      </w:tr>
      <w:tr>
        <w:trPr>
          <w:trHeight w:val="219"/>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(5,822)</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497,333</w:t>
            </w:r>
          </w:p>
        </w:tc>
      </w:tr>
      <w:tr>
        <w:trPr>
          <w:trHeight w:val="219"/>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(10,831)</w:t>
            </w:r>
          </w:p>
        </w:tc>
      </w:tr>
      <w:tr>
        <w:trPr>
          <w:trHeight w:val="219"/>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Equity shift - Change in Ownership of Consolidated Subsidiary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(86,126)</w:t>
            </w:r>
          </w:p>
        </w:tc>
      </w:tr>
      <w:tr>
        <w:trPr>
          <w:trHeight w:val="237"/>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400,376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Equity shift - Change in Ownership of Consolidated Subsidiary. </w:t>
      </w:r>
      <w:r>
        <w:rPr>
          <w:rFonts w:ascii="Times New Roman" w:cs="Times New Roman" w:eastAsia="Times New Roman" w:hAnsi="Times New Roman"/>
          <w:sz w:val="17"/>
          <w:szCs w:val="17"/>
          <w:color w:val="auto"/>
        </w:rPr>
        <w:t>The Tall Oak Acquisition resulted in the establishment of a noncontrolling interest on December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due to the issuance of 7,471,008 Partnership Common Units in Summit Midstream Partners, LP to Tall Oak Parent.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3" w:name="page114"/>
    <w:bookmarkEnd w:id="113"/>
    <w:p>
      <w:pPr>
        <w:ind w:right="260"/>
        <w:spacing w:after="0" w:line="258" w:lineRule="auto"/>
        <w:rPr>
          <w:sz w:val="20"/>
          <w:szCs w:val="20"/>
          <w:color w:val="auto"/>
        </w:rPr>
      </w:pPr>
      <w:r>
        <w:rPr>
          <w:rFonts w:ascii="Times New Roman" w:cs="Times New Roman" w:eastAsia="Times New Roman" w:hAnsi="Times New Roman"/>
          <w:sz w:val="17"/>
          <w:szCs w:val="17"/>
          <w:color w:val="auto"/>
        </w:rPr>
        <w:t>During the year ended December 31, 2025, the Company had an equity shift and its noncontrolling interest was reduced by $86.1 million primarily due to an increase in the number of SMC shares outstanding and a corresponding increase in SMC’s ownership of SMLP’s net assets. The increase in SMC’s outstanding share count, which also resulted in an equivalent increase of SMLP’s issued units, was a result of (a) the issuance of 0.9 million SMC shares to Tall Oak Midstream Investments, LLC (“TOMI”) for the exchange and conversion of TOMI’s ownership of 0.9 million SMC’s Class B Common Stock and associated</w:t>
      </w:r>
    </w:p>
    <w:p>
      <w:pPr>
        <w:spacing w:after="0" w:line="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0.9 million Partnership Common Units, (b) the issuance of 0.5 million SMC shares for the Moonrise Acquisition (See Note 3 - Acquisitions and Divestitures) and (c) employee share-based compensation vesting events.</w:t>
      </w:r>
    </w:p>
    <w:p>
      <w:pPr>
        <w:spacing w:after="0" w:line="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 Policy. </w:t>
      </w:r>
      <w:r>
        <w:rPr>
          <w:rFonts w:ascii="Times New Roman" w:cs="Times New Roman" w:eastAsia="Times New Roman" w:hAnsi="Times New Roman"/>
          <w:sz w:val="17"/>
          <w:szCs w:val="17"/>
          <w:color w:val="auto"/>
        </w:rPr>
        <w:t>On May 3, 2020, SMLP suspended distributions to holders of its common units and suspended payments of distributions to holders of the Series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Preferred Units, commencing with respect to the quarter ending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On February 28, 2025, the Company announced the resumption of its Series A Preferred Dividend. During the year ended December 31, 2025, cash dividend payments totaling $13.4 million were paid. As of December 31, 2025, the amount of accrued and unpaid dividends on the Series A Preferred Stock totaled $46.6 million. See Note 19 - Subsequent Events for additional information.</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Company’s Board of Directors. Additionally, the Company’s ability to pay dividends is subject to restrictions on dividends under the Amended and Restated ABL Facility and the indenture governing the 2029 Senior Notes.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13. EARNINGS PER SHARE</w:t>
      </w:r>
    </w:p>
    <w:p>
      <w:pPr>
        <w:spacing w:after="0" w:line="118"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Earnings per share is computed using the two-class method. The two-class method determines earnings per share of common stock and participating securities according to dividends or dividend equivalents and their respective participation rights in undistributed earnings. The following table details the components of basic and diluted EPS.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7"/>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60" w:type="dxa"/>
            <w:vAlign w:val="bottom"/>
          </w:tcPr>
          <w:p>
            <w:pPr>
              <w:spacing w:after="0"/>
              <w:rPr>
                <w:sz w:val="15"/>
                <w:szCs w:val="15"/>
                <w:color w:val="auto"/>
              </w:rPr>
            </w:pPr>
          </w:p>
        </w:tc>
      </w:tr>
      <w:tr>
        <w:trPr>
          <w:trHeight w:val="22"/>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8"/>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(In thousands, except per-share amounts)</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 for basic and diluted EPS: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8"/>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00" w:type="dxa"/>
            <w:vAlign w:val="bottom"/>
          </w:tcPr>
          <w:p>
            <w:pPr>
              <w:spacing w:after="0"/>
              <w:rPr>
                <w:sz w:val="22"/>
                <w:szCs w:val="22"/>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(38,947)</w:t>
            </w:r>
          </w:p>
        </w:tc>
      </w:tr>
      <w:tr>
        <w:trPr>
          <w:trHeight w:val="25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Net income attributable to Subsidiary Series A Preferred Units</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(12,581)</w:t>
            </w:r>
          </w:p>
        </w:tc>
      </w:tr>
      <w:tr>
        <w:trPr>
          <w:trHeight w:val="258"/>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Summit Midstream Corporation</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(51,528)</w:t>
            </w:r>
          </w:p>
        </w:tc>
      </w:tr>
      <w:tr>
        <w:trPr>
          <w:trHeight w:val="238"/>
        </w:trPr>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8"/>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Net income attributable to Series A Preferred Stock</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(11,566)</w:t>
            </w:r>
          </w:p>
        </w:tc>
      </w:tr>
      <w:tr>
        <w:trPr>
          <w:trHeight w:val="251"/>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equity holders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(63,094)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 for basic and diluted EPS: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41"/>
        </w:trPr>
        <w:tc>
          <w:tcPr>
            <w:tcW w:w="7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number of shares outstanding – basic</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w:t>
            </w:r>
          </w:p>
        </w:tc>
      </w:tr>
      <w:tr>
        <w:trPr>
          <w:trHeight w:val="258"/>
        </w:trPr>
        <w:tc>
          <w:tcPr>
            <w:tcW w:w="7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Effect of nonvested restricted stock units</w:t>
            </w:r>
          </w:p>
        </w:tc>
        <w:tc>
          <w:tcPr>
            <w:tcW w:w="26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Effect of assumed conversion and elimination of noncontrolling interest net income</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Weighted-average number of shares outstanding – diluted</w:t>
            </w: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 basic</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r>
      <w:tr>
        <w:trPr>
          <w:trHeight w:val="258"/>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 diluted</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2"/>
                <w:szCs w:val="22"/>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r>
      <w:tr>
        <w:trPr>
          <w:trHeight w:val="25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B Common Stock – basic and diluted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7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41"/>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anti-dilutive restricted shares excluded from the calculation of diluted EPS</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657"/>
        </w:trPr>
        <w:tc>
          <w:tcPr>
            <w:tcW w:w="7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SUPPLEMENTAL CASH FLOW INFORMATION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9"/>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7"/>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860" w:type="dxa"/>
            <w:vAlign w:val="bottom"/>
          </w:tcPr>
          <w:p>
            <w:pPr>
              <w:spacing w:after="0"/>
              <w:rPr>
                <w:sz w:val="24"/>
                <w:szCs w:val="24"/>
                <w:color w:val="auto"/>
              </w:rPr>
            </w:pPr>
          </w:p>
        </w:tc>
      </w:tr>
      <w:tr>
        <w:trPr>
          <w:trHeight w:val="22"/>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interest paid</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83,357</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127,022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taxes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58"/>
        </w:trPr>
        <w:tc>
          <w:tcPr>
            <w:tcW w:w="7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 in trade accounts payable (period-end accruals)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consideration issued for Moonrise Acquisition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consideration issued for Tall Oak Acquisition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Senior Notes Exchange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180,030</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Accretion of Subsidiary Series A Preferred Units, net of issuance cost amortization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14,863</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12,581</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EQUITY AND NONCASH COMPENSATION</w:t>
      </w:r>
    </w:p>
    <w:p>
      <w:pPr>
        <w:spacing w:after="0" w:line="11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SMC Long-Term Incentive Plan. </w:t>
      </w:r>
      <w:r>
        <w:rPr>
          <w:rFonts w:ascii="Times New Roman" w:cs="Times New Roman" w:eastAsia="Times New Roman" w:hAnsi="Times New Roman"/>
          <w:sz w:val="17"/>
          <w:szCs w:val="17"/>
          <w:color w:val="auto"/>
        </w:rPr>
        <w:t>In connection with the consummation of the Corporate Reorganization, the Company assumed SMLP’s 2022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Incentive Plan, as amended by the First Amendment, effective as of March 16, 2022 (the “SMLP LTIP”), and all the obligations of SMLP thereunder. The SMLP LTIP units were exchanged on a one-for-one basis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15" w:name="page116"/>
    <w:bookmarkEnd w:id="115"/>
    <w:p>
      <w:pPr>
        <w:ind w:right="60"/>
        <w:spacing w:after="0" w:line="261" w:lineRule="auto"/>
        <w:rPr>
          <w:sz w:val="20"/>
          <w:szCs w:val="20"/>
          <w:color w:val="auto"/>
        </w:rPr>
      </w:pPr>
      <w:r>
        <w:rPr>
          <w:rFonts w:ascii="Times New Roman" w:cs="Times New Roman" w:eastAsia="Times New Roman" w:hAnsi="Times New Roman"/>
          <w:sz w:val="17"/>
          <w:szCs w:val="17"/>
          <w:color w:val="auto"/>
        </w:rPr>
        <w:t>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items for the year ended December 31, 2025:</w:t>
      </w:r>
    </w:p>
    <w:p>
      <w:pPr>
        <w:spacing w:after="0" w:line="114" w:lineRule="exact"/>
        <w:rPr>
          <w:sz w:val="20"/>
          <w:szCs w:val="20"/>
          <w:color w:val="auto"/>
        </w:rPr>
      </w:pPr>
    </w:p>
    <w:p>
      <w:pPr>
        <w:ind w:left="620" w:right="140" w:hanging="307"/>
        <w:spacing w:after="0" w:line="264" w:lineRule="auto"/>
        <w:tabs>
          <w:tab w:leader="none" w:pos="616" w:val="left"/>
        </w:tabs>
        <w:numPr>
          <w:ilvl w:val="0"/>
          <w:numId w:val="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the year ended December 31, 2025, the Company granted 149,297 time-based restricted stock units and associated dividend equivalent rights to employees in connection with the Company’s annual incentive compensation award cycle. The grant date fair value of these awards totaled $5.2 million and the awards vest ratably over a three-year period. As of December 31, 2025, the Company has 355,150 unvested phantom time-based restricted stock units outstanding.</w:t>
      </w:r>
    </w:p>
    <w:p>
      <w:pPr>
        <w:spacing w:after="0" w:line="68" w:lineRule="exact"/>
        <w:rPr>
          <w:rFonts w:ascii="Times New Roman" w:cs="Times New Roman" w:eastAsia="Times New Roman" w:hAnsi="Times New Roman"/>
          <w:sz w:val="17"/>
          <w:szCs w:val="17"/>
          <w:b w:val="1"/>
          <w:bCs w:val="1"/>
          <w:i w:val="1"/>
          <w:iCs w:val="1"/>
          <w:color w:val="auto"/>
        </w:rPr>
      </w:pPr>
    </w:p>
    <w:p>
      <w:pPr>
        <w:ind w:left="620" w:right="160" w:hanging="307"/>
        <w:spacing w:after="0" w:line="264" w:lineRule="auto"/>
        <w:tabs>
          <w:tab w:leader="none" w:pos="616" w:val="left"/>
        </w:tabs>
        <w:numPr>
          <w:ilvl w:val="0"/>
          <w:numId w:val="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the year ended December 31, 2025, the Company granted 90,081 performance-based restricted stock units and associated dividend equivalent rights to certain members of management in connection with the Company’s annual incentive compensation award cycle. The grant date fair value of these awards totaled $4.4 million and the awards vest at the end of three years. As of December 31, 2025, the Company has 310,048 unvested phantom performance-based restricted stock units outstanding.</w:t>
      </w:r>
    </w:p>
    <w:p>
      <w:pPr>
        <w:spacing w:after="0" w:line="68" w:lineRule="exact"/>
        <w:rPr>
          <w:rFonts w:ascii="Times New Roman" w:cs="Times New Roman" w:eastAsia="Times New Roman" w:hAnsi="Times New Roman"/>
          <w:sz w:val="17"/>
          <w:szCs w:val="17"/>
          <w:b w:val="1"/>
          <w:bCs w:val="1"/>
          <w:i w:val="1"/>
          <w:iCs w:val="1"/>
          <w:color w:val="auto"/>
        </w:rPr>
      </w:pPr>
    </w:p>
    <w:p>
      <w:pPr>
        <w:ind w:left="620" w:right="120" w:hanging="307"/>
        <w:spacing w:after="0" w:line="287" w:lineRule="auto"/>
        <w:tabs>
          <w:tab w:leader="none" w:pos="616" w:val="left"/>
        </w:tabs>
        <w:numPr>
          <w:ilvl w:val="0"/>
          <w:numId w:val="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the year ended December 31, 2025, the Company issued 18,372 shares of common stock to six independent directors in connection with their annual compensation plan. The grant date fair value of these awards totaled $0.7 million and became fully vested at the grant date.</w:t>
      </w:r>
    </w:p>
    <w:p>
      <w:pPr>
        <w:spacing w:after="0" w:line="48"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As of December 31, 2025, approximately 0.6 million shares of common stock remained available for future issuance under the SMC LTIP, which includes the impact of 0.6 million of granted but unvested restricted stock and performance-based awards, assuming the performance-based awards are settled with a 100% target payout.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phantom award activity for the periods presented inclusive of activity before and after the Corporate Reorganization: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4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7"/>
              </w:rPr>
              <w:t>grant date fair value</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phantom awards,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0" w:type="dxa"/>
            <w:vAlign w:val="bottom"/>
          </w:tcPr>
          <w:p>
            <w:pPr>
              <w:spacing w:after="0"/>
              <w:rPr>
                <w:sz w:val="1"/>
                <w:szCs w:val="1"/>
                <w:color w:val="auto"/>
              </w:rPr>
            </w:pPr>
          </w:p>
        </w:tc>
      </w:tr>
      <w:tr>
        <w:trPr>
          <w:trHeight w:val="25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Phantom awards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0" w:type="dxa"/>
            <w:vAlign w:val="bottom"/>
          </w:tcPr>
          <w:p>
            <w:pPr>
              <w:spacing w:after="0"/>
              <w:rPr>
                <w:sz w:val="1"/>
                <w:szCs w:val="1"/>
                <w:color w:val="auto"/>
              </w:rPr>
            </w:pPr>
          </w:p>
        </w:tc>
      </w:tr>
      <w:tr>
        <w:trPr>
          <w:trHeight w:val="258"/>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Phantom awards 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(236,154)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0" w:type="dxa"/>
            <w:vAlign w:val="bottom"/>
          </w:tcPr>
          <w:p>
            <w:pPr>
              <w:spacing w:after="0"/>
              <w:rPr>
                <w:sz w:val="1"/>
                <w:szCs w:val="1"/>
                <w:color w:val="auto"/>
              </w:rPr>
            </w:pPr>
          </w:p>
        </w:tc>
      </w:tr>
      <w:tr>
        <w:trPr>
          <w:trHeight w:val="258"/>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Phantom awards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20.50</w:t>
            </w:r>
          </w:p>
        </w:tc>
        <w:tc>
          <w:tcPr>
            <w:tcW w:w="0" w:type="dxa"/>
            <w:vAlign w:val="bottom"/>
          </w:tcPr>
          <w:p>
            <w:pPr>
              <w:spacing w:after="0"/>
              <w:rPr>
                <w:sz w:val="1"/>
                <w:szCs w:val="1"/>
                <w:color w:val="auto"/>
              </w:rPr>
            </w:pPr>
          </w:p>
        </w:tc>
      </w:tr>
      <w:tr>
        <w:trPr>
          <w:trHeight w:val="25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phantom awards,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688,467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0" w:type="dxa"/>
            <w:vAlign w:val="bottom"/>
          </w:tcPr>
          <w:p>
            <w:pPr>
              <w:spacing w:after="0"/>
              <w:rPr>
                <w:sz w:val="1"/>
                <w:szCs w:val="1"/>
                <w:color w:val="auto"/>
              </w:rPr>
            </w:pPr>
          </w:p>
        </w:tc>
      </w:tr>
      <w:tr>
        <w:trPr>
          <w:trHeight w:val="25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Phantom awards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0" w:type="dxa"/>
            <w:vAlign w:val="bottom"/>
          </w:tcPr>
          <w:p>
            <w:pPr>
              <w:spacing w:after="0"/>
              <w:rPr>
                <w:sz w:val="1"/>
                <w:szCs w:val="1"/>
                <w:color w:val="auto"/>
              </w:rPr>
            </w:pPr>
          </w:p>
        </w:tc>
      </w:tr>
      <w:tr>
        <w:trPr>
          <w:trHeight w:val="258"/>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Phantom awards 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0" w:type="dxa"/>
            <w:vAlign w:val="bottom"/>
          </w:tcPr>
          <w:p>
            <w:pPr>
              <w:spacing w:after="0"/>
              <w:rPr>
                <w:sz w:val="1"/>
                <w:szCs w:val="1"/>
                <w:color w:val="auto"/>
              </w:rPr>
            </w:pPr>
          </w:p>
        </w:tc>
      </w:tr>
      <w:tr>
        <w:trPr>
          <w:trHeight w:val="258"/>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Phantom awards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5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phantom awards, December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0" w:type="dxa"/>
            <w:vAlign w:val="bottom"/>
          </w:tcPr>
          <w:p>
            <w:pPr>
              <w:spacing w:after="0"/>
              <w:rPr>
                <w:sz w:val="1"/>
                <w:szCs w:val="1"/>
                <w:color w:val="auto"/>
              </w:rPr>
            </w:pPr>
          </w:p>
        </w:tc>
      </w:tr>
      <w:tr>
        <w:trPr>
          <w:trHeight w:val="258"/>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Phantom awards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0" w:type="dxa"/>
            <w:vAlign w:val="bottom"/>
          </w:tcPr>
          <w:p>
            <w:pPr>
              <w:spacing w:after="0"/>
              <w:rPr>
                <w:sz w:val="1"/>
                <w:szCs w:val="1"/>
                <w:color w:val="auto"/>
              </w:rPr>
            </w:pPr>
          </w:p>
        </w:tc>
      </w:tr>
      <w:tr>
        <w:trPr>
          <w:trHeight w:val="258"/>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Phantom awards 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(260,236)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0" w:type="dxa"/>
            <w:vAlign w:val="bottom"/>
          </w:tcPr>
          <w:p>
            <w:pPr>
              <w:spacing w:after="0"/>
              <w:rPr>
                <w:sz w:val="1"/>
                <w:szCs w:val="1"/>
                <w:color w:val="auto"/>
              </w:rPr>
            </w:pPr>
          </w:p>
        </w:tc>
      </w:tr>
      <w:tr>
        <w:trPr>
          <w:trHeight w:val="258"/>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Phantom awards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0" w:type="dxa"/>
            <w:vAlign w:val="bottom"/>
          </w:tcPr>
          <w:p>
            <w:pPr>
              <w:spacing w:after="0"/>
              <w:rPr>
                <w:sz w:val="1"/>
                <w:szCs w:val="1"/>
                <w:color w:val="auto"/>
              </w:rPr>
            </w:pPr>
          </w:p>
        </w:tc>
      </w:tr>
      <w:tr>
        <w:trPr>
          <w:trHeight w:val="27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phantom awards,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665,198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intrinsic value of phantom units and restricted stock units that vested during the years ended December 31, 2023, 2024 and 2025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7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 of vested LTIP awards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9,633</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rPr>
              <w:t>7,375</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w:t>
            </w:r>
          </w:p>
        </w:tc>
      </w:tr>
    </w:tbl>
    <w:p>
      <w:pPr>
        <w:spacing w:after="0" w:line="16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As of December 31, 2025, the unrecognized share-based compensation related to the SMC LTIP was $7.3 million. Incremental unit-based compensation will be recorded over the remaining weighted-average vesting period of approximately 0.8 years.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6" w:name="page117"/>
    <w:bookmarkEnd w:id="116"/>
    <w:p>
      <w:pPr>
        <w:jc w:val="both"/>
        <w:ind w:right="220"/>
        <w:spacing w:after="0" w:line="287" w:lineRule="auto"/>
        <w:rPr>
          <w:sz w:val="20"/>
          <w:szCs w:val="20"/>
          <w:color w:val="auto"/>
        </w:rPr>
      </w:pPr>
      <w:r>
        <w:rPr>
          <w:rFonts w:ascii="Times New Roman" w:cs="Times New Roman" w:eastAsia="Times New Roman" w:hAnsi="Times New Roman"/>
          <w:sz w:val="17"/>
          <w:szCs w:val="17"/>
          <w:color w:val="auto"/>
        </w:rPr>
        <w:t>Share-based compensation recognized in general and administrative expense related to awards under the SMC LTIP during the years ended December 31, 2023, 2024 and 2025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7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SMC LTIP share-based compensation</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7,798</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rPr>
              <w:t>8,561</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6,566</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118"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Prior to consummation of the Corporate Reorganization, SMLP was treated as a partnership for federal and state income tax purposes, in which SMLP’s taxable income or loss was passed through to its unitholders. SMLP was subject to Texas margin tax. Therefore, with the exception of the state of Texas, SMLP did not directly pay federal and state income taxes and no entity-level income tax provisions was recorded other than for the effects of the Texas margin tax.</w:t>
      </w:r>
    </w:p>
    <w:p>
      <w:pPr>
        <w:spacing w:after="0" w:line="6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Effective August 1, 2024, pursuant to the Corporate Reorganization, Summit Midstream Corporation became a corporation and thus is subject to U.S. federal and state income taxes. Upon consummation of the Corporate Reorganization, Summit Midstream Corporation recognized (i) an incremental $153.0 million income tax expense in its consolidated statements of operations for temporary differences that existed as of the date of the Corporate Reorganization, (ii) a $32.4 million tax benefit to equity due to changes in tax bases and liabilities and (iii) a net deferred tax liability of $120.6 million in its consolidated balance sheet.</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December 2, 2024, the Company completed the transaction contemplated in the Tall Oak Business Contribution Agreement, pursuant to which Tall Oak Parent contributed all of its equity interests in Tall Oak to SMLP in exchange for total consideration equal to $425.0 million. Upon completion of the Tall Oak Acquisition, the Company, and Tall Oak Parent jointly owned SMLP each with economic and voting rights, and Tall Oak Parent owned exchangeable non-economic Class B Common Stock with Company voting rights (the “Up-C Structure”). Starting on December 2, 2024, SMLP is treated as a partnership for income tax reporting purposes. Its partners, including the Company, are liable for federal, state, and local income taxes based on their share of SMLP’s taxable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(benefit) for income taxes included the following components: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00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3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3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9"/>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3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3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34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146,678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847"/>
        </w:trPr>
        <w:tc>
          <w:tcPr>
            <w:tcW w:w="4000" w:type="dxa"/>
            <w:vAlign w:val="bottom"/>
          </w:tcPr>
          <w:p>
            <w:pPr>
              <w:spacing w:after="0"/>
              <w:rPr>
                <w:sz w:val="24"/>
                <w:szCs w:val="24"/>
                <w:color w:val="auto"/>
              </w:rPr>
            </w:pPr>
          </w:p>
        </w:tc>
        <w:tc>
          <w:tcPr>
            <w:tcW w:w="3100" w:type="dxa"/>
            <w:vAlign w:val="bottom"/>
          </w:tcPr>
          <w:p>
            <w:pPr>
              <w:jc w:val="right"/>
              <w:ind w:right="1274"/>
              <w:spacing w:after="0"/>
              <w:rPr>
                <w:sz w:val="20"/>
                <w:szCs w:val="20"/>
                <w:color w:val="auto"/>
              </w:rPr>
            </w:pPr>
            <w:r>
              <w:rPr>
                <w:rFonts w:ascii="Times New Roman" w:cs="Times New Roman" w:eastAsia="Times New Roman" w:hAnsi="Times New Roman"/>
                <w:sz w:val="17"/>
                <w:szCs w:val="17"/>
                <w:color w:val="auto"/>
              </w:rPr>
              <w:t>117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7" w:name="page118"/>
    <w:bookmarkEnd w:id="117"/>
    <w:p>
      <w:pPr>
        <w:ind w:right="660"/>
        <w:spacing w:after="0" w:line="287" w:lineRule="auto"/>
        <w:rPr>
          <w:sz w:val="20"/>
          <w:szCs w:val="20"/>
          <w:color w:val="auto"/>
        </w:rPr>
      </w:pPr>
      <w:r>
        <w:rPr>
          <w:rFonts w:ascii="Times New Roman" w:cs="Times New Roman" w:eastAsia="Times New Roman" w:hAnsi="Times New Roman"/>
          <w:sz w:val="17"/>
          <w:szCs w:val="17"/>
          <w:color w:val="auto"/>
        </w:rPr>
        <w:t>The following reconciles the provision for income taxes included in the consolidated statements of operations with the provision which would result from application of the statutory federal tax rate to pre-tax financial income for the year ended December 31, 2025 in accordance with ASU 2023-09: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Pretax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(2,407)</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04"/>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8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 and Local Income Taxes, Net of Federal Benefit</w:t>
            </w:r>
          </w:p>
        </w:tc>
        <w:tc>
          <w:tcPr>
            <w:tcW w:w="3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(144)</w:t>
            </w:r>
          </w:p>
        </w:tc>
        <w:tc>
          <w:tcPr>
            <w:tcW w:w="14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Nontaxable/Nondeductible Items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Limitation on Executive Compensation</w:t>
            </w:r>
          </w:p>
        </w:tc>
        <w:tc>
          <w:tcPr>
            <w:tcW w:w="3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2,271</w:t>
            </w:r>
          </w:p>
        </w:tc>
        <w:tc>
          <w:tcPr>
            <w:tcW w:w="14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8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(691)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8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Noncontrolling Interest</w:t>
            </w:r>
          </w:p>
        </w:tc>
        <w:tc>
          <w:tcPr>
            <w:tcW w:w="3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(847)</w:t>
            </w:r>
          </w:p>
        </w:tc>
        <w:tc>
          <w:tcPr>
            <w:tcW w:w="14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Adjustments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8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Tax Adjustment</w:t>
            </w:r>
          </w:p>
        </w:tc>
        <w:tc>
          <w:tcPr>
            <w:tcW w:w="3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(611)</w:t>
            </w:r>
          </w:p>
        </w:tc>
        <w:tc>
          <w:tcPr>
            <w:tcW w:w="14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Change in Outside Basis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Tax Expense (Benefit)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(501)</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state and local income tax benefit consists of operations in Colorado, North Dakota, New Mexico, Oklahoma, and Texas.</w:t>
      </w:r>
    </w:p>
    <w:p>
      <w:pPr>
        <w:spacing w:after="0" w:line="11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following reconciles the provision for income taxes included in the consolidated statement of operations with the provision which would result from application of the statutory federal tax rate to pre-tax financial income for the years ended December 31, 2024 and 2023, prior to the adoption of ASU 2023-09: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33,503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(38,625)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Increase (decrease) resulting from:</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Pretax income at federal statutory rates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(8,111)</w:t>
            </w:r>
          </w:p>
        </w:tc>
        <w:tc>
          <w:tcPr>
            <w:tcW w:w="0" w:type="dxa"/>
            <w:vAlign w:val="bottom"/>
          </w:tcPr>
          <w:p>
            <w:pPr>
              <w:spacing w:after="0"/>
              <w:rPr>
                <w:sz w:val="1"/>
                <w:szCs w:val="1"/>
                <w:color w:val="auto"/>
              </w:rPr>
            </w:pPr>
          </w:p>
        </w:tc>
      </w:tr>
      <w:tr>
        <w:trPr>
          <w:trHeight w:val="219"/>
        </w:trPr>
        <w:tc>
          <w:tcPr>
            <w:tcW w:w="8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 income taxes, net of federal income tax effect</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reorganization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152,992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costs</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Minority interests in Summit Midstream Partners, LP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Removal of noncontrolling interests</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Removal of nontaxable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8,111</w:t>
            </w: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146,678</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The components of the Company’s deferred tax balances as of December 31, 2025 and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5"/>
                <w:szCs w:val="15"/>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Investment in Partnership</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(86,227)</w:t>
            </w:r>
          </w:p>
        </w:tc>
      </w:tr>
      <w:tr>
        <w:trPr>
          <w:trHeight w:val="212"/>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(86,227)</w:t>
            </w:r>
          </w:p>
        </w:tc>
      </w:tr>
      <w:tr>
        <w:trPr>
          <w:trHeight w:val="258"/>
        </w:trPr>
        <w:tc>
          <w:tcPr>
            <w:tcW w:w="8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6,001</w:t>
            </w:r>
          </w:p>
        </w:tc>
      </w:tr>
      <w:tr>
        <w:trPr>
          <w:trHeight w:val="21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15,683</w:t>
            </w:r>
          </w:p>
        </w:tc>
      </w:tr>
      <w:tr>
        <w:trPr>
          <w:trHeight w:val="219"/>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22,901</w:t>
            </w:r>
          </w:p>
        </w:tc>
      </w:t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22,901</w:t>
            </w:r>
          </w:p>
        </w:tc>
      </w:tr>
      <w:tr>
        <w:trPr>
          <w:trHeight w:val="212"/>
        </w:trPr>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(73,635)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(63,326)</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The Company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December 31, 2025.</w:t>
      </w:r>
    </w:p>
    <w:p>
      <w:pPr>
        <w:spacing w:after="0" w:line="7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has $139.6 million of U.S. federal net operating loss carryforwards that have an indefinite life and $118.0 million of state net operating losses that will begin to expire in 2044.</w:t>
      </w:r>
    </w:p>
    <w:p>
      <w:pPr>
        <w:spacing w:after="0" w:line="4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Company’s policy is to record interest and penalties for uncertain tax positions in income tax expense. At December 31, 2025, the Company did not have any uncertain tax positions, interest, or penalties.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LEASES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leases certain office space and equipment under operating leases. The Company leases office space for terms of between 3 and 10 years. Office space leases limit exposure to risks related to ownership, such as fluctuations in real estate prices. The Company leases equipment primarily to support its operations in response to the needs of its gathering systems for terms of between 3 and 4 years. The Company also leases vehicles under finance leases to support its operations in response to the needs of its gathering systems for a term of 3 years.</w:t>
      </w:r>
    </w:p>
    <w:p>
      <w:pPr>
        <w:spacing w:after="0" w:line="6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Some of the Company’s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Significant assumptions or judgments include the determination of whether a contract contains a lease and the discount rate used in the lease liabilities. Often, the rates implicit in the lease contracts are not readily determinable. In determining the discount rate used for lease liabilities, the Company analyzed certain factors in its incremental borrowing rate, including collateral assumptions and the term used. As of December 31, 2025 the Company’s weighted average discount rate for it’s operating leases and finance leases was 6% and 7%,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9" w:name="page120"/>
    <w:bookmarkEnd w:id="119"/>
    <w:p>
      <w:pPr>
        <w:ind w:right="320"/>
        <w:spacing w:after="0" w:line="287" w:lineRule="auto"/>
        <w:rPr>
          <w:sz w:val="20"/>
          <w:szCs w:val="20"/>
          <w:color w:val="auto"/>
        </w:rPr>
      </w:pPr>
      <w:r>
        <w:rPr>
          <w:rFonts w:ascii="Times New Roman" w:cs="Times New Roman" w:eastAsia="Times New Roman" w:hAnsi="Times New Roman"/>
          <w:sz w:val="17"/>
          <w:szCs w:val="17"/>
          <w:color w:val="auto"/>
        </w:rPr>
        <w:t>Right of Use (“ROU”) assets (included in other noncurrent assets on the Company’s consolidated balance sheet) and lease liabilities (included in Other current liabilities and Other noncurrent liabilities on the Company’s consolidated balance sheet) follow: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2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r>
      <w:tr>
        <w:trPr>
          <w:trHeight w:val="22"/>
        </w:trPr>
        <w:tc>
          <w:tcPr>
            <w:tcW w:w="5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4"/>
          </w:tcPr>
          <w:p>
            <w:pPr>
              <w:spacing w:after="0" w:line="20" w:lineRule="exact"/>
              <w:rPr>
                <w:sz w:val="1"/>
                <w:szCs w:val="1"/>
                <w:color w:val="auto"/>
              </w:rPr>
            </w:pPr>
          </w:p>
        </w:tc>
      </w:tr>
      <w:tr>
        <w:trPr>
          <w:trHeight w:val="175"/>
        </w:trPr>
        <w:tc>
          <w:tcPr>
            <w:tcW w:w="5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6"/>
        </w:trPr>
        <w:tc>
          <w:tcPr>
            <w:tcW w:w="5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ROU assets</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8,513</w:t>
            </w:r>
          </w:p>
        </w:tc>
      </w:tr>
      <w:tr>
        <w:trPr>
          <w:trHeight w:val="21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w:t>
            </w:r>
          </w:p>
        </w:tc>
      </w:tr>
      <w:tr>
        <w:trPr>
          <w:trHeight w:val="212"/>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12,374</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liabilities, current</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5,801</w:t>
            </w:r>
          </w:p>
        </w:tc>
      </w:tr>
      <w:tr>
        <w:trPr>
          <w:trHeight w:val="21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r>
      <w:tr>
        <w:trPr>
          <w:trHeight w:val="212"/>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7,183</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liabilities, noncurrent</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w:t>
            </w:r>
          </w:p>
        </w:tc>
      </w:tr>
      <w:tr>
        <w:trPr>
          <w:trHeight w:val="21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w:t>
            </w:r>
          </w:p>
        </w:tc>
      </w:tr>
      <w:tr>
        <w:trPr>
          <w:trHeight w:val="216"/>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w:t>
            </w:r>
          </w:p>
        </w:tc>
      </w:tr>
      <w:tr>
        <w:trPr>
          <w:trHeight w:val="383"/>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Lease cost and other information follow:</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7"/>
        </w:trPr>
        <w:tc>
          <w:tcPr>
            <w:tcW w:w="5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
        </w:trPr>
        <w:tc>
          <w:tcPr>
            <w:tcW w:w="5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1"/>
        </w:trPr>
        <w:tc>
          <w:tcPr>
            <w:tcW w:w="5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5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cost</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ROU assets (included in depreciation and amortization)</w:t>
            </w:r>
          </w:p>
        </w:tc>
        <w:tc>
          <w:tcPr>
            <w:tcW w:w="17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19"/>
        </w:trPr>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 (included in interest expense)</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 (included in general and administrative expense)</w:t>
            </w:r>
          </w:p>
        </w:tc>
        <w:tc>
          <w:tcPr>
            <w:tcW w:w="1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w:t>
            </w:r>
          </w:p>
        </w:tc>
      </w:tr>
      <w:tr>
        <w:trPr>
          <w:trHeight w:val="216"/>
        </w:trPr>
        <w:tc>
          <w:tcPr>
            <w:tcW w:w="5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2,747</w:t>
            </w:r>
          </w:p>
        </w:tc>
      </w:tr>
      <w:tr>
        <w:trPr>
          <w:trHeight w:val="283"/>
        </w:trPr>
        <w:tc>
          <w:tcPr>
            <w:tcW w:w="5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
        </w:trPr>
        <w:tc>
          <w:tcPr>
            <w:tcW w:w="5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1"/>
        </w:trPr>
        <w:tc>
          <w:tcPr>
            <w:tcW w:w="5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5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178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6,607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3,328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3,975</w:t>
            </w:r>
          </w:p>
        </w:tc>
      </w:tr>
      <w:tr>
        <w:trPr>
          <w:trHeight w:val="232"/>
        </w:trPr>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outflows from finance leases</w:t>
            </w: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62</w:t>
            </w:r>
          </w:p>
        </w:tc>
      </w:tr>
      <w:tr>
        <w:trPr>
          <w:trHeight w:val="25"/>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Financing cash outflows from finance leases</w:t>
            </w: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610</w:t>
            </w:r>
          </w:p>
        </w:tc>
      </w:tr>
      <w:tr>
        <w:trPr>
          <w:trHeight w:val="336"/>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new operating lease liabilities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3,882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3,516</w:t>
            </w:r>
          </w:p>
        </w:tc>
      </w:tr>
      <w:tr>
        <w:trPr>
          <w:trHeight w:val="25"/>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41"/>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new finance lease liabilities</w:t>
            </w:r>
          </w:p>
        </w:tc>
        <w:tc>
          <w:tcPr>
            <w:tcW w:w="1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2,303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1,781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1,238</w:t>
            </w: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 - operating leases</w:t>
            </w: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w:t>
            </w:r>
          </w:p>
        </w:tc>
      </w:tr>
      <w:tr>
        <w:trPr>
          <w:trHeight w:val="25"/>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 - finance leases</w:t>
            </w: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2.5</w:t>
            </w: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w:t>
            </w:r>
          </w:p>
        </w:tc>
      </w:tr>
      <w:tr>
        <w:trPr>
          <w:trHeight w:val="25"/>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1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w:t>
            </w:r>
          </w:p>
        </w:tc>
      </w:tr>
      <w:tr>
        <w:trPr>
          <w:trHeight w:val="851"/>
        </w:trPr>
        <w:tc>
          <w:tcPr>
            <w:tcW w:w="5300" w:type="dxa"/>
            <w:vAlign w:val="bottom"/>
          </w:tcPr>
          <w:p>
            <w:pPr>
              <w:spacing w:after="0"/>
              <w:rPr>
                <w:sz w:val="24"/>
                <w:szCs w:val="24"/>
                <w:color w:val="auto"/>
              </w:rPr>
            </w:pPr>
          </w:p>
        </w:tc>
        <w:tc>
          <w:tcPr>
            <w:tcW w:w="144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rPr>
              <w:t>120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0" w:name="page121"/>
    <w:bookmarkEnd w:id="120"/>
    <w:p>
      <w:pPr>
        <w:ind w:right="640"/>
        <w:spacing w:after="0" w:line="287" w:lineRule="auto"/>
        <w:rPr>
          <w:sz w:val="20"/>
          <w:szCs w:val="20"/>
          <w:color w:val="auto"/>
        </w:rPr>
      </w:pPr>
      <w:r>
        <w:rPr>
          <w:rFonts w:ascii="Times New Roman" w:cs="Times New Roman" w:eastAsia="Times New Roman" w:hAnsi="Times New Roman"/>
          <w:sz w:val="17"/>
          <w:szCs w:val="17"/>
          <w:color w:val="auto"/>
        </w:rPr>
        <w:t>The Company recognizes total lease expense incurred or allocated to us in general and administrative expenses. Lease expense related to operating leases, including lease expense incurred on the Company’s behalf and allocated to us,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7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6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expense</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18,469</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rPr>
              <w:t>6,179</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lease payments due under noncancelable leases as of December 31, 2025,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5"/>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r>
      <w:tr>
        <w:trPr>
          <w:trHeight w:val="182"/>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SEGMENT INFORMATION</w:t>
      </w:r>
    </w:p>
    <w:p>
      <w:pPr>
        <w:spacing w:after="0" w:line="11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Company’s reportable segments are:</w:t>
      </w:r>
    </w:p>
    <w:p>
      <w:pPr>
        <w:spacing w:after="0" w:line="110" w:lineRule="exact"/>
        <w:rPr>
          <w:sz w:val="20"/>
          <w:szCs w:val="20"/>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Rockies </w:t>
      </w:r>
      <w:r>
        <w:rPr>
          <w:rFonts w:ascii="Times New Roman" w:cs="Times New Roman" w:eastAsia="Times New Roman" w:hAnsi="Times New Roman"/>
          <w:sz w:val="17"/>
          <w:szCs w:val="17"/>
          <w:color w:val="auto"/>
        </w:rPr>
        <w:t>– Includes the Company’s midstream assets located in the Williston Basin and the DJ Basin.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Permian </w:t>
      </w:r>
      <w:r>
        <w:rPr>
          <w:rFonts w:ascii="Times New Roman" w:cs="Times New Roman" w:eastAsia="Times New Roman" w:hAnsi="Times New Roman"/>
          <w:sz w:val="17"/>
          <w:szCs w:val="17"/>
          <w:color w:val="auto"/>
        </w:rPr>
        <w:t>– Includes the Company’s equity method investment in Double 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Mid-Con </w:t>
      </w:r>
      <w:r>
        <w:rPr>
          <w:rFonts w:ascii="Times New Roman" w:cs="Times New Roman" w:eastAsia="Times New Roman" w:hAnsi="Times New Roman"/>
          <w:sz w:val="17"/>
          <w:szCs w:val="17"/>
          <w:color w:val="auto"/>
        </w:rPr>
        <w:t>– Includes the Company’s midstream assets located in the Barnett Shale and, following the Tall Oak Acquisition, the Arkoma Basin.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Piceance </w:t>
      </w:r>
      <w:r>
        <w:rPr>
          <w:rFonts w:ascii="Times New Roman" w:cs="Times New Roman" w:eastAsia="Times New Roman" w:hAnsi="Times New Roman"/>
          <w:sz w:val="17"/>
          <w:szCs w:val="17"/>
          <w:color w:val="auto"/>
        </w:rPr>
        <w:t>– Includes the Company’s midstream assets located in the Piceance Basin.</w:t>
      </w:r>
    </w:p>
    <w:p>
      <w:pPr>
        <w:spacing w:after="0" w:line="113" w:lineRule="exact"/>
        <w:rPr>
          <w:rFonts w:ascii="Times New Roman" w:cs="Times New Roman" w:eastAsia="Times New Roman" w:hAnsi="Times New Roman"/>
          <w:sz w:val="17"/>
          <w:szCs w:val="17"/>
          <w:color w:val="auto"/>
        </w:rPr>
      </w:pPr>
    </w:p>
    <w:p>
      <w:pPr>
        <w:ind w:left="620" w:right="100" w:hanging="307"/>
        <w:spacing w:after="0" w:line="272" w:lineRule="auto"/>
        <w:tabs>
          <w:tab w:leader="none" w:pos="61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Northeast </w:t>
      </w:r>
      <w:r>
        <w:rPr>
          <w:rFonts w:ascii="Times New Roman" w:cs="Times New Roman" w:eastAsia="Times New Roman" w:hAnsi="Times New Roman"/>
          <w:sz w:val="17"/>
          <w:szCs w:val="17"/>
          <w:color w:val="auto"/>
        </w:rPr>
        <w:t>– Includes the Company’s previously owned midstream assets located in the Utica and Marcellus shale plays and the previously owned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investment in Ohio Gathering that was focused on the Utica Shale. During the year ended December 31, 2024, the Company divested of its Northeast operations. See Note 3 - Acquisitions and Divestitures 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The following table provides information about the Company’s reportable segments: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Rockies</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Permian</w:t>
            </w:r>
          </w:p>
        </w:tc>
        <w:tc>
          <w:tcPr>
            <w:tcW w:w="140" w:type="dxa"/>
            <w:vAlign w:val="bottom"/>
          </w:tcPr>
          <w:p>
            <w:pPr>
              <w:spacing w:after="0"/>
              <w:rPr>
                <w:sz w:val="14"/>
                <w:szCs w:val="14"/>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Mid-Con</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Piceance</w:t>
            </w:r>
          </w:p>
        </w:tc>
        <w:tc>
          <w:tcPr>
            <w:tcW w:w="1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Northeast</w:t>
            </w:r>
          </w:p>
        </w:tc>
      </w:tr>
      <w:tr>
        <w:trPr>
          <w:trHeight w:val="155"/>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8"/>
        </w:trPr>
        <w:tc>
          <w:tcPr>
            <w:tcW w:w="6320" w:type="dxa"/>
            <w:vAlign w:val="bottom"/>
          </w:tcPr>
          <w:p>
            <w:pPr>
              <w:ind w:left="20"/>
              <w:spacing w:after="0" w:line="168" w:lineRule="exact"/>
              <w:rPr>
                <w:sz w:val="20"/>
                <w:szCs w:val="20"/>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Gathering services and related fees</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131,538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6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Natural gas, NGL’s and condensate sales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18,554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22,113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9,140</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3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329,351</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10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159,232</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69,867</w:t>
            </w:r>
          </w:p>
        </w:tc>
        <w:tc>
          <w:tcPr>
            <w:tcW w:w="10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1"/>
        </w:trPr>
        <w:tc>
          <w:tcPr>
            <w:tcW w:w="6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natural gas and NGLs (excludes deductions for gathering, processing, and other fees)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206,504</w:t>
            </w: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100" w:type="dxa"/>
            <w:vAlign w:val="bottom"/>
          </w:tcPr>
          <w:p>
            <w:pPr>
              <w:spacing w:after="0"/>
              <w:rPr>
                <w:sz w:val="14"/>
                <w:szCs w:val="14"/>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natural gas and NGLs (amounts withheld from customers for the Company’s gathering, processing, and other fees)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6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Employee costs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Materials, parts, and, other operating expenses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6320" w:type="dxa"/>
            <w:vAlign w:val="bottom"/>
          </w:tcPr>
          <w:p>
            <w:pPr>
              <w:ind w:left="120"/>
              <w:spacing w:after="0" w:line="168" w:lineRule="exact"/>
              <w:rPr>
                <w:sz w:val="20"/>
                <w:szCs w:val="20"/>
                <w:color w:val="auto"/>
              </w:rPr>
            </w:pPr>
            <w:r>
              <w:rPr>
                <w:rFonts w:ascii="Times New Roman" w:cs="Times New Roman" w:eastAsia="Times New Roman" w:hAnsi="Times New Roman"/>
                <w:sz w:val="12"/>
                <w:szCs w:val="12"/>
                <w:color w:val="auto"/>
              </w:rPr>
              <w:t xml:space="preserve">Indirect and passthrough </w:t>
            </w:r>
            <w:r>
              <w:rPr>
                <w:rFonts w:ascii="Times New Roman" w:cs="Times New Roman" w:eastAsia="Times New Roman" w:hAnsi="Times New Roman"/>
                <w:sz w:val="15"/>
                <w:szCs w:val="15"/>
                <w:color w:val="auto"/>
                <w:vertAlign w:val="superscript"/>
              </w:rPr>
              <w:t>(3)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40,252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632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2"/>
                <w:szCs w:val="12"/>
                <w:color w:val="auto"/>
              </w:rPr>
              <w:t xml:space="preserve">Other segment items </w:t>
            </w:r>
            <w:r>
              <w:rPr>
                <w:rFonts w:ascii="Times New Roman" w:cs="Times New Roman" w:eastAsia="Times New Roman" w:hAnsi="Times New Roman"/>
                <w:sz w:val="15"/>
                <w:szCs w:val="15"/>
                <w:color w:val="auto"/>
                <w:vertAlign w:val="superscript"/>
              </w:rPr>
              <w:t>(2)</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(30,339)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6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106,935</w:t>
            </w:r>
          </w:p>
        </w:tc>
        <w:tc>
          <w:tcPr>
            <w:tcW w:w="8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33,980</w:t>
            </w:r>
          </w:p>
        </w:tc>
        <w:tc>
          <w:tcPr>
            <w:tcW w:w="1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92,377</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44,774</w:t>
            </w:r>
          </w:p>
        </w:tc>
        <w:tc>
          <w:tcPr>
            <w:tcW w:w="1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Rockies</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Permian</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Mid-Con</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Piceance</w:t>
            </w:r>
          </w:p>
        </w:tc>
        <w:tc>
          <w:tcPr>
            <w:tcW w:w="160" w:type="dxa"/>
            <w:vAlign w:val="bottom"/>
          </w:tcPr>
          <w:p>
            <w:pPr>
              <w:spacing w:after="0"/>
              <w:rPr>
                <w:sz w:val="14"/>
                <w:szCs w:val="14"/>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Northeast</w:t>
            </w:r>
          </w:p>
        </w:tc>
      </w:tr>
      <w:tr>
        <w:trPr>
          <w:trHeight w:val="155"/>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8"/>
        </w:trPr>
        <w:tc>
          <w:tcPr>
            <w:tcW w:w="6300" w:type="dxa"/>
            <w:vAlign w:val="bottom"/>
          </w:tcPr>
          <w:p>
            <w:pPr>
              <w:ind w:left="20"/>
              <w:spacing w:after="0" w:line="168" w:lineRule="exact"/>
              <w:rPr>
                <w:sz w:val="20"/>
                <w:szCs w:val="20"/>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5"/>
                <w:szCs w:val="15"/>
                <w:b w:val="1"/>
                <w:bCs w:val="1"/>
                <w:color w:val="auto"/>
                <w:vertAlign w:val="superscript"/>
              </w:rPr>
              <w:t>(1)</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Gathering services and related fees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18,851</w:t>
            </w:r>
          </w:p>
        </w:tc>
      </w:tr>
      <w:tr>
        <w:trPr>
          <w:trHeight w:val="161"/>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Natural gas, NGL’s and condensate sales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190,535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revenues</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14,757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5,109</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268,511</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56,891</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80,999</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18,851</w:t>
            </w:r>
          </w:p>
        </w:tc>
      </w:tr>
      <w:tr>
        <w:trPr>
          <w:trHeight w:val="17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1"/>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natural gas and NGLs (excludes deductions for gathering, processing, and other fees)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164,342</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w:t>
            </w: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natural gas and NGLs (amounts withheld from customers for the Company’s gathering, processing, and other fees)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Employee costs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w:t>
            </w:r>
          </w:p>
        </w:tc>
      </w:tr>
      <w:tr>
        <w:trPr>
          <w:trHeight w:val="17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Materials, parts and, other operating expenses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w:t>
            </w:r>
          </w:p>
        </w:tc>
      </w:tr>
      <w:tr>
        <w:trPr>
          <w:trHeight w:val="168"/>
        </w:trPr>
        <w:tc>
          <w:tcPr>
            <w:tcW w:w="6300" w:type="dxa"/>
            <w:vAlign w:val="bottom"/>
          </w:tcPr>
          <w:p>
            <w:pPr>
              <w:ind w:left="120"/>
              <w:spacing w:after="0" w:line="168" w:lineRule="exact"/>
              <w:rPr>
                <w:sz w:val="20"/>
                <w:szCs w:val="20"/>
                <w:color w:val="auto"/>
              </w:rPr>
            </w:pPr>
            <w:r>
              <w:rPr>
                <w:rFonts w:ascii="Times New Roman" w:cs="Times New Roman" w:eastAsia="Times New Roman" w:hAnsi="Times New Roman"/>
                <w:sz w:val="12"/>
                <w:szCs w:val="12"/>
                <w:color w:val="auto"/>
              </w:rPr>
              <w:t xml:space="preserve">Indirect and passthrough </w:t>
            </w:r>
            <w:r>
              <w:rPr>
                <w:rFonts w:ascii="Times New Roman" w:cs="Times New Roman" w:eastAsia="Times New Roman" w:hAnsi="Times New Roman"/>
                <w:sz w:val="15"/>
                <w:szCs w:val="15"/>
                <w:color w:val="auto"/>
                <w:vertAlign w:val="superscript"/>
              </w:rPr>
              <w:t>(3)</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754</w:t>
            </w:r>
          </w:p>
        </w:tc>
      </w:tr>
      <w:tr>
        <w:trPr>
          <w:trHeight w:val="168"/>
        </w:trPr>
        <w:tc>
          <w:tcPr>
            <w:tcW w:w="630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2"/>
                <w:szCs w:val="12"/>
                <w:color w:val="auto"/>
              </w:rPr>
              <w:t xml:space="preserve">Other segment items </w:t>
            </w:r>
            <w:r>
              <w:rPr>
                <w:rFonts w:ascii="Times New Roman" w:cs="Times New Roman" w:eastAsia="Times New Roman" w:hAnsi="Times New Roman"/>
                <w:sz w:val="15"/>
                <w:szCs w:val="15"/>
                <w:color w:val="auto"/>
                <w:vertAlign w:val="superscript"/>
              </w:rPr>
              <w:t>(2)</w:t>
            </w: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(14,066)</w:t>
            </w:r>
          </w:p>
        </w:tc>
      </w:tr>
      <w:tr>
        <w:trPr>
          <w:trHeight w:val="148"/>
        </w:trPr>
        <w:tc>
          <w:tcPr>
            <w:tcW w:w="6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93,827</w:t>
            </w:r>
          </w:p>
        </w:tc>
        <w:tc>
          <w:tcPr>
            <w:tcW w:w="10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31,227</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30,645</w:t>
            </w:r>
          </w:p>
        </w:tc>
        <w:tc>
          <w:tcPr>
            <w:tcW w:w="8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52,704</w:t>
            </w:r>
          </w:p>
        </w:tc>
        <w:tc>
          <w:tcPr>
            <w:tcW w:w="8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30,634</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Rockies</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Permian</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Mid-Con</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Piceance</w:t>
            </w:r>
          </w:p>
        </w:tc>
        <w:tc>
          <w:tcPr>
            <w:tcW w:w="160" w:type="dxa"/>
            <w:vAlign w:val="bottom"/>
          </w:tcPr>
          <w:p>
            <w:pPr>
              <w:spacing w:after="0"/>
              <w:rPr>
                <w:sz w:val="14"/>
                <w:szCs w:val="14"/>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Northeast</w:t>
            </w:r>
          </w:p>
        </w:tc>
      </w:tr>
      <w:tr>
        <w:trPr>
          <w:trHeight w:val="155"/>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8"/>
        </w:trPr>
        <w:tc>
          <w:tcPr>
            <w:tcW w:w="6300" w:type="dxa"/>
            <w:vAlign w:val="bottom"/>
          </w:tcPr>
          <w:p>
            <w:pPr>
              <w:ind w:left="20"/>
              <w:spacing w:after="0" w:line="168" w:lineRule="exact"/>
              <w:rPr>
                <w:sz w:val="20"/>
                <w:szCs w:val="20"/>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5"/>
                <w:szCs w:val="15"/>
                <w:b w:val="1"/>
                <w:bCs w:val="1"/>
                <w:color w:val="auto"/>
                <w:vertAlign w:val="superscript"/>
              </w:rPr>
              <w:t>(1)</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Gathering services and related fees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63,805</w:t>
            </w:r>
          </w:p>
        </w:tc>
      </w:tr>
      <w:tr>
        <w:trPr>
          <w:trHeight w:val="161"/>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Natural gas, NGL’s and condensate sales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173,688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revenues</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4"/>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255,031</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45,117</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91,417</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63,805</w:t>
            </w:r>
          </w:p>
        </w:tc>
      </w:tr>
      <w:tr>
        <w:trPr>
          <w:trHeight w:val="17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1"/>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natural gas and NGLs (excludes deductions for gathering, processing, and other fees)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149,655</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2,357</w:t>
            </w: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natural gas and NGLs (amounts withheld from customers for the Company’s gathering, processing, and other fees)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63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Employee costs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2,622</w:t>
            </w:r>
          </w:p>
        </w:tc>
      </w:tr>
      <w:tr>
        <w:trPr>
          <w:trHeight w:val="17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Materials, parts and, other operating expenses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3,453</w:t>
            </w:r>
          </w:p>
        </w:tc>
      </w:tr>
      <w:tr>
        <w:trPr>
          <w:trHeight w:val="168"/>
        </w:trPr>
        <w:tc>
          <w:tcPr>
            <w:tcW w:w="6300" w:type="dxa"/>
            <w:vAlign w:val="bottom"/>
          </w:tcPr>
          <w:p>
            <w:pPr>
              <w:ind w:left="120"/>
              <w:spacing w:after="0" w:line="168" w:lineRule="exact"/>
              <w:rPr>
                <w:sz w:val="20"/>
                <w:szCs w:val="20"/>
                <w:color w:val="auto"/>
              </w:rPr>
            </w:pPr>
            <w:r>
              <w:rPr>
                <w:rFonts w:ascii="Times New Roman" w:cs="Times New Roman" w:eastAsia="Times New Roman" w:hAnsi="Times New Roman"/>
                <w:sz w:val="12"/>
                <w:szCs w:val="12"/>
                <w:color w:val="auto"/>
              </w:rPr>
              <w:t xml:space="preserve">Indirect and passthrough </w:t>
            </w:r>
            <w:r>
              <w:rPr>
                <w:rFonts w:ascii="Times New Roman" w:cs="Times New Roman" w:eastAsia="Times New Roman" w:hAnsi="Times New Roman"/>
                <w:sz w:val="15"/>
                <w:szCs w:val="15"/>
                <w:color w:val="auto"/>
                <w:vertAlign w:val="superscript"/>
              </w:rPr>
              <w:t>(3)</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2,869</w:t>
            </w:r>
          </w:p>
        </w:tc>
      </w:tr>
      <w:tr>
        <w:trPr>
          <w:trHeight w:val="168"/>
        </w:trPr>
        <w:tc>
          <w:tcPr>
            <w:tcW w:w="630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2"/>
                <w:szCs w:val="12"/>
                <w:color w:val="auto"/>
              </w:rPr>
              <w:t xml:space="preserve">Other segment items </w:t>
            </w:r>
            <w:r>
              <w:rPr>
                <w:rFonts w:ascii="Times New Roman" w:cs="Times New Roman" w:eastAsia="Times New Roman" w:hAnsi="Times New Roman"/>
                <w:sz w:val="15"/>
                <w:szCs w:val="15"/>
                <w:color w:val="auto"/>
                <w:vertAlign w:val="superscript"/>
              </w:rPr>
              <w:t>(2)</w:t>
            </w: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(20,637)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(39,388)</w:t>
            </w:r>
          </w:p>
        </w:tc>
      </w:tr>
      <w:tr>
        <w:trPr>
          <w:trHeight w:val="148"/>
        </w:trPr>
        <w:tc>
          <w:tcPr>
            <w:tcW w:w="63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Adjusted EBITDA</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87,390</w:t>
            </w:r>
          </w:p>
        </w:tc>
        <w:tc>
          <w:tcPr>
            <w:tcW w:w="10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24,207</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26,171</w:t>
            </w:r>
          </w:p>
        </w:tc>
        <w:tc>
          <w:tcPr>
            <w:tcW w:w="8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59,749</w:t>
            </w:r>
          </w:p>
        </w:tc>
        <w:tc>
          <w:tcPr>
            <w:tcW w:w="8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94,249</w:t>
            </w:r>
          </w:p>
        </w:tc>
      </w:tr>
    </w:tbl>
    <w:p>
      <w:pPr>
        <w:spacing w:after="0" w:line="183" w:lineRule="exact"/>
        <w:rPr>
          <w:sz w:val="20"/>
          <w:szCs w:val="20"/>
          <w:color w:val="auto"/>
        </w:rPr>
      </w:pPr>
    </w:p>
    <w:p>
      <w:pPr>
        <w:ind w:left="240" w:hanging="160"/>
        <w:spacing w:after="0"/>
        <w:tabs>
          <w:tab w:leader="none" w:pos="240" w:val="left"/>
        </w:tabs>
        <w:numPr>
          <w:ilvl w:val="0"/>
          <w:numId w:val="7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Company’s revenues are attributable solely to external customers located within the U.S.</w:t>
      </w:r>
    </w:p>
    <w:p>
      <w:pPr>
        <w:spacing w:after="0" w:line="66" w:lineRule="exact"/>
        <w:rPr>
          <w:rFonts w:ascii="Times New Roman" w:cs="Times New Roman" w:eastAsia="Times New Roman" w:hAnsi="Times New Roman"/>
          <w:sz w:val="20"/>
          <w:szCs w:val="20"/>
          <w:color w:val="auto"/>
          <w:vertAlign w:val="superscript"/>
        </w:rPr>
      </w:pPr>
    </w:p>
    <w:p>
      <w:pPr>
        <w:ind w:left="260" w:hanging="180"/>
        <w:spacing w:after="0" w:line="230" w:lineRule="auto"/>
        <w:tabs>
          <w:tab w:leader="none" w:pos="26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and 2024 and 2023, other segment items consist primarily of the following:</w:t>
      </w:r>
    </w:p>
    <w:p>
      <w:pPr>
        <w:spacing w:after="0" w:line="86" w:lineRule="exact"/>
        <w:rPr>
          <w:rFonts w:ascii="Times New Roman" w:cs="Times New Roman" w:eastAsia="Times New Roman" w:hAnsi="Times New Roman"/>
          <w:sz w:val="22"/>
          <w:szCs w:val="22"/>
          <w:color w:val="auto"/>
          <w:vertAlign w:val="superscript"/>
        </w:rPr>
      </w:pPr>
    </w:p>
    <w:p>
      <w:pPr>
        <w:ind w:left="620" w:hanging="307"/>
        <w:spacing w:after="0"/>
        <w:tabs>
          <w:tab w:leader="none" w:pos="62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Rockies - includes general and administrative expenses, operations and maintenance expenses and adjustments related to capital reimbursement activity;</w:t>
      </w:r>
    </w:p>
    <w:p>
      <w:pPr>
        <w:spacing w:after="0" w:line="113" w:lineRule="exact"/>
        <w:rPr>
          <w:rFonts w:ascii="Times New Roman" w:cs="Times New Roman" w:eastAsia="Times New Roman" w:hAnsi="Times New Roman"/>
          <w:sz w:val="17"/>
          <w:szCs w:val="17"/>
          <w:color w:val="auto"/>
        </w:rPr>
      </w:pPr>
    </w:p>
    <w:p>
      <w:pPr>
        <w:ind w:left="620" w:right="60" w:hanging="307"/>
        <w:spacing w:after="0" w:line="287" w:lineRule="auto"/>
        <w:tabs>
          <w:tab w:leader="none" w:pos="616"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Permian - includes general and administrative expenses and the Company’s Proportional Adjusted EBITDA from its equity method investment in Double 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2" w:name="page123"/>
    <w:bookmarkEnd w:id="122"/>
    <w:p>
      <w:pPr>
        <w:ind w:left="620" w:right="60" w:hanging="307"/>
        <w:spacing w:after="0" w:line="270" w:lineRule="auto"/>
        <w:tabs>
          <w:tab w:leader="none" w:pos="616"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Mid-Con - includes general and administrative expenses, operations and maintenance expenses, adjustments related to capital reimbursement activity, the amortization expense associated with the Company’s favorable and unfavorable gas gathering contracts. In 2023 other segment items additionally includes other income;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Piceance - includes general and administrative expenses, operations and maintenance expenses and adjustments related to capital reimbursement activity;</w:t>
      </w:r>
    </w:p>
    <w:p>
      <w:pPr>
        <w:spacing w:after="0" w:line="113"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Northeast - includes general and administrative expenses, operations and maintenance expense, the Company’s Proportional Adjusted EBITDA from its equity method investment in Ohio Gathering.</w:t>
      </w:r>
    </w:p>
    <w:p>
      <w:pPr>
        <w:spacing w:after="0" w:line="18" w:lineRule="exact"/>
        <w:rPr>
          <w:rFonts w:ascii="Times New Roman" w:cs="Times New Roman" w:eastAsia="Times New Roman" w:hAnsi="Times New Roman"/>
          <w:sz w:val="17"/>
          <w:szCs w:val="17"/>
          <w:color w:val="auto"/>
        </w:rPr>
      </w:pPr>
    </w:p>
    <w:p>
      <w:pPr>
        <w:ind w:left="260" w:hanging="180"/>
        <w:spacing w:after="0"/>
        <w:tabs>
          <w:tab w:leader="none" w:pos="260" w:val="left"/>
        </w:tabs>
        <w:numPr>
          <w:ilvl w:val="0"/>
          <w:numId w:val="7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Indirect and passthrough consist primarily of electricity expense incurred by the Company of which a portion is passed through to its customers.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by reportable segment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2"/>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36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Assets: </w:t>
            </w:r>
            <w:r>
              <w:rPr>
                <w:rFonts w:ascii="Times New Roman" w:cs="Times New Roman" w:eastAsia="Times New Roman" w:hAnsi="Times New Roman"/>
                <w:sz w:val="22"/>
                <w:szCs w:val="22"/>
                <w:b w:val="1"/>
                <w:bCs w:val="1"/>
                <w:color w:val="auto"/>
                <w:vertAlign w:val="superscript"/>
              </w:rPr>
              <w:t>(1)</w:t>
            </w:r>
          </w:p>
        </w:tc>
        <w:tc>
          <w:tcPr>
            <w:tcW w:w="34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983,074</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917,293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Permian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285,280</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Mid-Con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753,517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746,549</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Piceance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389,668</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Northeast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reportable segment assets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2,361,638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2,338,790</w:t>
            </w: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20,694</w:t>
            </w:r>
          </w:p>
        </w:tc>
      </w:tr>
      <w:tr>
        <w:trPr>
          <w:trHeight w:val="23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2,387,609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2,359,484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180" w:hanging="177"/>
        <w:spacing w:after="0"/>
        <w:tabs>
          <w:tab w:leader="none" w:pos="180"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Company’s long-lived assets are located within the 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Counterparties accounting for a significant portion of total revenues were as follows:</w:t>
      </w:r>
    </w:p>
    <w:p>
      <w:pPr>
        <w:spacing w:after="0" w:line="14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6"/>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Percentage of total revenues:</w:t>
            </w: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5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Counterparty A - Piceance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58"/>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Counterparty B - Rockies, Mid-Con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5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Counterparty C - Rockies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9"/>
        </w:trPr>
        <w:tc>
          <w:tcPr>
            <w:tcW w:w="7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Less than 10% in the aggregate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8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Depreciation and amortization, including the amortization expense associated with the Company’s favorable and unfavorable gas gathering contracts as reported in other revenues, by reportable segment follow.</w:t>
      </w: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6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Rockies</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41,586</w:t>
            </w:r>
          </w:p>
        </w:tc>
        <w:tc>
          <w:tcPr>
            <w:tcW w:w="3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36,319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36,148</w:t>
            </w:r>
          </w:p>
        </w:tc>
      </w:tr>
      <w:tr>
        <w:trPr>
          <w:trHeight w:val="361"/>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Mid-Con</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16,171</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Piceance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52,014</w:t>
            </w:r>
          </w:p>
        </w:tc>
      </w:tr>
      <w:tr>
        <w:trPr>
          <w:trHeight w:val="21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Northeast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17,856</w:t>
            </w:r>
          </w:p>
        </w:tc>
      </w:tr>
      <w:tr>
        <w:trPr>
          <w:trHeight w:val="212"/>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reportable segment depreciation and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122,189</w:t>
            </w:r>
          </w:p>
        </w:tc>
      </w:tr>
      <w:tr>
        <w:trPr>
          <w:trHeight w:val="21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37"/>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500" w:right="960" w:hanging="5497"/>
        <w:spacing w:after="0" w:line="913" w:lineRule="auto"/>
        <w:tabs>
          <w:tab w:leader="none" w:pos="181" w:val="left"/>
        </w:tabs>
        <w:numPr>
          <w:ilvl w:val="0"/>
          <w:numId w:val="7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amortization expense associated with the Company’s favorable and unfavorable gas gathering contracts as reported in Other revenues.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-397510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color w:val="auto"/>
        </w:rPr>
        <w:t>Cash paid for capital expenditures by reportable segment follow.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24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r>
      <w:tr>
        <w:trPr>
          <w:trHeight w:val="22"/>
        </w:trPr>
        <w:tc>
          <w:tcPr>
            <w:tcW w:w="8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r>
      <w:tr>
        <w:trPr>
          <w:trHeight w:val="186"/>
        </w:trPr>
        <w:tc>
          <w:tcPr>
            <w:tcW w:w="8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paid for capital expenditures: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Rockies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39,713</w:t>
            </w:r>
          </w:p>
        </w:tc>
        <w:tc>
          <w:tcPr>
            <w:tcW w:w="100" w:type="dxa"/>
            <w:vAlign w:val="bottom"/>
          </w:tcPr>
          <w:p>
            <w:pPr>
              <w:spacing w:after="0"/>
              <w:rPr>
                <w:sz w:val="19"/>
                <w:szCs w:val="19"/>
                <w:color w:val="auto"/>
              </w:rPr>
            </w:pP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44,092</w:t>
            </w:r>
          </w:p>
        </w:tc>
      </w:tr>
      <w:tr>
        <w:trPr>
          <w:trHeight w:val="36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Mid-Con</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44,202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Piceance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Northeast</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reportable segment capital expenditures</w:t>
            </w: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85,689</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50,745</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w:t>
            </w: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cash paid for capital expenditures</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89,042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53,611</w:t>
            </w:r>
          </w:p>
        </w:tc>
      </w:tr>
      <w:tr>
        <w:trPr>
          <w:trHeight w:val="20"/>
        </w:trPr>
        <w:tc>
          <w:tcPr>
            <w:tcW w:w="8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For the purpose of evaluating segment performance, the Company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total of reportable segments’ measure of profit to income or loss before income taxes and income from equity method investees follows.</w:t>
      </w:r>
    </w:p>
    <w:p>
      <w:pPr>
        <w:spacing w:after="0" w:line="4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1"/>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Segment Adjusted EBITDA to income (loss) before income taxes: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 Adjusted EBITDA</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291,766</w:t>
            </w: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 xml:space="preserve">Corporate and other expense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26,898</w:t>
            </w: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equity method investee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(33,829)</w:t>
            </w: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140,784</w:t>
            </w:r>
          </w:p>
        </w:tc>
        <w:tc>
          <w:tcPr>
            <w:tcW w:w="0" w:type="dxa"/>
            <w:vAlign w:val="bottom"/>
          </w:tcPr>
          <w:p>
            <w:pPr>
              <w:spacing w:after="0"/>
              <w:rPr>
                <w:sz w:val="1"/>
                <w:szCs w:val="1"/>
                <w:color w:val="auto"/>
              </w:rPr>
            </w:pPr>
          </w:p>
        </w:tc>
      </w:tr>
      <w:tr>
        <w:trPr>
          <w:trHeight w:val="232"/>
        </w:trPr>
        <w:tc>
          <w:tcPr>
            <w:tcW w:w="6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123,702</w:t>
            </w:r>
          </w:p>
        </w:tc>
        <w:tc>
          <w:tcPr>
            <w:tcW w:w="0" w:type="dxa"/>
            <w:vAlign w:val="bottom"/>
          </w:tcPr>
          <w:p>
            <w:pPr>
              <w:spacing w:after="0"/>
              <w:rPr>
                <w:sz w:val="1"/>
                <w:szCs w:val="1"/>
                <w:color w:val="auto"/>
              </w:rPr>
            </w:pPr>
          </w:p>
        </w:tc>
      </w:tr>
      <w:tr>
        <w:trPr>
          <w:trHeight w:val="128"/>
        </w:trPr>
        <w:tc>
          <w:tcPr>
            <w:tcW w:w="6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 xml:space="preserve">Proportional Adjusted EBITDA for equity method investees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61,070</w:t>
            </w:r>
          </w:p>
        </w:tc>
        <w:tc>
          <w:tcPr>
            <w:tcW w:w="0" w:type="dxa"/>
            <w:vAlign w:val="bottom"/>
          </w:tcPr>
          <w:p>
            <w:pPr>
              <w:spacing w:after="0"/>
              <w:rPr>
                <w:sz w:val="1"/>
                <w:szCs w:val="1"/>
                <w:color w:val="auto"/>
              </w:rPr>
            </w:pPr>
          </w:p>
        </w:tc>
      </w:tr>
      <w:tr>
        <w:trPr>
          <w:trHeight w:val="128"/>
        </w:trPr>
        <w:tc>
          <w:tcPr>
            <w:tcW w:w="674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Adjustments related to capital reimbursement activity </w:t>
            </w:r>
            <w:r>
              <w:rPr>
                <w:rFonts w:ascii="Times New Roman" w:cs="Times New Roman" w:eastAsia="Times New Roman" w:hAnsi="Times New Roman"/>
                <w:sz w:val="22"/>
                <w:szCs w:val="22"/>
                <w:color w:val="auto"/>
                <w:vertAlign w:val="superscript"/>
              </w:rPr>
              <w:t>(4)</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(9,874)</w:t>
            </w: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compensation</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6,566</w:t>
            </w: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loss on asset sales, net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sale of equity method investment</w:t>
            </w:r>
          </w:p>
        </w:tc>
        <w:tc>
          <w:tcPr>
            <w:tcW w:w="3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Long-lived asset impairment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58"/>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Transaction costs and other</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3,813</w:t>
            </w:r>
          </w:p>
        </w:tc>
        <w:tc>
          <w:tcPr>
            <w:tcW w:w="0" w:type="dxa"/>
            <w:vAlign w:val="bottom"/>
          </w:tcPr>
          <w:p>
            <w:pPr>
              <w:spacing w:after="0"/>
              <w:rPr>
                <w:sz w:val="1"/>
                <w:szCs w:val="1"/>
                <w:color w:val="auto"/>
              </w:rPr>
            </w:pPr>
          </w:p>
        </w:tc>
      </w:tr>
      <w:tr>
        <w:trPr>
          <w:trHeight w:val="25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10,934</w:t>
            </w:r>
          </w:p>
        </w:tc>
        <w:tc>
          <w:tcPr>
            <w:tcW w:w="0" w:type="dxa"/>
            <w:vAlign w:val="bottom"/>
          </w:tcPr>
          <w:p>
            <w:pPr>
              <w:spacing w:after="0"/>
              <w:rPr>
                <w:sz w:val="1"/>
                <w:szCs w:val="1"/>
                <w:color w:val="auto"/>
              </w:rPr>
            </w:pPr>
          </w:p>
        </w:tc>
      </w:tr>
      <w:tr>
        <w:trPr>
          <w:trHeight w:val="22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33,503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(38,625)</w:t>
            </w:r>
          </w:p>
        </w:tc>
        <w:tc>
          <w:tcPr>
            <w:tcW w:w="0" w:type="dxa"/>
            <w:vAlign w:val="bottom"/>
          </w:tcPr>
          <w:p>
            <w:pPr>
              <w:spacing w:after="0"/>
              <w:rPr>
                <w:sz w:val="1"/>
                <w:szCs w:val="1"/>
                <w:color w:val="auto"/>
              </w:rPr>
            </w:pPr>
          </w:p>
        </w:tc>
      </w:tr>
      <w:tr>
        <w:trPr>
          <w:trHeight w:val="90"/>
        </w:trPr>
        <w:tc>
          <w:tcPr>
            <w:tcW w:w="6740" w:type="dxa"/>
            <w:vAlign w:val="bottom"/>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ind w:left="240" w:right="400" w:hanging="237"/>
        <w:spacing w:after="0" w:line="244" w:lineRule="auto"/>
        <w:tabs>
          <w:tab w:leader="none" w:pos="228"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Corporate includes results that are not specifically attributable to a reportable segment or that have not been allocated to the Company’s reportable segments, For the years ended December 31, 2025, 2024 and 2023, Other expense consists primarily of gain on interest rate swaps.</w:t>
      </w:r>
    </w:p>
    <w:p>
      <w:pPr>
        <w:ind w:left="220" w:hanging="217"/>
        <w:spacing w:after="0"/>
        <w:tabs>
          <w:tab w:leader="none" w:pos="22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amortization expense associated with the Company’s favorable gas gathering contracts as reported in other revenues.</w:t>
      </w:r>
    </w:p>
    <w:p>
      <w:pPr>
        <w:spacing w:after="0" w:line="6" w:lineRule="exact"/>
        <w:rPr>
          <w:rFonts w:ascii="Times New Roman" w:cs="Times New Roman" w:eastAsia="Times New Roman" w:hAnsi="Times New Roman"/>
          <w:sz w:val="11"/>
          <w:szCs w:val="11"/>
          <w:color w:val="auto"/>
        </w:rPr>
      </w:pPr>
    </w:p>
    <w:p>
      <w:pPr>
        <w:ind w:left="240" w:right="240" w:hanging="237"/>
        <w:spacing w:after="0" w:line="256" w:lineRule="auto"/>
        <w:tabs>
          <w:tab w:leader="none" w:pos="228"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recorded financial results of its investment in Ohio Gathering on a one-month lag and is based on the financial information available to the Company during the reporting period. With the divestiture of Ohio Gathering in March 2024, Proportional Adjusted EBITDA, for the year ended December 31, 2024, includes financial results from December 1, 2023 through March 22, 2024.</w:t>
      </w:r>
    </w:p>
    <w:p>
      <w:pPr>
        <w:ind w:left="240" w:right="180" w:hanging="237"/>
        <w:spacing w:after="0" w:line="273" w:lineRule="auto"/>
        <w:tabs>
          <w:tab w:leader="none" w:pos="228"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11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Double E Commercial Update. </w:t>
      </w:r>
      <w:r>
        <w:rPr>
          <w:rFonts w:ascii="Times New Roman" w:cs="Times New Roman" w:eastAsia="Times New Roman" w:hAnsi="Times New Roman"/>
          <w:sz w:val="17"/>
          <w:szCs w:val="17"/>
          <w:color w:val="auto"/>
        </w:rPr>
        <w:t>In January of 2026, our equity method investment, Double E, executed an agreement which includes 210 MMcf/d of firm capacity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the Double E Pipeline, with the first tranche of volume set to begin flowing in the fourth quarter of 2026, and an 11-year term. Additionally, in February 2026, Double E executed an agreement which includes 230 MMcf/d of firm capacity on the Double E Pipeline, with the first tranche of volume set to begin flowing in the fourth quarter of 2027, and over an 11-year term.</w:t>
      </w:r>
    </w:p>
    <w:p>
      <w:pPr>
        <w:spacing w:after="0" w:line="5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Summit Permian Transmission and Permian Holdco Refinancing. </w:t>
      </w:r>
      <w:r>
        <w:rPr>
          <w:rFonts w:ascii="Times New Roman" w:cs="Times New Roman" w:eastAsia="Times New Roman" w:hAnsi="Times New Roman"/>
          <w:sz w:val="17"/>
          <w:szCs w:val="17"/>
          <w:color w:val="auto"/>
        </w:rPr>
        <w:t>On March 16, 2026, Summit Permian Transmission completed a $440.0 million refinancing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Permian Transmission Credit Facilities in the form of the New Permian Transmission Facility bearing interest at SOFR plus 4.00% per annum and with a maturity in March 2031. The New Permian Transmission Facility consists of $340.0 million in initial term loan commitments, $50.0 million in delayed draw commitments (with a commitment fee of 1.00% per annum) and a $50.0 million uncommitted incremental facility. The use of proceeds of the New Permian Transmission Facility includes, among other things, repayment in full of the Permian Transmission Credit Facilities and redemption in full of the outstanding Subsidiary Series A Preferred Units. In connection with the New Permian Transmission Facility, Summit Permian Transmission entered into a $7.0 million letter of credit arrangement. As of March 16, 2026, $340.0 million of term loans was outstanding under the New Permian Transmission Facility.</w:t>
      </w:r>
    </w:p>
    <w:p>
      <w:pPr>
        <w:spacing w:after="0" w:line="6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Repayment of accrued and unpaid dividends. </w:t>
      </w:r>
      <w:r>
        <w:rPr>
          <w:rFonts w:ascii="Times New Roman" w:cs="Times New Roman" w:eastAsia="Times New Roman" w:hAnsi="Times New Roman"/>
          <w:sz w:val="17"/>
          <w:szCs w:val="17"/>
          <w:color w:val="auto"/>
        </w:rPr>
        <w:t>In March 2026, the Company’s Board of Directors approved the payment of any and all accrued and unpaid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dividends on the Company’s Series A Preferred Stock, including the $46.6 million of accrued and unpaid dividends outstanding as of December 31, 2025. The Company expects to pay the accrued and unpaid dividends on the Series A Preferred Stock upon satisfaction of certain notice requirements, which the Company expects to complete by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see “Part II Item 9B. Other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1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There have been no changes in, or disagreements with, accountants on accounting and financial disclosure matters during the years ended December 31, 2025 and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by us in the reports that we file or submit to the Securities and Exchange Commission under the Exchange Act, is recorded, processed, summarized and reported within the time periods specified by the SEC’s rules and forms, and that information is accumulated and communicated to the management of the Company, including our Company’s principal executive and principal financial officers, as appropriate to allow timely decisions regarding required disclosure. The Company’s management has evaluated the effectiveness of its disclosure controls and procedures (as such term is defined in Rules 13a-15(e) and 15d-15(e) under the Exchange Act) as of the end of the period covered by this annual report (the “Evaluation Date”). Based on such evaluation, the Chief Executive Officer and Chief Financial Officer of the Company have concluded that, as of the Evaluation Date, the Company’s disclosure controls and procedures are effective.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occurred during the quarter ended December 31, 2025 (as such term is defined in Rules 13a-15(f) and 15d-15(f) under the Exchange Act)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1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 xml:space="preserve">Management of the Company is responsible for establishing and maintaining adequate internal control over financial reporting. An evaluation of the effectiveness of our internal control over financial reporting was conducted as of December 31, 2025, based on the framework and criteria established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(2013) </w:t>
      </w:r>
      <w:r>
        <w:rPr>
          <w:rFonts w:ascii="Times New Roman" w:cs="Times New Roman" w:eastAsia="Times New Roman" w:hAnsi="Times New Roman"/>
          <w:sz w:val="17"/>
          <w:szCs w:val="17"/>
          <w:color w:val="auto"/>
        </w:rPr>
        <w:t>issued by the Committee of Sponsoring Organizations of the Treadway Commission. Based on this evaluation, management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concluded that our internal control over financial reporting was effective as of December 31, 2025.</w:t>
      </w:r>
    </w:p>
    <w:p>
      <w:pPr>
        <w:spacing w:after="0" w:line="6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Our independent registered public accounting firm has issued an audit report on our internal control over financial reporting and has issued an attestation report on the effectiveness of our internal control over financial reporting as of December 31, 2025, included below this report.</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 J.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36753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753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 Heath Deneke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 Summit Midstream Corporation</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36753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753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William J. Mault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 Summit</w:t>
      </w:r>
    </w:p>
    <w:p>
      <w:pPr>
        <w:ind w:left="20"/>
        <w:spacing w:after="0"/>
        <w:rPr>
          <w:sz w:val="20"/>
          <w:szCs w:val="20"/>
          <w:color w:val="auto"/>
        </w:rPr>
      </w:pPr>
      <w:r>
        <w:rPr>
          <w:rFonts w:ascii="Times New Roman" w:cs="Times New Roman" w:eastAsia="Times New Roman" w:hAnsi="Times New Roman"/>
          <w:sz w:val="17"/>
          <w:szCs w:val="17"/>
          <w:color w:val="auto"/>
        </w:rPr>
        <w:t>Midstream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26" w:name="page127"/>
    <w:bookmarkEnd w:id="126"/>
    <w:p>
      <w:pPr>
        <w:ind w:right="5360"/>
        <w:spacing w:after="0" w:line="38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Summit Midstream Corporation </w:t>
      </w:r>
      <w:r>
        <w:rPr>
          <w:rFonts w:ascii="Times New Roman" w:cs="Times New Roman" w:eastAsia="Times New Roman" w:hAnsi="Times New Roman"/>
          <w:sz w:val="17"/>
          <w:szCs w:val="17"/>
          <w:b w:val="1"/>
          <w:bCs w:val="1"/>
          <w:color w:val="auto"/>
        </w:rPr>
        <w:t>Opinion on Internal Control over Financial Reporting</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Summit Midstream Corporation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6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March 16, 2026, expressed an unqualified opinion on those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7"/>
          <w:szCs w:val="17"/>
          <w:i w:val="1"/>
          <w:iCs w:val="1"/>
          <w:color w:val="auto"/>
        </w:rPr>
        <w:t>Management's Annual Report on Internal Control over Financial Reporting</w:t>
      </w:r>
      <w:r>
        <w:rPr>
          <w:rFonts w:ascii="Times New Roman" w:cs="Times New Roman" w:eastAsia="Times New Roman" w:hAnsi="Times New Roman"/>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Deloitte &amp; Touche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14" w:lineRule="exact"/>
        <w:rPr>
          <w:sz w:val="20"/>
          <w:szCs w:val="20"/>
          <w:color w:val="auto"/>
        </w:rPr>
      </w:pPr>
    </w:p>
    <w:p>
      <w:pPr>
        <w:ind w:left="280" w:hanging="277"/>
        <w:spacing w:after="0"/>
        <w:tabs>
          <w:tab w:leader="none" w:pos="2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Disclosure in lieu of reporting on a Current Report on Form 8-K</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On March 16, 2026 (the “Closing Date”), Summit Permian Transmission, an unrestricted subsidiary of SMLP that directly owns SMLP’s 70% interest in Double E, entered into a Credit Agreement with EPIC Administration, LLC (as administrative agent), the lenders party thereto from time to time and Nuveen Alternative Advisors, LLC (as sole lead arranger) (the “New Permian Transmission Credit Agreement”).</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New Permian Transmission Credit Agreement provides Summit Permian Transmission with an up to $440.0 million senior secured term loan facility consisting of $340.0 million in initial term loan commitments, $50.0 million in delayed draw term loan commitments and a $50 million uncommitted incremental term loan facility. The New Permian Transmission Facility will be used to: repay in full the Permian Transmission Credit Facilities, redeem in full the outstanding Subsidiary Series A Preferred Units, make a distribution to the Company, fund the debt service reserve account under the New Permian Transmission Facility, pay fees and expenses in connection with the New Permian Transmission Credit Agreement and related transactions, and fund general corporate purposes. The New Permian Transmission Facility bears interest at SOFR plus 4.00% per annum payable quarterly and matures on the fifth anniversary of the Closing Date. The term loans will amortize quarterly beginning in March 2027 in an amount equal to 0.25% of the principal amount of term loans outstanding on each quarterly payment date.</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delayed draw term loan commitments are available to be drawn on an as-needed basis for a period of 30 months following the Closing Date, so long as there are no defaults, events of default, certain customary representations and warranties are true and correct in all material respects and certification is provided that Summit Permian Transmission satisfies the financial covenants under the New Permian Transmission Credit Agreement on a pro forma basis taking into account such delayed draw. The delayed draw commitments are subject to a commitment fee equal to 1.00% per annum calculated on any unused and available delayed draw commitments.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New Permian Transmission Credit Agreement includes customary representations and warranties, affirmative covenants, negative covenants, and events of default with customary cure periods, knowledge qualifiers and materiality qualifiers. The New Permian Transmission Credit Agreement also includes financial covenants based on certain maximum total debt to EBITDA ratios and certain minimum debt service coverage ratios, in each case as defined in the New Permian Transmission Credit Agreement. Events of default include non-payment of principal and interest, non-compliance with affirmative and negative covenants, inaccuracy of representations and warranties, cross payment default and cross acceleration, change of control, termination of material contracts, revocation of material permits and other customary events of default. Summit Permian Transmission is required to take all actions within its control to comply with any such covenants that apply to Double E. Secured interests in the equity and assets of Summit Permian Transmission, including its 70% direct membership interest in Double E, have been granted under the New Permian Transmission Credit Agreement.</w:t>
      </w:r>
    </w:p>
    <w:p>
      <w:pPr>
        <w:spacing w:after="0" w:line="7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Summit Permian Transmission will also be required to maintain a 3-month debt service reserve, which can be supported by letters of credit. In addition, the New Permian Transmission Credit Agreement allows for restricted payments so long as there are no defaults or events of default and Summit Permian Transmission maintains a total debt to EBITDA ratio of at least 6.00:1.00.</w:t>
      </w:r>
    </w:p>
    <w:p>
      <w:pPr>
        <w:spacing w:after="0" w:line="6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In connection with entering into the New Permian Transmission Credit Agreement, Summit Permian Transmission entered into a $7.0 million letter of credit arrangement.</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New Permian Transmission Credit Agreement is a summary and is qualified in its entirety by reference to the full text of the New Permian Transmission Credit Agreement, a copy of which is filed as Exhibit 10.15 to this Annual Report on Form 10-K and which is incorporated herein by reference.</w:t>
      </w:r>
    </w:p>
    <w:p>
      <w:pPr>
        <w:spacing w:after="0" w:line="58" w:lineRule="exact"/>
        <w:rPr>
          <w:sz w:val="20"/>
          <w:szCs w:val="20"/>
          <w:color w:val="auto"/>
        </w:rPr>
      </w:pPr>
    </w:p>
    <w:p>
      <w:pPr>
        <w:ind w:left="280" w:hanging="277"/>
        <w:spacing w:after="0"/>
        <w:tabs>
          <w:tab w:leader="none" w:pos="2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Insider trading arrangements and policies.</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99"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99"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information is incorporated by reference to the Company’s Proxy Statement for its 2026 Annual Meeting of Stockholders, which will be filed with the SEC within 120 days of December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information is incorporated by reference to the Company’s Proxy Statement for its 2026 Annual Meeting of Stockholders, which will be filed with the SEC within 120 days of December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information is incorporated by reference to the Company’s Proxy Statement for its 2026 Annual Meeting of Stockholders, which will be filed with the SEC within 120 days of December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information is incorporated by reference to the Company’s Proxy Statement for its 2026 Annual Meeting of Stockholders, which will be filed with the SEC within 120 days of December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information is incorporated by reference to the Company’s Proxy Statement for its 2026 Annual Meeting of Stockholders, which will be filed with the SEC within 120 days of December 31, 2025.</w:t>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099" w:right="5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(a)(1) Financial Statements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Our Consolidated Financial Statements and accompanying footnotes are included in Part II, Item 8, of this report.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All schedules are omitted because the required information is inapplicable or the information is presented in the financial statements or the notes thereto.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Exhibit Index</w:t>
      </w:r>
    </w:p>
    <w:p>
      <w:pPr>
        <w:spacing w:after="0" w:line="1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exhibits listed on the accompanying Exhibit Index are filed as part of, or incorporated by reference into,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720" w:type="dxa"/>
            <w:vAlign w:val="bottom"/>
          </w:tcPr>
          <w:p>
            <w:pPr>
              <w:spacing w:after="0"/>
              <w:rPr>
                <w:sz w:val="19"/>
                <w:szCs w:val="19"/>
                <w:color w:val="auto"/>
              </w:rPr>
            </w:pPr>
          </w:p>
        </w:tc>
        <w:tc>
          <w:tcPr>
            <w:tcW w:w="954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5"/>
        </w:trPr>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98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2.1</w:t>
            </w:r>
          </w:p>
        </w:tc>
        <w:tc>
          <w:tcPr>
            <w:tcW w:w="720" w:type="dxa"/>
            <w:vAlign w:val="bottom"/>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26"/>
            <w:shd w:val="clear" w:color="auto" w:fill="CCEEFF"/>
          </w:tcPr>
          <w:p>
            <w:pPr>
              <w:spacing w:after="0" w:line="19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Membership Interest Purchase and Sale Agreement between Summit Midstream Holdings, LLC, Outrigger Energy II LLC and Outrigger</w:t>
              </w:r>
            </w:hyperlink>
          </w:p>
        </w:tc>
      </w:tr>
      <w:tr>
        <w:trPr>
          <w:trHeight w:val="186"/>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9260" w:type="dxa"/>
            <w:vAlign w:val="bottom"/>
            <w:tcBorders>
              <w:top w:val="single" w:sz="8" w:color="0000FF"/>
              <w:bottom w:val="single" w:sz="8" w:color="0000FF"/>
            </w:tcBorders>
            <w:gridSpan w:val="17"/>
            <w:shd w:val="clear" w:color="auto" w:fill="CCEEFF"/>
          </w:tcPr>
          <w:p>
            <w:pPr>
              <w:spacing w:after="0" w:line="186"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DJ Midstream LLC, dated October 14, 2022 (Incorporated herein by reference to Exhibit 2.4 to SMLP’s Annual Report on Form 10-K</w:t>
              </w:r>
            </w:hyperlink>
          </w:p>
        </w:tc>
        <w:tc>
          <w:tcPr>
            <w:tcW w:w="16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231"/>
        </w:trPr>
        <w:tc>
          <w:tcPr>
            <w:tcW w:w="9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0000FF"/>
            </w:tcBorders>
            <w:gridSpan w:val="4"/>
            <w:shd w:val="clear" w:color="auto" w:fill="CCEEFF"/>
          </w:tcPr>
          <w:p>
            <w:pPr>
              <w:spacing w:after="0" w:line="186"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filed March 1, 2023 (Commission File No. 001-35666)).</w:t>
              </w:r>
            </w:hyperlink>
          </w:p>
        </w:tc>
        <w:tc>
          <w:tcPr>
            <w:tcW w:w="5640" w:type="dxa"/>
            <w:vAlign w:val="bottom"/>
            <w:tcBorders>
              <w:bottom w:val="single" w:sz="8" w:color="CCEEFF"/>
            </w:tcBorders>
            <w:gridSpan w:val="22"/>
            <w:shd w:val="clear" w:color="auto" w:fill="CCEEFF"/>
          </w:tcPr>
          <w:p>
            <w:pPr>
              <w:spacing w:after="0"/>
              <w:rPr>
                <w:sz w:val="20"/>
                <w:szCs w:val="20"/>
                <w:color w:val="auto"/>
              </w:rPr>
            </w:pPr>
          </w:p>
        </w:tc>
      </w:tr>
      <w:tr>
        <w:trPr>
          <w:trHeight w:val="193"/>
        </w:trPr>
        <w:tc>
          <w:tcPr>
            <w:tcW w:w="98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2.2</w:t>
            </w:r>
          </w:p>
        </w:tc>
        <w:tc>
          <w:tcPr>
            <w:tcW w:w="72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bottom w:val="single" w:sz="8" w:color="0000FF"/>
            </w:tcBorders>
            <w:gridSpan w:val="16"/>
          </w:tcPr>
          <w:p>
            <w:pPr>
              <w:spacing w:after="0" w:line="19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Purchase and Sale Agreement between Summit Midstream Holdings, LLC and Sterling Investment Holdings, dated October 14, 2022</w:t>
              </w:r>
            </w:hyperlink>
          </w:p>
        </w:tc>
        <w:tc>
          <w:tcPr>
            <w:tcW w:w="340" w:type="dxa"/>
            <w:vAlign w:val="bottom"/>
            <w:gridSpan w:val="10"/>
          </w:tcPr>
          <w:p>
            <w:pPr>
              <w:spacing w:after="0"/>
              <w:rPr>
                <w:sz w:val="16"/>
                <w:szCs w:val="16"/>
                <w:color w:val="auto"/>
              </w:rPr>
            </w:pPr>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40" w:type="dxa"/>
            <w:vAlign w:val="bottom"/>
            <w:gridSpan w:val="26"/>
          </w:tcPr>
          <w:p>
            <w:pPr>
              <w:spacing w:after="0" w:line="186"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(Incorporated herein by reference to Exhibit 2.5 to SMLP’s Annual Report on Form 10-K filed March 1, 2023 (Commission File No. 001-</w:t>
              </w:r>
            </w:hyperlink>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80" w:type="dxa"/>
            <w:vAlign w:val="bottom"/>
            <w:tcBorders>
              <w:top w:val="single" w:sz="8" w:color="0000FF"/>
            </w:tcBorders>
            <w:gridSpan w:val="2"/>
          </w:tcPr>
          <w:p>
            <w:pPr>
              <w:spacing w:after="0" w:line="186"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35666)</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w:t>
              </w:r>
            </w:hyperlink>
          </w:p>
        </w:tc>
        <w:tc>
          <w:tcPr>
            <w:tcW w:w="40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1040" w:type="dxa"/>
            <w:vAlign w:val="bottom"/>
            <w:tcBorders>
              <w:top w:val="single" w:sz="8" w:color="0000FF"/>
            </w:tcBorders>
          </w:tcPr>
          <w:p>
            <w:pPr>
              <w:spacing w:after="0"/>
              <w:rPr>
                <w:sz w:val="16"/>
                <w:szCs w:val="16"/>
                <w:color w:val="auto"/>
              </w:rPr>
            </w:pPr>
          </w:p>
        </w:tc>
        <w:tc>
          <w:tcPr>
            <w:tcW w:w="1300" w:type="dxa"/>
            <w:vAlign w:val="bottom"/>
            <w:tcBorders>
              <w:top w:val="single" w:sz="8" w:color="0000FF"/>
            </w:tcBorders>
          </w:tcPr>
          <w:p>
            <w:pPr>
              <w:spacing w:after="0"/>
              <w:rPr>
                <w:sz w:val="16"/>
                <w:szCs w:val="16"/>
                <w:color w:val="auto"/>
              </w:rPr>
            </w:pPr>
          </w:p>
        </w:tc>
        <w:tc>
          <w:tcPr>
            <w:tcW w:w="10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44"/>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980" w:type="dxa"/>
            <w:vAlign w:val="bottom"/>
            <w:tcBorders>
              <w:bottom w:val="single" w:sz="8" w:color="CCEEFF"/>
            </w:tcBorders>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2.3</w:t>
            </w:r>
          </w:p>
        </w:tc>
        <w:tc>
          <w:tcPr>
            <w:tcW w:w="720" w:type="dxa"/>
            <w:vAlign w:val="bottom"/>
            <w:tcBorders>
              <w:bottom w:val="single" w:sz="8" w:color="CCEEFF"/>
            </w:tcBorders>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340" w:type="dxa"/>
            <w:vAlign w:val="bottom"/>
            <w:tcBorders>
              <w:bottom w:val="single" w:sz="8" w:color="0000FF"/>
            </w:tcBorders>
            <w:gridSpan w:val="20"/>
            <w:shd w:val="clear" w:color="auto" w:fill="CCEEFF"/>
          </w:tcPr>
          <w:p>
            <w:pPr>
              <w:spacing w:after="0" w:line="194"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Purchase and Sale Agreement, dated as of March 22, 2024, by and among Summit Midstream Opco, LP, as Seller, MPLX LP, as Buyer,</w:t>
              </w:r>
            </w:hyperlink>
          </w:p>
        </w:tc>
        <w:tc>
          <w:tcPr>
            <w:tcW w:w="200" w:type="dxa"/>
            <w:vAlign w:val="bottom"/>
            <w:tcBorders>
              <w:bottom w:val="single" w:sz="8" w:color="CCEEFF"/>
            </w:tcBorders>
            <w:gridSpan w:val="6"/>
            <w:shd w:val="clear" w:color="auto" w:fill="CCEEFF"/>
          </w:tcPr>
          <w:p>
            <w:pPr>
              <w:spacing w:after="0"/>
              <w:rPr>
                <w:sz w:val="16"/>
                <w:szCs w:val="16"/>
                <w:color w:val="auto"/>
              </w:rPr>
            </w:pPr>
          </w:p>
        </w:tc>
      </w:tr>
      <w:tr>
        <w:trPr>
          <w:trHeight w:val="186"/>
        </w:trPr>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0000FF"/>
            </w:tcBorders>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and, solely for purposes of Section 12.18 thereto, Summit Midstream Partners, LP, as Seller Parent (Incorporated herein by reference to</w:t>
              </w:r>
            </w:hyperlink>
          </w:p>
        </w:tc>
        <w:tc>
          <w:tcPr>
            <w:tcW w:w="220" w:type="dxa"/>
            <w:vAlign w:val="bottom"/>
            <w:tcBorders>
              <w:bottom w:val="single" w:sz="8" w:color="CCEEFF"/>
            </w:tcBorders>
            <w:gridSpan w:val="7"/>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540" w:type="dxa"/>
            <w:vAlign w:val="bottom"/>
            <w:gridSpan w:val="26"/>
            <w:shd w:val="clear" w:color="auto" w:fill="CCEEFF"/>
          </w:tcPr>
          <w:p>
            <w:pPr>
              <w:spacing w:after="0" w:line="186"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Exhibit 2.1 to SMLP’s Current Report on Form 8-K filed March 22, 2024 (Commission File No. 001-35666)).</w:t>
              </w:r>
            </w:hyperlink>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8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020" w:type="dxa"/>
            <w:vAlign w:val="bottom"/>
            <w:tcBorders>
              <w:top w:val="single" w:sz="8" w:color="0000FF"/>
            </w:tcBorders>
            <w:shd w:val="clear" w:color="auto" w:fill="CCEEFF"/>
          </w:tcPr>
          <w:p>
            <w:pPr>
              <w:spacing w:after="0"/>
              <w:rPr>
                <w:sz w:val="3"/>
                <w:szCs w:val="3"/>
                <w:color w:val="auto"/>
              </w:rPr>
            </w:pPr>
          </w:p>
        </w:tc>
        <w:tc>
          <w:tcPr>
            <w:tcW w:w="1040" w:type="dxa"/>
            <w:vAlign w:val="bottom"/>
            <w:tcBorders>
              <w:top w:val="single" w:sz="8" w:color="0000FF"/>
            </w:tcBorders>
            <w:shd w:val="clear" w:color="auto" w:fill="CCEEFF"/>
          </w:tcPr>
          <w:p>
            <w:pPr>
              <w:spacing w:after="0"/>
              <w:rPr>
                <w:sz w:val="3"/>
                <w:szCs w:val="3"/>
                <w:color w:val="auto"/>
              </w:rPr>
            </w:pPr>
          </w:p>
        </w:tc>
        <w:tc>
          <w:tcPr>
            <w:tcW w:w="130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98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2.4</w:t>
            </w:r>
          </w:p>
        </w:tc>
        <w:tc>
          <w:tcPr>
            <w:tcW w:w="72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8840" w:type="dxa"/>
            <w:vAlign w:val="bottom"/>
            <w:tcBorders>
              <w:bottom w:val="single" w:sz="8" w:color="0000FF"/>
            </w:tcBorders>
            <w:gridSpan w:val="12"/>
          </w:tcPr>
          <w:p>
            <w:pPr>
              <w:spacing w:after="0" w:line="19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Purchase and Sale Agreement, dated May 1, 2024, by and among Mountaineer Midstream Company, LLC, as Seller, and Antero</w:t>
              </w:r>
            </w:hyperlink>
          </w:p>
        </w:tc>
        <w:tc>
          <w:tcPr>
            <w:tcW w:w="700" w:type="dxa"/>
            <w:vAlign w:val="bottom"/>
            <w:gridSpan w:val="14"/>
          </w:tcPr>
          <w:p>
            <w:pPr>
              <w:spacing w:after="0"/>
              <w:rPr>
                <w:sz w:val="16"/>
                <w:szCs w:val="16"/>
                <w:color w:val="auto"/>
              </w:rPr>
            </w:pPr>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40" w:type="dxa"/>
            <w:vAlign w:val="bottom"/>
            <w:gridSpan w:val="26"/>
          </w:tcPr>
          <w:p>
            <w:pPr>
              <w:spacing w:after="0" w:line="186"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Midstream LLC, as Buyer, and for the limited purposes expressly set forth thereto, Summit Midstream Partners, LP (Incorporated herein</w:t>
              </w:r>
            </w:hyperlink>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0" w:type="dxa"/>
            <w:vAlign w:val="bottom"/>
            <w:tcBorders>
              <w:top w:val="single" w:sz="8" w:color="0000FF"/>
            </w:tcBorders>
            <w:gridSpan w:val="21"/>
          </w:tcPr>
          <w:p>
            <w:pPr>
              <w:spacing w:after="0" w:line="186"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by reference to Exhibit 10.1 to SMLP’s Quarterly Report on Form 10-Q filed May 5, 2024 (Commission File No. 001-35666)).</w:t>
              </w:r>
            </w:hyperlink>
          </w:p>
        </w:tc>
        <w:tc>
          <w:tcPr>
            <w:tcW w:w="140" w:type="dxa"/>
            <w:vAlign w:val="bottom"/>
            <w:gridSpan w:val="5"/>
          </w:tcPr>
          <w:p>
            <w:pPr>
              <w:spacing w:after="0"/>
              <w:rPr>
                <w:sz w:val="16"/>
                <w:szCs w:val="16"/>
                <w:color w:val="auto"/>
              </w:rPr>
            </w:pPr>
          </w:p>
        </w:tc>
      </w:tr>
      <w:tr>
        <w:trPr>
          <w:trHeight w:val="44"/>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980" w:type="dxa"/>
            <w:vAlign w:val="bottom"/>
            <w:tcBorders>
              <w:bottom w:val="single" w:sz="8" w:color="CCEEFF"/>
            </w:tcBorders>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2.5</w:t>
            </w:r>
          </w:p>
        </w:tc>
        <w:tc>
          <w:tcPr>
            <w:tcW w:w="720" w:type="dxa"/>
            <w:vAlign w:val="bottom"/>
            <w:tcBorders>
              <w:bottom w:val="single" w:sz="8" w:color="CCEEFF"/>
            </w:tcBorders>
            <w:shd w:val="clear" w:color="auto" w:fill="CCEEFF"/>
          </w:tcPr>
          <w:p>
            <w:pPr>
              <w:spacing w:after="0"/>
              <w:rPr>
                <w:sz w:val="16"/>
                <w:szCs w:val="16"/>
                <w:color w:val="auto"/>
              </w:rPr>
            </w:pPr>
          </w:p>
        </w:tc>
        <w:tc>
          <w:tcPr>
            <w:tcW w:w="9340" w:type="dxa"/>
            <w:vAlign w:val="bottom"/>
            <w:tcBorders>
              <w:bottom w:val="single" w:sz="8" w:color="0000FF"/>
            </w:tcBorders>
            <w:gridSpan w:val="20"/>
            <w:shd w:val="clear" w:color="auto" w:fill="CCEEFF"/>
          </w:tcPr>
          <w:p>
            <w:pPr>
              <w:spacing w:after="0" w:line="19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Agreement and Plan of Merger, dated as of May 31, 2024, by and among Summit Midstream Corporation, Summit SMC NewCo, LLC,</w:t>
              </w:r>
            </w:hyperlink>
          </w:p>
        </w:tc>
        <w:tc>
          <w:tcPr>
            <w:tcW w:w="200" w:type="dxa"/>
            <w:vAlign w:val="bottom"/>
            <w:tcBorders>
              <w:bottom w:val="single" w:sz="8" w:color="CCEEFF"/>
            </w:tcBorders>
            <w:gridSpan w:val="6"/>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540" w:type="dxa"/>
            <w:vAlign w:val="bottom"/>
            <w:gridSpan w:val="26"/>
            <w:shd w:val="clear" w:color="auto" w:fill="CCEEFF"/>
          </w:tcPr>
          <w:p>
            <w:pPr>
              <w:spacing w:after="0" w:line="186"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Summit Midstream Partners, LP and Summit Midstream GP, LLC (Included as Annex A to the proxy statement/prospectus that forms a</w:t>
              </w:r>
            </w:hyperlink>
          </w:p>
        </w:tc>
      </w:tr>
      <w:tr>
        <w:trPr>
          <w:trHeight w:val="231"/>
        </w:trPr>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7300" w:type="dxa"/>
            <w:vAlign w:val="bottom"/>
            <w:tcBorders>
              <w:top w:val="single" w:sz="8" w:color="0000FF"/>
              <w:bottom w:val="single" w:sz="8" w:color="0000FF"/>
            </w:tcBorders>
            <w:gridSpan w:val="7"/>
            <w:shd w:val="clear" w:color="auto" w:fill="CCEEFF"/>
          </w:tcPr>
          <w:p>
            <w:pPr>
              <w:spacing w:after="0" w:line="186"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part of the registration statement on Form S-4 filed with the SEC on June 3, 2024 (File No. 333-279903)).</w:t>
              </w:r>
            </w:hyperlink>
          </w:p>
        </w:tc>
        <w:tc>
          <w:tcPr>
            <w:tcW w:w="2020" w:type="dxa"/>
            <w:vAlign w:val="bottom"/>
            <w:tcBorders>
              <w:top w:val="single" w:sz="8" w:color="0000FF"/>
              <w:bottom w:val="single" w:sz="8" w:color="CCEEFF"/>
            </w:tcBorders>
            <w:gridSpan w:val="12"/>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7"/>
            <w:shd w:val="clear" w:color="auto" w:fill="CCEEFF"/>
          </w:tcPr>
          <w:p>
            <w:pPr>
              <w:spacing w:after="0"/>
              <w:rPr>
                <w:sz w:val="20"/>
                <w:szCs w:val="20"/>
                <w:color w:val="auto"/>
              </w:rPr>
            </w:pPr>
          </w:p>
        </w:tc>
      </w:tr>
      <w:tr>
        <w:trPr>
          <w:trHeight w:val="193"/>
        </w:trPr>
        <w:tc>
          <w:tcPr>
            <w:tcW w:w="98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2.6</w:t>
            </w:r>
          </w:p>
        </w:tc>
        <w:tc>
          <w:tcPr>
            <w:tcW w:w="72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8900" w:type="dxa"/>
            <w:vAlign w:val="bottom"/>
            <w:tcBorders>
              <w:bottom w:val="single" w:sz="8" w:color="0000FF"/>
            </w:tcBorders>
            <w:gridSpan w:val="13"/>
          </w:tcPr>
          <w:p>
            <w:pPr>
              <w:spacing w:after="0" w:line="19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Business Contribution Agreement, by and among Summit Midstream Corporation, Summit Midstream Partners, LP and Tall Oak</w:t>
              </w:r>
            </w:hyperlink>
          </w:p>
        </w:tc>
        <w:tc>
          <w:tcPr>
            <w:tcW w:w="640" w:type="dxa"/>
            <w:vAlign w:val="bottom"/>
            <w:gridSpan w:val="13"/>
          </w:tcPr>
          <w:p>
            <w:pPr>
              <w:spacing w:after="0"/>
              <w:rPr>
                <w:sz w:val="16"/>
                <w:szCs w:val="16"/>
                <w:color w:val="auto"/>
              </w:rPr>
            </w:pPr>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00" w:type="dxa"/>
            <w:vAlign w:val="bottom"/>
            <w:tcBorders>
              <w:bottom w:val="single" w:sz="8" w:color="0000FF"/>
            </w:tcBorders>
            <w:gridSpan w:val="24"/>
          </w:tcPr>
          <w:p>
            <w:pPr>
              <w:spacing w:after="0" w:line="186"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Midstream Holdings, LLC, dated as of October 1, 2024 (Incorporated herein by reference to Exhibit 2.1 to the Company’s Current Report</w:t>
              </w:r>
            </w:hyperlink>
          </w:p>
        </w:tc>
        <w:tc>
          <w:tcPr>
            <w:tcW w:w="40" w:type="dxa"/>
            <w:vAlign w:val="bottom"/>
            <w:gridSpan w:val="2"/>
          </w:tcPr>
          <w:p>
            <w:pPr>
              <w:spacing w:after="0"/>
              <w:rPr>
                <w:sz w:val="16"/>
                <w:szCs w:val="16"/>
                <w:color w:val="auto"/>
              </w:rPr>
            </w:pPr>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40" w:type="dxa"/>
            <w:vAlign w:val="bottom"/>
            <w:gridSpan w:val="26"/>
          </w:tcPr>
          <w:p>
            <w:pPr>
              <w:spacing w:after="0" w:line="186"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on Form 8-K filed October 2, 2024 (Commission File No. 001-42201)).</w:t>
              </w:r>
            </w:hyperlink>
          </w:p>
        </w:tc>
      </w:tr>
      <w:tr>
        <w:trPr>
          <w:trHeight w:val="44"/>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980" w:type="dxa"/>
            <w:vAlign w:val="bottom"/>
            <w:tcBorders>
              <w:bottom w:val="single" w:sz="8" w:color="CCEEFF"/>
            </w:tcBorders>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3.1</w:t>
            </w:r>
          </w:p>
        </w:tc>
        <w:tc>
          <w:tcPr>
            <w:tcW w:w="720" w:type="dxa"/>
            <w:vAlign w:val="bottom"/>
            <w:tcBorders>
              <w:bottom w:val="single" w:sz="8" w:color="CCEEFF"/>
            </w:tcBorders>
            <w:shd w:val="clear" w:color="auto" w:fill="CCEEFF"/>
          </w:tcPr>
          <w:p>
            <w:pPr>
              <w:spacing w:after="0"/>
              <w:rPr>
                <w:sz w:val="16"/>
                <w:szCs w:val="16"/>
                <w:color w:val="auto"/>
              </w:rPr>
            </w:pPr>
          </w:p>
        </w:tc>
        <w:tc>
          <w:tcPr>
            <w:tcW w:w="9480" w:type="dxa"/>
            <w:vAlign w:val="bottom"/>
            <w:tcBorders>
              <w:bottom w:val="single" w:sz="8" w:color="0000FF"/>
            </w:tcBorders>
            <w:gridSpan w:val="23"/>
            <w:shd w:val="clear" w:color="auto" w:fill="CCEEFF"/>
          </w:tcPr>
          <w:p>
            <w:pPr>
              <w:spacing w:after="0" w:line="19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Amended and Restated Certificate of Incorporation of Summit Midstream Corporation (Incorporated herein by reference to Exhibit 3.1 to</w:t>
              </w:r>
            </w:hyperlink>
          </w:p>
        </w:tc>
        <w:tc>
          <w:tcPr>
            <w:tcW w:w="60" w:type="dxa"/>
            <w:vAlign w:val="bottom"/>
            <w:tcBorders>
              <w:bottom w:val="single" w:sz="8" w:color="CCEEFF"/>
            </w:tcBorders>
            <w:gridSpan w:val="3"/>
            <w:shd w:val="clear" w:color="auto" w:fill="CCEEFF"/>
          </w:tcPr>
          <w:p>
            <w:pPr>
              <w:spacing w:after="0"/>
              <w:rPr>
                <w:sz w:val="16"/>
                <w:szCs w:val="16"/>
                <w:color w:val="auto"/>
              </w:rPr>
            </w:pPr>
          </w:p>
        </w:tc>
      </w:tr>
      <w:tr>
        <w:trPr>
          <w:trHeight w:val="186"/>
        </w:trPr>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540" w:type="dxa"/>
            <w:vAlign w:val="bottom"/>
            <w:gridSpan w:val="26"/>
            <w:shd w:val="clear" w:color="auto" w:fill="CCEEFF"/>
          </w:tcPr>
          <w:p>
            <w:pPr>
              <w:spacing w:after="0" w:line="186"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the Company’s Current Report on Form 8-K12B filed August 1, 2024 (Commission File No. 001-42201)).</w:t>
              </w:r>
            </w:hyperlink>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8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020" w:type="dxa"/>
            <w:vAlign w:val="bottom"/>
            <w:tcBorders>
              <w:top w:val="single" w:sz="8" w:color="0000FF"/>
            </w:tcBorders>
            <w:shd w:val="clear" w:color="auto" w:fill="CCEEFF"/>
          </w:tcPr>
          <w:p>
            <w:pPr>
              <w:spacing w:after="0"/>
              <w:rPr>
                <w:sz w:val="3"/>
                <w:szCs w:val="3"/>
                <w:color w:val="auto"/>
              </w:rPr>
            </w:pPr>
          </w:p>
        </w:tc>
        <w:tc>
          <w:tcPr>
            <w:tcW w:w="1040" w:type="dxa"/>
            <w:vAlign w:val="bottom"/>
            <w:tcBorders>
              <w:top w:val="single" w:sz="8" w:color="0000FF"/>
            </w:tcBorders>
            <w:shd w:val="clear" w:color="auto" w:fill="CCEEFF"/>
          </w:tcPr>
          <w:p>
            <w:pPr>
              <w:spacing w:after="0"/>
              <w:rPr>
                <w:sz w:val="3"/>
                <w:szCs w:val="3"/>
                <w:color w:val="auto"/>
              </w:rPr>
            </w:pPr>
          </w:p>
        </w:tc>
        <w:tc>
          <w:tcPr>
            <w:tcW w:w="130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98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3.2</w:t>
            </w:r>
          </w:p>
        </w:tc>
        <w:tc>
          <w:tcPr>
            <w:tcW w:w="720" w:type="dxa"/>
            <w:vAlign w:val="bottom"/>
          </w:tcPr>
          <w:p>
            <w:pPr>
              <w:spacing w:after="0"/>
              <w:rPr>
                <w:sz w:val="16"/>
                <w:szCs w:val="16"/>
                <w:color w:val="auto"/>
              </w:rPr>
            </w:pPr>
          </w:p>
        </w:tc>
        <w:tc>
          <w:tcPr>
            <w:tcW w:w="9540" w:type="dxa"/>
            <w:vAlign w:val="bottom"/>
            <w:gridSpan w:val="26"/>
          </w:tcPr>
          <w:p>
            <w:pPr>
              <w:spacing w:after="0" w:line="19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Amended and Restated Bylaws of Summit Midstream Corporation (Incorporated herein by reference to Exhibit 3.2 to the Company’s</w:t>
              </w:r>
            </w:hyperlink>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180" w:type="dxa"/>
            <w:vAlign w:val="bottom"/>
            <w:tcBorders>
              <w:top w:val="single" w:sz="8" w:color="0000FF"/>
            </w:tcBorders>
            <w:gridSpan w:val="15"/>
          </w:tcPr>
          <w:p>
            <w:pPr>
              <w:spacing w:after="0" w:line="186"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Current Report on Form 8-K12B filed August 1, 2024 (Commission File No. 001-42201)).</w:t>
              </w:r>
            </w:hyperlink>
          </w:p>
        </w:tc>
        <w:tc>
          <w:tcPr>
            <w:tcW w:w="360" w:type="dxa"/>
            <w:vAlign w:val="bottom"/>
            <w:gridSpan w:val="11"/>
          </w:tcPr>
          <w:p>
            <w:pPr>
              <w:spacing w:after="0"/>
              <w:rPr>
                <w:sz w:val="16"/>
                <w:szCs w:val="16"/>
                <w:color w:val="auto"/>
              </w:rPr>
            </w:pPr>
          </w:p>
        </w:tc>
      </w:tr>
      <w:tr>
        <w:trPr>
          <w:trHeight w:val="44"/>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98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3.3</w:t>
            </w:r>
          </w:p>
        </w:tc>
        <w:tc>
          <w:tcPr>
            <w:tcW w:w="720" w:type="dxa"/>
            <w:vAlign w:val="bottom"/>
            <w:shd w:val="clear" w:color="auto" w:fill="CCEEFF"/>
          </w:tcPr>
          <w:p>
            <w:pPr>
              <w:spacing w:after="0"/>
              <w:rPr>
                <w:sz w:val="16"/>
                <w:szCs w:val="16"/>
                <w:color w:val="auto"/>
              </w:rPr>
            </w:pPr>
          </w:p>
        </w:tc>
        <w:tc>
          <w:tcPr>
            <w:tcW w:w="9540" w:type="dxa"/>
            <w:vAlign w:val="bottom"/>
            <w:gridSpan w:val="26"/>
            <w:shd w:val="clear" w:color="auto" w:fill="CCEEFF"/>
          </w:tcPr>
          <w:p>
            <w:pPr>
              <w:spacing w:after="0" w:line="19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Certificate of Designation of Series A Floating Rate Cumulative Redeemable Perpetual Preferred Stock of Summit Midstream</w:t>
              </w:r>
            </w:hyperlink>
          </w:p>
        </w:tc>
      </w:tr>
      <w:tr>
        <w:trPr>
          <w:trHeight w:val="20"/>
        </w:trPr>
        <w:tc>
          <w:tcPr>
            <w:tcW w:w="9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4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gridSpan w:val="6"/>
            <w:shd w:val="clear" w:color="auto" w:fill="CCEEFF"/>
          </w:tcPr>
          <w:p>
            <w:pPr>
              <w:spacing w:after="0" w:line="20" w:lineRule="exact"/>
              <w:rPr>
                <w:sz w:val="1"/>
                <w:szCs w:val="1"/>
                <w:color w:val="auto"/>
              </w:rPr>
            </w:pPr>
          </w:p>
        </w:tc>
      </w:tr>
      <w:tr>
        <w:trPr>
          <w:trHeight w:val="186"/>
        </w:trPr>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540" w:type="dxa"/>
            <w:vAlign w:val="bottom"/>
            <w:gridSpan w:val="26"/>
            <w:shd w:val="clear" w:color="auto" w:fill="CCEEFF"/>
          </w:tcPr>
          <w:p>
            <w:pPr>
              <w:spacing w:after="0" w:line="186"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Corporation (Incorporated herein by reference to Exhibit 3.3 to the Company’s Current Report on Form 8-K12B filed August 1, 2024</w:t>
              </w:r>
            </w:hyperlink>
          </w:p>
        </w:tc>
      </w:tr>
      <w:tr>
        <w:trPr>
          <w:trHeight w:val="186"/>
        </w:trPr>
        <w:tc>
          <w:tcPr>
            <w:tcW w:w="9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9180" w:type="dxa"/>
            <w:vAlign w:val="bottom"/>
            <w:tcBorders>
              <w:top w:val="single" w:sz="8" w:color="0000FF"/>
            </w:tcBorders>
            <w:gridSpan w:val="15"/>
            <w:shd w:val="clear" w:color="auto" w:fill="CCEEFF"/>
          </w:tcPr>
          <w:p>
            <w:pPr>
              <w:spacing w:after="0" w:line="186"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(Commission File No. 001-42201)).</w:t>
              </w:r>
            </w:hyperlink>
          </w:p>
        </w:tc>
        <w:tc>
          <w:tcPr>
            <w:tcW w:w="360" w:type="dxa"/>
            <w:vAlign w:val="bottom"/>
            <w:tcBorders>
              <w:top w:val="single" w:sz="8" w:color="CCEEFF"/>
            </w:tcBorders>
            <w:gridSpan w:val="11"/>
            <w:shd w:val="clear" w:color="auto" w:fill="CCEEFF"/>
          </w:tcPr>
          <w:p>
            <w:pPr>
              <w:spacing w:after="0"/>
              <w:rPr>
                <w:sz w:val="16"/>
                <w:szCs w:val="16"/>
                <w:color w:val="auto"/>
              </w:rPr>
            </w:pPr>
          </w:p>
        </w:tc>
      </w:tr>
      <w:tr>
        <w:trPr>
          <w:trHeight w:val="44"/>
        </w:trPr>
        <w:tc>
          <w:tcPr>
            <w:tcW w:w="9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8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98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3.4</w:t>
            </w:r>
          </w:p>
        </w:tc>
        <w:tc>
          <w:tcPr>
            <w:tcW w:w="720" w:type="dxa"/>
            <w:vAlign w:val="bottom"/>
          </w:tcPr>
          <w:p>
            <w:pPr>
              <w:spacing w:after="0"/>
              <w:rPr>
                <w:sz w:val="16"/>
                <w:szCs w:val="16"/>
                <w:color w:val="auto"/>
              </w:rPr>
            </w:pPr>
          </w:p>
        </w:tc>
        <w:tc>
          <w:tcPr>
            <w:tcW w:w="9540" w:type="dxa"/>
            <w:vAlign w:val="bottom"/>
            <w:gridSpan w:val="26"/>
          </w:tcPr>
          <w:p>
            <w:pPr>
              <w:spacing w:after="0" w:line="19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 xml:space="preserve">Certificate of Designation of Class B common stock, par value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0.01 per share, of Summit Midstream Corporation (Incorporated herein</w:t>
              </w:r>
            </w:hyperlink>
          </w:p>
        </w:tc>
      </w:tr>
      <w:tr>
        <w:trPr>
          <w:trHeight w:val="186"/>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340" w:type="dxa"/>
            <w:vAlign w:val="bottom"/>
            <w:tcBorders>
              <w:top w:val="single" w:sz="8" w:color="0000FF"/>
            </w:tcBorders>
            <w:gridSpan w:val="20"/>
          </w:tcPr>
          <w:p>
            <w:pPr>
              <w:spacing w:after="0" w:line="186"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by reference to Exhibit 3.1 to the Company’s Current Report on Form 8-K filed December 3, 2024 (Commission File No. 001-42201)).</w:t>
              </w:r>
            </w:hyperlink>
          </w:p>
        </w:tc>
        <w:tc>
          <w:tcPr>
            <w:tcW w:w="200" w:type="dxa"/>
            <w:vAlign w:val="bottom"/>
            <w:gridSpan w:val="6"/>
          </w:tcPr>
          <w:p>
            <w:pPr>
              <w:spacing w:after="0"/>
              <w:rPr>
                <w:sz w:val="16"/>
                <w:szCs w:val="16"/>
                <w:color w:val="auto"/>
              </w:rPr>
            </w:pPr>
          </w:p>
        </w:tc>
      </w:tr>
      <w:tr>
        <w:trPr>
          <w:trHeight w:val="44"/>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98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720" w:type="dxa"/>
            <w:vAlign w:val="bottom"/>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26"/>
            <w:shd w:val="clear" w:color="auto" w:fill="CCEEFF"/>
          </w:tcPr>
          <w:p>
            <w:pPr>
              <w:spacing w:after="0" w:line="19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Description of Capital Stock (Incorporated herein by reference to Exhibit 4.1 to SMC's Annual Report on Form 10-K filed March 11,</w:t>
              </w:r>
            </w:hyperlink>
          </w:p>
        </w:tc>
      </w:tr>
      <w:tr>
        <w:trPr>
          <w:trHeight w:val="231"/>
        </w:trPr>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2880" w:type="dxa"/>
            <w:vAlign w:val="bottom"/>
            <w:tcBorders>
              <w:top w:val="single" w:sz="8" w:color="0000FF"/>
              <w:bottom w:val="single" w:sz="8" w:color="0000FF"/>
            </w:tcBorders>
            <w:gridSpan w:val="3"/>
            <w:shd w:val="clear" w:color="auto" w:fill="CCEEFF"/>
          </w:tcPr>
          <w:p>
            <w:pPr>
              <w:spacing w:after="0" w:line="186"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2025 (Commission File No. 001-42201)).</w:t>
              </w:r>
            </w:hyperlink>
          </w:p>
        </w:tc>
        <w:tc>
          <w:tcPr>
            <w:tcW w:w="6280" w:type="dxa"/>
            <w:vAlign w:val="bottom"/>
            <w:tcBorders>
              <w:top w:val="single" w:sz="8" w:color="0000FF"/>
              <w:bottom w:val="single" w:sz="8" w:color="CCEEFF"/>
            </w:tcBorders>
            <w:gridSpan w:val="11"/>
            <w:shd w:val="clear" w:color="auto" w:fill="CCEEFF"/>
          </w:tcPr>
          <w:p>
            <w:pPr>
              <w:spacing w:after="0"/>
              <w:rPr>
                <w:sz w:val="20"/>
                <w:szCs w:val="20"/>
                <w:color w:val="auto"/>
              </w:rPr>
            </w:pPr>
          </w:p>
        </w:tc>
        <w:tc>
          <w:tcPr>
            <w:tcW w:w="380" w:type="dxa"/>
            <w:vAlign w:val="bottom"/>
            <w:tcBorders>
              <w:top w:val="single" w:sz="8" w:color="CCEEFF"/>
              <w:bottom w:val="single" w:sz="8" w:color="CCEEFF"/>
            </w:tcBorders>
            <w:gridSpan w:val="12"/>
            <w:shd w:val="clear" w:color="auto" w:fill="CCEEFF"/>
          </w:tcPr>
          <w:p>
            <w:pPr>
              <w:spacing w:after="0"/>
              <w:rPr>
                <w:sz w:val="20"/>
                <w:szCs w:val="20"/>
                <w:color w:val="auto"/>
              </w:rPr>
            </w:pPr>
          </w:p>
        </w:tc>
      </w:tr>
      <w:tr>
        <w:trPr>
          <w:trHeight w:val="851"/>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40" w:type="dxa"/>
            <w:vAlign w:val="bottom"/>
            <w:gridSpan w:val="5"/>
          </w:tcPr>
          <w:p>
            <w:pPr>
              <w:ind w:left="3800"/>
              <w:spacing w:after="0"/>
              <w:rPr>
                <w:sz w:val="20"/>
                <w:szCs w:val="20"/>
                <w:color w:val="auto"/>
              </w:rPr>
            </w:pPr>
            <w:r>
              <w:rPr>
                <w:rFonts w:ascii="Times New Roman" w:cs="Times New Roman" w:eastAsia="Times New Roman" w:hAnsi="Times New Roman"/>
                <w:sz w:val="17"/>
                <w:szCs w:val="17"/>
                <w:color w:val="auto"/>
              </w:rPr>
              <w:t>131</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5"/>
        </w:trPr>
        <w:tc>
          <w:tcPr>
            <w:tcW w:w="10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4.2</w:t>
            </w:r>
          </w:p>
        </w:tc>
        <w:tc>
          <w:tcPr>
            <w:tcW w:w="700" w:type="dxa"/>
            <w:vAlign w:val="bottom"/>
          </w:tcPr>
          <w:p>
            <w:pPr>
              <w:spacing w:after="0"/>
              <w:rPr>
                <w:sz w:val="17"/>
                <w:szCs w:val="17"/>
                <w:color w:val="auto"/>
              </w:rPr>
            </w:pPr>
          </w:p>
        </w:tc>
        <w:tc>
          <w:tcPr>
            <w:tcW w:w="930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Indenture, dated July 26, 2024, among Summit Midstream Holdings, LLC, as issuer, the guarantors party thereto and Regions Bank, as</w:t>
              </w:r>
            </w:hyperlink>
          </w:p>
        </w:tc>
        <w:tc>
          <w:tcPr>
            <w:tcW w:w="240" w:type="dxa"/>
            <w:vAlign w:val="bottom"/>
            <w:gridSpan w:val="10"/>
          </w:tcPr>
          <w:p>
            <w:pPr>
              <w:spacing w:after="0"/>
              <w:rPr>
                <w:sz w:val="17"/>
                <w:szCs w:val="17"/>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20" w:type="dxa"/>
            <w:vAlign w:val="bottom"/>
            <w:tcBorders>
              <w:bottom w:val="single" w:sz="8" w:color="0000FF"/>
            </w:tcBorders>
            <w:gridSpan w:val="16"/>
          </w:tcPr>
          <w:p>
            <w:pPr>
              <w:spacing w:after="0" w:line="186"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trustee and as collateral agent, pursuant to which the Notes were issued (Incorporated herein by reference to Exhibit 4.1 to SMLP’s</w:t>
              </w:r>
            </w:hyperlink>
          </w:p>
        </w:tc>
        <w:tc>
          <w:tcPr>
            <w:tcW w:w="520" w:type="dxa"/>
            <w:vAlign w:val="bottom"/>
            <w:gridSpan w:val="18"/>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Current Report on Form 8-K filed July 29, 2024 (Commission File No. 001-35666)).</w:t>
              </w:r>
            </w:hyperlink>
          </w:p>
        </w:tc>
      </w:tr>
      <w:tr>
        <w:trPr>
          <w:trHeight w:val="44"/>
        </w:trPr>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720" w:type="dxa"/>
            <w:vAlign w:val="bottom"/>
            <w:tcBorders>
              <w:top w:val="single" w:sz="8" w:color="0000FF"/>
            </w:tcBorders>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00" w:type="dxa"/>
            <w:vAlign w:val="bottom"/>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4.3</w:t>
            </w:r>
          </w:p>
        </w:tc>
        <w:tc>
          <w:tcPr>
            <w:tcW w:w="700" w:type="dxa"/>
            <w:vAlign w:val="bottom"/>
            <w:shd w:val="clear" w:color="auto" w:fill="CCEEFF"/>
          </w:tcPr>
          <w:p>
            <w:pPr>
              <w:spacing w:after="0"/>
              <w:rPr>
                <w:sz w:val="16"/>
                <w:szCs w:val="16"/>
                <w:color w:val="auto"/>
              </w:rPr>
            </w:pPr>
          </w:p>
        </w:tc>
        <w:tc>
          <w:tcPr>
            <w:tcW w:w="9540" w:type="dxa"/>
            <w:vAlign w:val="bottom"/>
            <w:gridSpan w:val="34"/>
            <w:shd w:val="clear" w:color="auto" w:fill="CCEEFF"/>
          </w:tcPr>
          <w:p>
            <w:pPr>
              <w:spacing w:after="0" w:line="19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Supplemental Indenture, dated August 1, 2024, among Summit Midstream Holdings, LLC, Summit Midstream Corporation, Summit</w:t>
              </w:r>
            </w:hyperlink>
          </w:p>
        </w:tc>
      </w:tr>
      <w:tr>
        <w:trPr>
          <w:trHeight w:val="173"/>
        </w:trPr>
        <w:tc>
          <w:tcPr>
            <w:tcW w:w="10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9140" w:type="dxa"/>
            <w:vAlign w:val="bottom"/>
            <w:tcBorders>
              <w:top w:val="single" w:sz="8" w:color="0000FF"/>
            </w:tcBorders>
            <w:gridSpan w:val="21"/>
            <w:shd w:val="clear" w:color="auto" w:fill="CCEEFF"/>
          </w:tcPr>
          <w:p>
            <w:pPr>
              <w:spacing w:after="0" w:line="17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Midstream Partners, LP and Regions Bank, as trustee and collateral agent (Incorporated herein by reference to Exhibit 4.1 to the</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18"/>
        </w:trPr>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7080" w:type="dxa"/>
            <w:vAlign w:val="bottom"/>
            <w:tcBorders>
              <w:top w:val="single" w:sz="8" w:color="0000FF"/>
              <w:bottom w:val="single" w:sz="8" w:color="0000FF"/>
            </w:tcBorders>
            <w:gridSpan w:val="11"/>
            <w:shd w:val="clear" w:color="auto" w:fill="CCEEFF"/>
          </w:tcPr>
          <w:p>
            <w:pPr>
              <w:spacing w:after="0" w:line="17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Company’s Current Report on Form 8-K12B filed August 1, 2024 (Commission File No. 001-42201)).</w:t>
              </w:r>
            </w:hyperlink>
          </w:p>
        </w:tc>
        <w:tc>
          <w:tcPr>
            <w:tcW w:w="174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93"/>
        </w:trPr>
        <w:tc>
          <w:tcPr>
            <w:tcW w:w="100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700" w:type="dxa"/>
            <w:vAlign w:val="bottom"/>
          </w:tcPr>
          <w:p>
            <w:pPr>
              <w:spacing w:after="0"/>
              <w:rPr>
                <w:sz w:val="16"/>
                <w:szCs w:val="16"/>
                <w:color w:val="auto"/>
              </w:rPr>
            </w:pPr>
          </w:p>
        </w:tc>
        <w:tc>
          <w:tcPr>
            <w:tcW w:w="9540" w:type="dxa"/>
            <w:vAlign w:val="bottom"/>
            <w:gridSpan w:val="34"/>
          </w:tcPr>
          <w:p>
            <w:pPr>
              <w:spacing w:after="0" w:line="19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Second Supplemental Indenture, dated December 4, 2024, among Summit Midstream Holdings, LLC, Tall Oak Midstream Operating,</w:t>
              </w:r>
            </w:hyperlink>
          </w:p>
        </w:tc>
      </w:tr>
      <w:tr>
        <w:trPr>
          <w:trHeight w:val="20"/>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LLC, Tall Oak Woodford, LLC, VM ARKOMA Stack, LLC, BCZ Land Holdings, LLC and Regions Bank, as trustee and collateral agent</w:t>
              </w:r>
            </w:hyperlink>
          </w:p>
        </w:tc>
      </w:tr>
      <w:tr>
        <w:trPr>
          <w:trHeight w:val="20"/>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20" w:type="dxa"/>
            <w:vAlign w:val="bottom"/>
            <w:tcBorders>
              <w:bottom w:val="single" w:sz="8" w:color="0000FF"/>
            </w:tcBorders>
            <w:gridSpan w:val="33"/>
          </w:tcPr>
          <w:p>
            <w:pPr>
              <w:spacing w:after="0" w:line="186"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(Incorporated herein by reference to Exhibit 4.1 to the Company’s Current Report on Form 8-K filed December 6, 2024 (Commission File</w:t>
              </w:r>
            </w:hyperlink>
          </w:p>
        </w:tc>
        <w:tc>
          <w:tcPr>
            <w:tcW w:w="20" w:type="dxa"/>
            <w:vAlign w:val="bottom"/>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No. 001-42201)).</w:t>
              </w:r>
            </w:hyperlink>
          </w:p>
        </w:tc>
      </w:tr>
      <w:tr>
        <w:trPr>
          <w:trHeight w:val="44"/>
        </w:trPr>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000" w:type="dxa"/>
            <w:vAlign w:val="bottom"/>
            <w:shd w:val="clear" w:color="auto" w:fill="CCEEFF"/>
          </w:tcPr>
          <w:p>
            <w:pPr>
              <w:jc w:val="center"/>
              <w:ind w:left="54"/>
              <w:spacing w:after="0" w:line="161" w:lineRule="exact"/>
              <w:rPr>
                <w:sz w:val="20"/>
                <w:szCs w:val="20"/>
                <w:color w:val="auto"/>
              </w:rPr>
            </w:pPr>
            <w:r>
              <w:rPr>
                <w:rFonts w:ascii="Times New Roman" w:cs="Times New Roman" w:eastAsia="Times New Roman" w:hAnsi="Times New Roman"/>
                <w:sz w:val="17"/>
                <w:szCs w:val="17"/>
                <w:color w:val="auto"/>
              </w:rPr>
              <w:t>4.5</w:t>
            </w:r>
          </w:p>
        </w:tc>
        <w:tc>
          <w:tcPr>
            <w:tcW w:w="700" w:type="dxa"/>
            <w:vAlign w:val="bottom"/>
            <w:shd w:val="clear" w:color="auto" w:fill="CCEEFF"/>
          </w:tcPr>
          <w:p>
            <w:pPr>
              <w:jc w:val="center"/>
              <w:ind w:left="34"/>
              <w:spacing w:after="0" w:line="161"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4"/>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rPr>
              <w:t>Third Supplemental Indenture, dated May 9, 2025, among Summit Midstream Holdings, LLC, Moonrise Midstream, LLC, Mountaineer</w:t>
            </w:r>
          </w:p>
        </w:tc>
      </w:tr>
      <w:tr>
        <w:trPr>
          <w:trHeight w:val="148"/>
        </w:trPr>
        <w:tc>
          <w:tcPr>
            <w:tcW w:w="10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9380" w:type="dxa"/>
            <w:vAlign w:val="bottom"/>
            <w:tcBorders>
              <w:top w:val="single" w:sz="8" w:color="0000FF"/>
            </w:tcBorders>
            <w:gridSpan w:val="27"/>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Midstream Company, LLC, Centennial Water Pipelines, LLC, Summit Midstream Finance Corp. and Regions Bank, as trustee and</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8"/>
        </w:trPr>
        <w:tc>
          <w:tcPr>
            <w:tcW w:w="10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980" w:type="dxa"/>
            <w:vAlign w:val="bottom"/>
            <w:tcBorders>
              <w:top w:val="single" w:sz="8" w:color="0000FF"/>
            </w:tcBorders>
            <w:gridSpan w:val="15"/>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collateral agent.</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0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000" w:type="dxa"/>
            <w:vAlign w:val="bottom"/>
          </w:tcPr>
          <w:p>
            <w:pPr>
              <w:jc w:val="center"/>
              <w:ind w:left="54"/>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700" w:type="dxa"/>
            <w:vAlign w:val="bottom"/>
          </w:tcPr>
          <w:p>
            <w:pPr>
              <w:spacing w:after="0"/>
              <w:rPr>
                <w:sz w:val="15"/>
                <w:szCs w:val="15"/>
                <w:color w:val="auto"/>
              </w:rPr>
            </w:pPr>
          </w:p>
        </w:tc>
        <w:tc>
          <w:tcPr>
            <w:tcW w:w="9540" w:type="dxa"/>
            <w:vAlign w:val="bottom"/>
            <w:gridSpan w:val="34"/>
          </w:tcPr>
          <w:p>
            <w:pPr>
              <w:spacing w:after="0" w:line="181"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8.</w:t>
              </w:r>
              <w:r>
                <w:rPr>
                  <w:rFonts w:ascii="Times New Roman" w:cs="Times New Roman" w:eastAsia="Times New Roman" w:hAnsi="Times New Roman"/>
                  <w:sz w:val="17"/>
                  <w:szCs w:val="17"/>
                  <w:u w:val="single" w:color="auto"/>
                  <w:color w:val="0000FF"/>
                </w:rPr>
                <w:t>625%</w:t>
              </w:r>
              <w:r>
                <w:rPr>
                  <w:rFonts w:ascii="Times New Roman" w:cs="Times New Roman" w:eastAsia="Times New Roman" w:hAnsi="Times New Roman"/>
                  <w:sz w:val="17"/>
                  <w:szCs w:val="17"/>
                  <w:color w:val="0000FF"/>
                </w:rPr>
                <w:t xml:space="preserve"> Senior Secured Second Lien Note due 2029 (Included as Exhibit A in Exhibit 4.1 to SMLP’s Current Report on Form 8-K filed</w:t>
              </w:r>
            </w:hyperlink>
          </w:p>
        </w:tc>
      </w:tr>
      <w:tr>
        <w:trPr>
          <w:trHeight w:val="148"/>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340" w:type="dxa"/>
            <w:vAlign w:val="bottom"/>
            <w:tcBorders>
              <w:top w:val="single" w:sz="8" w:color="0000FF"/>
              <w:bottom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July 29, 2024 (Commission File No. 001-35666) and incorporated herein by reference to Exhibit 4.2 to SMLP’s Current Report on Form</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20" w:type="dxa"/>
            <w:vAlign w:val="bottom"/>
            <w:gridSpan w:val="29"/>
          </w:tcPr>
          <w:p>
            <w:pPr>
              <w:spacing w:after="0" w:line="148"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8-K filed July 29, 2024 (Commission File No. 001-35666)).</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1000" w:type="dxa"/>
            <w:vAlign w:val="bottom"/>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10.1</w:t>
            </w:r>
          </w:p>
        </w:tc>
        <w:tc>
          <w:tcPr>
            <w:tcW w:w="700" w:type="dxa"/>
            <w:vAlign w:val="bottom"/>
            <w:shd w:val="clear" w:color="auto" w:fill="CCEEFF"/>
          </w:tcPr>
          <w:p>
            <w:pPr>
              <w:spacing w:after="0"/>
              <w:rPr>
                <w:sz w:val="16"/>
                <w:szCs w:val="16"/>
                <w:color w:val="auto"/>
              </w:rPr>
            </w:pPr>
          </w:p>
        </w:tc>
        <w:tc>
          <w:tcPr>
            <w:tcW w:w="9540" w:type="dxa"/>
            <w:vAlign w:val="bottom"/>
            <w:gridSpan w:val="34"/>
            <w:shd w:val="clear" w:color="auto" w:fill="CCEEFF"/>
          </w:tcPr>
          <w:p>
            <w:pPr>
              <w:spacing w:after="0" w:line="19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Sixth Amended and Restated Agreement of Limited Partnership of Summit Midstream Partners, LP, by and among Summit Midstream</w:t>
              </w:r>
            </w:hyperlink>
          </w:p>
        </w:tc>
      </w:tr>
      <w:tr>
        <w:trPr>
          <w:trHeight w:val="20"/>
        </w:trPr>
        <w:tc>
          <w:tcPr>
            <w:tcW w:w="10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360" w:type="dxa"/>
            <w:vAlign w:val="bottom"/>
            <w:tcBorders>
              <w:bottom w:val="single" w:sz="8" w:color="0000FF"/>
            </w:tcBorders>
            <w:gridSpan w:val="26"/>
            <w:shd w:val="clear" w:color="auto" w:fill="CCEEFF"/>
          </w:tcPr>
          <w:p>
            <w:pPr>
              <w:spacing w:after="0" w:line="186"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Corporation, Summit Midstream GP, LLC, and Tall Oak Midstream Holdings, LLC, dated as of December 2, 2024 (Incorporated herein</w:t>
              </w:r>
            </w:hyperlink>
          </w:p>
        </w:tc>
        <w:tc>
          <w:tcPr>
            <w:tcW w:w="180" w:type="dxa"/>
            <w:vAlign w:val="bottom"/>
            <w:tcBorders>
              <w:bottom w:val="single" w:sz="8" w:color="CCEEFF"/>
            </w:tcBorders>
            <w:gridSpan w:val="8"/>
            <w:shd w:val="clear" w:color="auto" w:fill="CCEEFF"/>
          </w:tcPr>
          <w:p>
            <w:pPr>
              <w:spacing w:after="0"/>
              <w:rPr>
                <w:sz w:val="16"/>
                <w:szCs w:val="16"/>
                <w:color w:val="auto"/>
              </w:rPr>
            </w:pP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9420" w:type="dxa"/>
            <w:vAlign w:val="bottom"/>
            <w:tcBorders>
              <w:bottom w:val="single" w:sz="8" w:color="0000FF"/>
            </w:tcBorders>
            <w:gridSpan w:val="29"/>
            <w:shd w:val="clear" w:color="auto" w:fill="CCEEFF"/>
          </w:tcPr>
          <w:p>
            <w:pPr>
              <w:spacing w:after="0" w:line="186"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by reference to Exhibit 10.1 to the Company’s Current Report on Form 8-K filed December 3, 2024 (Commission File No. 001-42201)).</w:t>
              </w:r>
            </w:hyperlink>
          </w:p>
        </w:tc>
        <w:tc>
          <w:tcPr>
            <w:tcW w:w="120" w:type="dxa"/>
            <w:vAlign w:val="bottom"/>
            <w:tcBorders>
              <w:bottom w:val="single" w:sz="8" w:color="CCEEFF"/>
            </w:tcBorders>
            <w:gridSpan w:val="5"/>
            <w:shd w:val="clear" w:color="auto" w:fill="CCEEFF"/>
          </w:tcPr>
          <w:p>
            <w:pPr>
              <w:spacing w:after="0"/>
              <w:rPr>
                <w:sz w:val="20"/>
                <w:szCs w:val="20"/>
                <w:color w:val="auto"/>
              </w:rPr>
            </w:pPr>
          </w:p>
        </w:tc>
      </w:tr>
      <w:tr>
        <w:trPr>
          <w:trHeight w:val="193"/>
        </w:trPr>
        <w:tc>
          <w:tcPr>
            <w:tcW w:w="100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10.2</w:t>
            </w:r>
          </w:p>
        </w:tc>
        <w:tc>
          <w:tcPr>
            <w:tcW w:w="700" w:type="dxa"/>
            <w:vAlign w:val="bottom"/>
          </w:tcPr>
          <w:p>
            <w:pPr>
              <w:spacing w:after="0"/>
              <w:rPr>
                <w:sz w:val="16"/>
                <w:szCs w:val="16"/>
                <w:color w:val="auto"/>
              </w:rPr>
            </w:pPr>
          </w:p>
        </w:tc>
        <w:tc>
          <w:tcPr>
            <w:tcW w:w="9300" w:type="dxa"/>
            <w:vAlign w:val="bottom"/>
            <w:tcBorders>
              <w:bottom w:val="single" w:sz="8" w:color="0000FF"/>
            </w:tcBorders>
            <w:gridSpan w:val="24"/>
          </w:tcPr>
          <w:p>
            <w:pPr>
              <w:spacing w:after="0" w:line="19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Investor and Registration Rights Agreement, by and between Summit Midstream Corporation and Tall Oak Midstream Holdings, LLC,</w:t>
              </w:r>
            </w:hyperlink>
          </w:p>
        </w:tc>
        <w:tc>
          <w:tcPr>
            <w:tcW w:w="240" w:type="dxa"/>
            <w:vAlign w:val="bottom"/>
            <w:gridSpan w:val="10"/>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120" w:type="dxa"/>
            <w:vAlign w:val="bottom"/>
            <w:tcBorders>
              <w:bottom w:val="single" w:sz="8" w:color="0000FF"/>
            </w:tcBorders>
            <w:gridSpan w:val="20"/>
          </w:tcPr>
          <w:p>
            <w:pPr>
              <w:spacing w:after="0" w:line="186"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dated as of December 2, 2024 (Incorporated herein by reference to Exhibit 10.2 to the Company’s Current Report on Form 8-K filed</w:t>
              </w:r>
            </w:hyperlink>
          </w:p>
        </w:tc>
        <w:tc>
          <w:tcPr>
            <w:tcW w:w="420" w:type="dxa"/>
            <w:vAlign w:val="bottom"/>
            <w:gridSpan w:val="14"/>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December 3, 2024 (Commission File No. 001-42201)).</w:t>
              </w:r>
            </w:hyperlink>
          </w:p>
        </w:tc>
      </w:tr>
      <w:tr>
        <w:trPr>
          <w:trHeight w:val="44"/>
        </w:trPr>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00" w:type="dxa"/>
            <w:vAlign w:val="bottom"/>
            <w:tcBorders>
              <w:bottom w:val="single" w:sz="8" w:color="CCEEFF"/>
            </w:tcBorders>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10.3</w:t>
            </w:r>
          </w:p>
        </w:tc>
        <w:tc>
          <w:tcPr>
            <w:tcW w:w="70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060" w:type="dxa"/>
            <w:vAlign w:val="bottom"/>
            <w:tcBorders>
              <w:bottom w:val="single" w:sz="8" w:color="0000FF"/>
            </w:tcBorders>
            <w:gridSpan w:val="17"/>
            <w:shd w:val="clear" w:color="auto" w:fill="CCEEFF"/>
          </w:tcPr>
          <w:p>
            <w:pPr>
              <w:spacing w:after="0" w:line="19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Amended and Restated Loan and Security Agreement, dated as of July 26, 2024, among Summit Midstream Holdings, as borrower,</w:t>
              </w:r>
            </w:hyperlink>
          </w:p>
        </w:tc>
        <w:tc>
          <w:tcPr>
            <w:tcW w:w="480" w:type="dxa"/>
            <w:vAlign w:val="bottom"/>
            <w:tcBorders>
              <w:bottom w:val="single" w:sz="8" w:color="CCEEFF"/>
            </w:tcBorders>
            <w:gridSpan w:val="17"/>
            <w:shd w:val="clear" w:color="auto" w:fill="CCEEFF"/>
          </w:tcPr>
          <w:p>
            <w:pPr>
              <w:spacing w:after="0"/>
              <w:rPr>
                <w:sz w:val="16"/>
                <w:szCs w:val="16"/>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440" w:type="dxa"/>
            <w:vAlign w:val="bottom"/>
            <w:tcBorders>
              <w:bottom w:val="single" w:sz="8" w:color="0000FF"/>
            </w:tcBorders>
            <w:gridSpan w:val="30"/>
            <w:shd w:val="clear" w:color="auto" w:fill="CCEEFF"/>
          </w:tcPr>
          <w:p>
            <w:pPr>
              <w:spacing w:after="0" w:line="186"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Summit Midstream Partners, LP and certain subsidiaries from time to time party thereto, as guarantors, Bank of America, N.A., as agent,</w:t>
              </w:r>
            </w:hyperlink>
          </w:p>
        </w:tc>
        <w:tc>
          <w:tcPr>
            <w:tcW w:w="100" w:type="dxa"/>
            <w:vAlign w:val="bottom"/>
            <w:tcBorders>
              <w:bottom w:val="single" w:sz="8" w:color="CCEEFF"/>
            </w:tcBorders>
            <w:gridSpan w:val="4"/>
            <w:shd w:val="clear" w:color="auto" w:fill="CCEEFF"/>
          </w:tcPr>
          <w:p>
            <w:pPr>
              <w:spacing w:after="0"/>
              <w:rPr>
                <w:sz w:val="16"/>
                <w:szCs w:val="16"/>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100" w:type="dxa"/>
            <w:vAlign w:val="bottom"/>
            <w:tcBorders>
              <w:bottom w:val="single" w:sz="8" w:color="0000FF"/>
            </w:tcBorders>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Bank of America, N.A., Royal Bank of Canada, Regions Capital Markets, TD Securities (USA) LLC, JPMorgan Chase Bank, N.A.,</w:t>
              </w:r>
            </w:hyperlink>
          </w:p>
        </w:tc>
        <w:tc>
          <w:tcPr>
            <w:tcW w:w="440" w:type="dxa"/>
            <w:vAlign w:val="bottom"/>
            <w:tcBorders>
              <w:bottom w:val="single" w:sz="8" w:color="CCEEFF"/>
            </w:tcBorders>
            <w:gridSpan w:val="15"/>
            <w:shd w:val="clear" w:color="auto" w:fill="CCEEFF"/>
          </w:tcPr>
          <w:p>
            <w:pPr>
              <w:spacing w:after="0"/>
              <w:rPr>
                <w:sz w:val="16"/>
                <w:szCs w:val="16"/>
                <w:color w:val="auto"/>
              </w:rPr>
            </w:pPr>
          </w:p>
        </w:tc>
      </w:tr>
      <w:tr>
        <w:trPr>
          <w:trHeight w:val="186"/>
        </w:trPr>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540" w:type="dxa"/>
            <w:vAlign w:val="bottom"/>
            <w:gridSpan w:val="34"/>
            <w:shd w:val="clear" w:color="auto" w:fill="CCEEFF"/>
          </w:tcPr>
          <w:p>
            <w:pPr>
              <w:spacing w:after="0" w:line="186"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Citizens Bank, N.A. and Truist Bank, as joint lead arrangers and joint bookrunners (Incorporated herein by reference to Exhibit 10.1 to</w:t>
              </w:r>
            </w:hyperlink>
          </w:p>
        </w:tc>
      </w:tr>
      <w:tr>
        <w:trPr>
          <w:trHeight w:val="186"/>
        </w:trPr>
        <w:tc>
          <w:tcPr>
            <w:tcW w:w="10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220" w:type="dxa"/>
            <w:vAlign w:val="bottom"/>
            <w:tcBorders>
              <w:top w:val="single" w:sz="8" w:color="0000FF"/>
              <w:right w:val="single" w:sz="8" w:color="CCEEFF"/>
            </w:tcBorders>
            <w:gridSpan w:val="23"/>
            <w:shd w:val="clear" w:color="auto" w:fill="CCEEFF"/>
          </w:tcPr>
          <w:p>
            <w:pPr>
              <w:spacing w:after="0" w:line="186"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SMLP’s Current Report on Form 8-K filed July 29, 2024 (Commission File No. 001-35666)).</w:t>
              </w:r>
            </w:hyperlink>
          </w:p>
        </w:tc>
        <w:tc>
          <w:tcPr>
            <w:tcW w:w="320" w:type="dxa"/>
            <w:vAlign w:val="bottom"/>
            <w:tcBorders>
              <w:top w:val="single" w:sz="8" w:color="CCEEFF"/>
              <w:left w:val="single" w:sz="8" w:color="CCEEFF"/>
            </w:tcBorders>
            <w:gridSpan w:val="11"/>
            <w:shd w:val="clear" w:color="auto" w:fill="CCEEFF"/>
          </w:tcPr>
          <w:p>
            <w:pPr>
              <w:spacing w:after="0"/>
              <w:rPr>
                <w:sz w:val="16"/>
                <w:szCs w:val="16"/>
                <w:color w:val="auto"/>
              </w:rPr>
            </w:pPr>
          </w:p>
        </w:tc>
      </w:tr>
      <w:tr>
        <w:trPr>
          <w:trHeight w:val="44"/>
        </w:trPr>
        <w:tc>
          <w:tcPr>
            <w:tcW w:w="100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72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6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left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100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10.4</w:t>
            </w:r>
          </w:p>
        </w:tc>
        <w:tc>
          <w:tcPr>
            <w:tcW w:w="700" w:type="dxa"/>
            <w:vAlign w:val="bottom"/>
          </w:tcPr>
          <w:p>
            <w:pPr>
              <w:spacing w:after="0"/>
              <w:rPr>
                <w:sz w:val="16"/>
                <w:szCs w:val="16"/>
                <w:color w:val="auto"/>
              </w:rPr>
            </w:pPr>
          </w:p>
        </w:tc>
        <w:tc>
          <w:tcPr>
            <w:tcW w:w="8940" w:type="dxa"/>
            <w:vAlign w:val="bottom"/>
            <w:tcBorders>
              <w:bottom w:val="single" w:sz="8" w:color="0000FF"/>
            </w:tcBorders>
            <w:gridSpan w:val="14"/>
          </w:tcPr>
          <w:p>
            <w:pPr>
              <w:spacing w:after="0" w:line="19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First Amendment to Amended and Restated Loan and Security Agreement, dated November 29, 2024, among Summit Midstream</w:t>
              </w:r>
            </w:hyperlink>
          </w:p>
        </w:tc>
        <w:tc>
          <w:tcPr>
            <w:tcW w:w="600" w:type="dxa"/>
            <w:vAlign w:val="bottom"/>
            <w:gridSpan w:val="20"/>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Corporation, Summit Midstream Partners, LP, Summit Midstream Holdings, LLC, the lenders party thereto and Bank of America, N.A.,</w:t>
              </w:r>
            </w:hyperlink>
          </w:p>
        </w:tc>
      </w:tr>
      <w:tr>
        <w:trPr>
          <w:trHeight w:val="20"/>
        </w:trPr>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20" w:type="dxa"/>
            <w:vAlign w:val="bottom"/>
            <w:gridSpan w:val="6"/>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as agent for such lenders (Incorporated herein by reference to Exhibit 10.3 to the Company’s Current Report on Form 8-K filed December</w:t>
              </w:r>
            </w:hyperlink>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00" w:type="dxa"/>
            <w:vAlign w:val="bottom"/>
            <w:tcBorders>
              <w:top w:val="single" w:sz="8" w:color="0000FF"/>
            </w:tcBorders>
            <w:gridSpan w:val="32"/>
          </w:tcPr>
          <w:p>
            <w:pPr>
              <w:spacing w:after="0" w:line="186"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3, 2024 (Commission File No. 001-42201)).</w:t>
              </w:r>
            </w:hyperlink>
          </w:p>
        </w:tc>
        <w:tc>
          <w:tcPr>
            <w:tcW w:w="40" w:type="dxa"/>
            <w:vAlign w:val="bottom"/>
            <w:gridSpan w:val="2"/>
          </w:tcPr>
          <w:p>
            <w:pPr>
              <w:spacing w:after="0"/>
              <w:rPr>
                <w:sz w:val="16"/>
                <w:szCs w:val="16"/>
                <w:color w:val="auto"/>
              </w:rPr>
            </w:pPr>
          </w:p>
        </w:tc>
      </w:tr>
      <w:tr>
        <w:trPr>
          <w:trHeight w:val="44"/>
        </w:trPr>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00" w:type="dxa"/>
            <w:vAlign w:val="bottom"/>
            <w:tcBorders>
              <w:bottom w:val="single" w:sz="8" w:color="CCEEFF"/>
            </w:tcBorders>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10.5</w:t>
            </w:r>
          </w:p>
        </w:tc>
        <w:tc>
          <w:tcPr>
            <w:tcW w:w="70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440" w:type="dxa"/>
            <w:vAlign w:val="bottom"/>
            <w:tcBorders>
              <w:bottom w:val="single" w:sz="8" w:color="0000FF"/>
            </w:tcBorders>
            <w:gridSpan w:val="30"/>
            <w:shd w:val="clear" w:color="auto" w:fill="CCEEFF"/>
          </w:tcPr>
          <w:p>
            <w:pPr>
              <w:spacing w:after="0" w:line="19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Collateral Agreement (Second Lien), dated as of July 26, 2024, among Summit Midstream Holdings, LLC, Summit Midstream Partners,</w:t>
              </w:r>
            </w:hyperlink>
          </w:p>
        </w:tc>
        <w:tc>
          <w:tcPr>
            <w:tcW w:w="100" w:type="dxa"/>
            <w:vAlign w:val="bottom"/>
            <w:tcBorders>
              <w:bottom w:val="single" w:sz="8" w:color="CCEEFF"/>
            </w:tcBorders>
            <w:gridSpan w:val="4"/>
            <w:shd w:val="clear" w:color="auto" w:fill="CCEEFF"/>
          </w:tcPr>
          <w:p>
            <w:pPr>
              <w:spacing w:after="0"/>
              <w:rPr>
                <w:sz w:val="16"/>
                <w:szCs w:val="16"/>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080" w:type="dxa"/>
            <w:vAlign w:val="bottom"/>
            <w:tcBorders>
              <w:bottom w:val="single" w:sz="8" w:color="0000FF"/>
            </w:tcBorders>
            <w:gridSpan w:val="18"/>
            <w:shd w:val="clear" w:color="auto" w:fill="CCEEFF"/>
          </w:tcPr>
          <w:p>
            <w:pPr>
              <w:spacing w:after="0" w:line="186"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LP, certain subsidiaries from time to time party thereto as pledgors or grantors and Regions Bank, as collateral agent for the secured</w:t>
              </w:r>
            </w:hyperlink>
          </w:p>
        </w:tc>
        <w:tc>
          <w:tcPr>
            <w:tcW w:w="460" w:type="dxa"/>
            <w:vAlign w:val="bottom"/>
            <w:tcBorders>
              <w:bottom w:val="single" w:sz="8" w:color="CCEEFF"/>
            </w:tcBorders>
            <w:gridSpan w:val="16"/>
            <w:shd w:val="clear" w:color="auto" w:fill="CCEEFF"/>
          </w:tcPr>
          <w:p>
            <w:pPr>
              <w:spacing w:after="0"/>
              <w:rPr>
                <w:sz w:val="16"/>
                <w:szCs w:val="16"/>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760" w:type="dxa"/>
            <w:vAlign w:val="bottom"/>
            <w:tcBorders>
              <w:bottom w:val="single" w:sz="8" w:color="0000FF"/>
            </w:tcBorders>
            <w:gridSpan w:val="12"/>
            <w:shd w:val="clear" w:color="auto" w:fill="CCEEFF"/>
          </w:tcPr>
          <w:p>
            <w:pPr>
              <w:spacing w:after="0" w:line="186"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parties. (Incorporated herein by reference to Exhibit 10.5 to the Company’s Annual Report on Form 10-K filed March 11, 2025</w:t>
              </w:r>
            </w:hyperlink>
          </w:p>
        </w:tc>
        <w:tc>
          <w:tcPr>
            <w:tcW w:w="780" w:type="dxa"/>
            <w:vAlign w:val="bottom"/>
            <w:tcBorders>
              <w:bottom w:val="single" w:sz="8" w:color="CCEEFF"/>
            </w:tcBorders>
            <w:gridSpan w:val="22"/>
            <w:shd w:val="clear" w:color="auto" w:fill="CCEEFF"/>
          </w:tcPr>
          <w:p>
            <w:pPr>
              <w:spacing w:after="0"/>
              <w:rPr>
                <w:sz w:val="16"/>
                <w:szCs w:val="16"/>
                <w:color w:val="auto"/>
              </w:rPr>
            </w:pPr>
          </w:p>
        </w:tc>
      </w:tr>
      <w:tr>
        <w:trPr>
          <w:trHeight w:val="231"/>
        </w:trPr>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0000FF"/>
            </w:tcBorders>
            <w:gridSpan w:val="4"/>
            <w:shd w:val="clear" w:color="auto" w:fill="CCEEFF"/>
          </w:tcPr>
          <w:p>
            <w:pPr>
              <w:spacing w:after="0" w:line="186"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(Commission No. 001-35666)).</w:t>
              </w:r>
            </w:hyperlink>
          </w:p>
        </w:tc>
        <w:tc>
          <w:tcPr>
            <w:tcW w:w="7360" w:type="dxa"/>
            <w:vAlign w:val="bottom"/>
            <w:tcBorders>
              <w:bottom w:val="single" w:sz="8" w:color="CCEEFF"/>
            </w:tcBorders>
            <w:gridSpan w:val="30"/>
            <w:shd w:val="clear" w:color="auto" w:fill="CCEEFF"/>
          </w:tcPr>
          <w:p>
            <w:pPr>
              <w:spacing w:after="0"/>
              <w:rPr>
                <w:sz w:val="20"/>
                <w:szCs w:val="20"/>
                <w:color w:val="auto"/>
              </w:rPr>
            </w:pPr>
          </w:p>
        </w:tc>
      </w:tr>
      <w:tr>
        <w:trPr>
          <w:trHeight w:val="193"/>
        </w:trPr>
        <w:tc>
          <w:tcPr>
            <w:tcW w:w="1000" w:type="dxa"/>
            <w:vAlign w:val="bottom"/>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10.6</w:t>
            </w:r>
          </w:p>
        </w:tc>
        <w:tc>
          <w:tcPr>
            <w:tcW w:w="70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4"/>
          </w:tcPr>
          <w:p>
            <w:pPr>
              <w:spacing w:after="0" w:line="19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Intercreditor Agreement, dated as of November 2, 2021, by and among Bank of America, N.A., as first lien representative and collateral</w:t>
              </w:r>
            </w:hyperlink>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160" w:type="dxa"/>
            <w:vAlign w:val="bottom"/>
            <w:tcBorders>
              <w:top w:val="single" w:sz="8" w:color="0000FF"/>
              <w:bottom w:val="single" w:sz="8" w:color="0000FF"/>
            </w:tcBorders>
            <w:gridSpan w:val="22"/>
          </w:tcPr>
          <w:p>
            <w:pPr>
              <w:spacing w:after="0" w:line="186"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agent for the initial first lien claimholders, Regions Bank, as second lien representative for the initial second lien claimholders and as</w:t>
              </w:r>
            </w:hyperlink>
          </w:p>
        </w:tc>
        <w:tc>
          <w:tcPr>
            <w:tcW w:w="200" w:type="dxa"/>
            <w:vAlign w:val="bottom"/>
            <w:tcBorders>
              <w:top w:val="single" w:sz="8" w:color="0000FF"/>
            </w:tcBorders>
            <w:gridSpan w:val="4"/>
          </w:tcPr>
          <w:p>
            <w:pPr>
              <w:spacing w:after="0"/>
              <w:rPr>
                <w:sz w:val="16"/>
                <w:szCs w:val="16"/>
                <w:color w:val="auto"/>
              </w:rPr>
            </w:pPr>
          </w:p>
        </w:tc>
        <w:tc>
          <w:tcPr>
            <w:tcW w:w="180" w:type="dxa"/>
            <w:vAlign w:val="bottom"/>
            <w:gridSpan w:val="8"/>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40" w:type="dxa"/>
            <w:vAlign w:val="bottom"/>
            <w:tcBorders>
              <w:bottom w:val="single" w:sz="8" w:color="0000FF"/>
            </w:tcBorders>
            <w:gridSpan w:val="30"/>
          </w:tcPr>
          <w:p>
            <w:pPr>
              <w:spacing w:after="0" w:line="186"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collateral agent for the initial second lien claimholders, acknowledged and agreed to by Summit Midstream Holdings, LLC and the other</w:t>
              </w:r>
            </w:hyperlink>
          </w:p>
        </w:tc>
        <w:tc>
          <w:tcPr>
            <w:tcW w:w="100" w:type="dxa"/>
            <w:vAlign w:val="bottom"/>
            <w:gridSpan w:val="4"/>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20" w:type="dxa"/>
            <w:vAlign w:val="bottom"/>
            <w:tcBorders>
              <w:bottom w:val="single" w:sz="8" w:color="0000FF"/>
            </w:tcBorders>
            <w:gridSpan w:val="23"/>
          </w:tcPr>
          <w:p>
            <w:pPr>
              <w:spacing w:after="0" w:line="186"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grantors referred to therein (Incorporated herein by reference to Exhibit 10.6 to SMLP’s Quarterly Report on Form 10-Q for the three</w:t>
              </w:r>
            </w:hyperlink>
          </w:p>
        </w:tc>
        <w:tc>
          <w:tcPr>
            <w:tcW w:w="320" w:type="dxa"/>
            <w:vAlign w:val="bottom"/>
            <w:gridSpan w:val="11"/>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540" w:type="dxa"/>
            <w:vAlign w:val="bottom"/>
            <w:gridSpan w:val="34"/>
          </w:tcPr>
          <w:p>
            <w:pPr>
              <w:spacing w:after="0" w:line="186"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months ended September 30, 2021 dated November 4, 2021 (Commission File No. 333-183466)).</w:t>
              </w:r>
            </w:hyperlink>
          </w:p>
        </w:tc>
      </w:tr>
      <w:tr>
        <w:trPr>
          <w:trHeight w:val="44"/>
        </w:trPr>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72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00" w:type="dxa"/>
            <w:vAlign w:val="bottom"/>
            <w:tcBorders>
              <w:bottom w:val="single" w:sz="8" w:color="CCEEFF"/>
            </w:tcBorders>
            <w:shd w:val="clear" w:color="auto" w:fill="CCEEFF"/>
          </w:tcPr>
          <w:p>
            <w:pPr>
              <w:jc w:val="center"/>
              <w:ind w:left="54"/>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70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20" w:type="dxa"/>
            <w:vAlign w:val="bottom"/>
            <w:tcBorders>
              <w:bottom w:val="single" w:sz="8" w:color="0000FF"/>
            </w:tcBorders>
            <w:gridSpan w:val="33"/>
            <w:shd w:val="clear" w:color="auto" w:fill="CCEEFF"/>
          </w:tcPr>
          <w:p>
            <w:pPr>
              <w:spacing w:after="0" w:line="19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Notice and Reaffirmation of Intercreditor Agreement, dated as of July 26, 2024, among Bank of America, N.A., as first lien representative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480" w:type="dxa"/>
            <w:vAlign w:val="bottom"/>
            <w:tcBorders>
              <w:bottom w:val="single" w:sz="8" w:color="0000FF"/>
              <w:right w:val="single" w:sz="8" w:color="CCEEFF"/>
            </w:tcBorders>
            <w:gridSpan w:val="31"/>
            <w:shd w:val="clear" w:color="auto" w:fill="CCEEFF"/>
          </w:tcPr>
          <w:p>
            <w:pPr>
              <w:spacing w:after="0" w:line="186"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and collateral agent for the initial first lien claimholders, and Regions Bank, as initial second lien representative for the initial second lien</w:t>
              </w:r>
            </w:hyperlink>
          </w:p>
        </w:tc>
        <w:tc>
          <w:tcPr>
            <w:tcW w:w="60" w:type="dxa"/>
            <w:vAlign w:val="bottom"/>
            <w:tcBorders>
              <w:bottom w:val="single" w:sz="8" w:color="CCEEFF"/>
            </w:tcBorders>
            <w:gridSpan w:val="3"/>
            <w:shd w:val="clear" w:color="auto" w:fill="CCEEFF"/>
          </w:tcPr>
          <w:p>
            <w:pPr>
              <w:spacing w:after="0"/>
              <w:rPr>
                <w:sz w:val="16"/>
                <w:szCs w:val="16"/>
                <w:color w:val="auto"/>
              </w:rPr>
            </w:pPr>
          </w:p>
        </w:tc>
      </w:tr>
      <w:tr>
        <w:trPr>
          <w:trHeight w:val="186"/>
        </w:trPr>
        <w:tc>
          <w:tcPr>
            <w:tcW w:w="10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400" w:type="dxa"/>
            <w:vAlign w:val="bottom"/>
            <w:tcBorders>
              <w:bottom w:val="single" w:sz="8" w:color="0000FF"/>
            </w:tcBorders>
            <w:gridSpan w:val="28"/>
            <w:shd w:val="clear" w:color="auto" w:fill="CCEEFF"/>
          </w:tcPr>
          <w:p>
            <w:pPr>
              <w:spacing w:after="0" w:line="186"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claimholders and collateral agent for the initial second lien claimholders, acknowledged and agreed to by the grantors referred to therein</w:t>
              </w:r>
            </w:hyperlink>
          </w:p>
        </w:tc>
        <w:tc>
          <w:tcPr>
            <w:tcW w:w="140" w:type="dxa"/>
            <w:vAlign w:val="bottom"/>
            <w:tcBorders>
              <w:bottom w:val="single" w:sz="8" w:color="CCEEFF"/>
            </w:tcBorders>
            <w:gridSpan w:val="6"/>
            <w:shd w:val="clear" w:color="auto" w:fill="CCEEFF"/>
          </w:tcPr>
          <w:p>
            <w:pPr>
              <w:spacing w:after="0"/>
              <w:rPr>
                <w:sz w:val="16"/>
                <w:szCs w:val="16"/>
                <w:color w:val="auto"/>
              </w:rPr>
            </w:pPr>
          </w:p>
        </w:tc>
      </w:tr>
      <w:tr>
        <w:trPr>
          <w:trHeight w:val="186"/>
        </w:trPr>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540" w:type="dxa"/>
            <w:vAlign w:val="bottom"/>
            <w:gridSpan w:val="34"/>
            <w:shd w:val="clear" w:color="auto" w:fill="CCEEFF"/>
          </w:tcPr>
          <w:p>
            <w:pPr>
              <w:spacing w:after="0" w:line="186"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(Incorporated herein by reference to Exhibit 10.2 to SMLP’s Current Report on Form 8-K filed July 29, 2024 (Commission File No. 001-</w:t>
              </w:r>
            </w:hyperlink>
          </w:p>
        </w:tc>
      </w:tr>
      <w:tr>
        <w:trPr>
          <w:trHeight w:val="231"/>
        </w:trPr>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0000FF"/>
              <w:bottom w:val="single" w:sz="8" w:color="0000FF"/>
            </w:tcBorders>
            <w:shd w:val="clear" w:color="auto" w:fill="CCEEFF"/>
          </w:tcPr>
          <w:p>
            <w:pPr>
              <w:spacing w:after="0" w:line="186" w:lineRule="exact"/>
              <w:rPr>
                <w:rFonts w:ascii="Times New Roman" w:cs="Times New Roman" w:eastAsia="Times New Roman" w:hAnsi="Times New Roman"/>
                <w:sz w:val="17"/>
                <w:szCs w:val="17"/>
                <w:color w:val="0000FF"/>
                <w:w w:val="99"/>
              </w:rPr>
            </w:pPr>
            <w:hyperlink r:id="rId213">
              <w:r>
                <w:rPr>
                  <w:rFonts w:ascii="Times New Roman" w:cs="Times New Roman" w:eastAsia="Times New Roman" w:hAnsi="Times New Roman"/>
                  <w:sz w:val="17"/>
                  <w:szCs w:val="17"/>
                  <w:color w:val="0000FF"/>
                  <w:w w:val="99"/>
                </w:rPr>
                <w:t>35666)</w:t>
              </w:r>
              <w:r>
                <w:rPr>
                  <w:rFonts w:ascii="Times New Roman" w:cs="Times New Roman" w:eastAsia="Times New Roman" w:hAnsi="Times New Roman"/>
                  <w:sz w:val="17"/>
                  <w:szCs w:val="17"/>
                  <w:u w:val="single" w:color="auto"/>
                  <w:color w:val="0000FF"/>
                  <w:w w:val="99"/>
                </w:rPr>
                <w:t>)</w:t>
              </w:r>
              <w:r>
                <w:rPr>
                  <w:rFonts w:ascii="Times New Roman" w:cs="Times New Roman" w:eastAsia="Times New Roman" w:hAnsi="Times New Roman"/>
                  <w:sz w:val="17"/>
                  <w:szCs w:val="17"/>
                  <w:color w:val="0000FF"/>
                  <w:w w:val="99"/>
                </w:rPr>
                <w:t>.</w:t>
              </w:r>
            </w:hyperlink>
          </w:p>
        </w:tc>
        <w:tc>
          <w:tcPr>
            <w:tcW w:w="50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980" w:type="dxa"/>
            <w:vAlign w:val="bottom"/>
            <w:tcBorders>
              <w:top w:val="single" w:sz="8" w:color="0000FF"/>
              <w:bottom w:val="single" w:sz="8" w:color="CCEEFF"/>
            </w:tcBorders>
            <w:shd w:val="clear" w:color="auto" w:fill="CCEEFF"/>
          </w:tcPr>
          <w:p>
            <w:pPr>
              <w:spacing w:after="0"/>
              <w:rPr>
                <w:sz w:val="20"/>
                <w:szCs w:val="20"/>
                <w:color w:val="auto"/>
              </w:rPr>
            </w:pPr>
          </w:p>
        </w:tc>
        <w:tc>
          <w:tcPr>
            <w:tcW w:w="860" w:type="dxa"/>
            <w:vAlign w:val="bottom"/>
            <w:tcBorders>
              <w:top w:val="single" w:sz="8" w:color="0000FF"/>
              <w:bottom w:val="single" w:sz="8" w:color="CCEEFF"/>
            </w:tcBorders>
            <w:shd w:val="clear" w:color="auto" w:fill="CCEEFF"/>
          </w:tcPr>
          <w:p>
            <w:pPr>
              <w:spacing w:after="0"/>
              <w:rPr>
                <w:sz w:val="20"/>
                <w:szCs w:val="20"/>
                <w:color w:val="auto"/>
              </w:rPr>
            </w:pPr>
          </w:p>
        </w:tc>
        <w:tc>
          <w:tcPr>
            <w:tcW w:w="760" w:type="dxa"/>
            <w:vAlign w:val="bottom"/>
            <w:tcBorders>
              <w:top w:val="single" w:sz="8" w:color="0000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1720" w:type="dxa"/>
            <w:vAlign w:val="bottom"/>
            <w:tcBorders>
              <w:top w:val="single" w:sz="8" w:color="0000FF"/>
              <w:bottom w:val="single" w:sz="8" w:color="CCEEFF"/>
            </w:tcBorders>
            <w:shd w:val="clear" w:color="auto" w:fill="CCEEFF"/>
          </w:tcPr>
          <w:p>
            <w:pPr>
              <w:spacing w:after="0"/>
              <w:rPr>
                <w:sz w:val="20"/>
                <w:szCs w:val="20"/>
                <w:color w:val="auto"/>
              </w:rPr>
            </w:pPr>
          </w:p>
        </w:tc>
        <w:tc>
          <w:tcPr>
            <w:tcW w:w="60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340" w:type="dxa"/>
            <w:vAlign w:val="bottom"/>
            <w:tcBorders>
              <w:top w:val="single" w:sz="8" w:color="0000FF"/>
              <w:bottom w:val="single" w:sz="8" w:color="CCEEFF"/>
            </w:tcBorders>
            <w:shd w:val="clear" w:color="auto" w:fill="CCEEFF"/>
          </w:tcPr>
          <w:p>
            <w:pPr>
              <w:spacing w:after="0"/>
              <w:rPr>
                <w:sz w:val="20"/>
                <w:szCs w:val="20"/>
                <w:color w:val="auto"/>
              </w:rPr>
            </w:pPr>
          </w:p>
        </w:tc>
        <w:tc>
          <w:tcPr>
            <w:tcW w:w="168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851"/>
        </w:trPr>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20" w:type="dxa"/>
            <w:vAlign w:val="bottom"/>
            <w:gridSpan w:val="7"/>
          </w:tcPr>
          <w:p>
            <w:pPr>
              <w:ind w:left="3800"/>
              <w:spacing w:after="0"/>
              <w:rPr>
                <w:sz w:val="20"/>
                <w:szCs w:val="20"/>
                <w:color w:val="auto"/>
              </w:rPr>
            </w:pPr>
            <w:r>
              <w:rPr>
                <w:rFonts w:ascii="Times New Roman" w:cs="Times New Roman" w:eastAsia="Times New Roman" w:hAnsi="Times New Roman"/>
                <w:sz w:val="17"/>
                <w:szCs w:val="17"/>
                <w:color w:val="auto"/>
              </w:rPr>
              <w:t>132</w:t>
            </w: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0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95"/>
        </w:trPr>
        <w:tc>
          <w:tcPr>
            <w:tcW w:w="102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10.8</w:t>
            </w:r>
          </w:p>
        </w:tc>
        <w:tc>
          <w:tcPr>
            <w:tcW w:w="680" w:type="dxa"/>
            <w:vAlign w:val="bottom"/>
          </w:tcPr>
          <w:p>
            <w:pPr>
              <w:spacing w:after="0"/>
              <w:rPr>
                <w:sz w:val="17"/>
                <w:szCs w:val="17"/>
                <w:color w:val="auto"/>
              </w:rPr>
            </w:pPr>
          </w:p>
        </w:tc>
        <w:tc>
          <w:tcPr>
            <w:tcW w:w="9540" w:type="dxa"/>
            <w:vAlign w:val="bottom"/>
            <w:gridSpan w:val="33"/>
          </w:tcPr>
          <w:p>
            <w:pPr>
              <w:spacing w:after="0"/>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Amended and Restated Limited Liability Company Agreement of Summit Permian Transmission Holdco, LLC, dated as of December 24,</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0" w:type="dxa"/>
            <w:vAlign w:val="bottom"/>
            <w:tcBorders>
              <w:top w:val="single" w:sz="8" w:color="0000FF"/>
              <w:bottom w:val="single" w:sz="8" w:color="0000FF"/>
            </w:tcBorders>
            <w:gridSpan w:val="27"/>
          </w:tcPr>
          <w:p>
            <w:pPr>
              <w:spacing w:after="0" w:line="186"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2019 (Incorporated by reference to Exhibit 10.12 to SMLP’s Annual Report on Form 10-K for the fiscal year ended December 31, 2019</w:t>
              </w:r>
            </w:hyperlink>
          </w:p>
        </w:tc>
        <w:tc>
          <w:tcPr>
            <w:tcW w:w="80" w:type="dxa"/>
            <w:vAlign w:val="bottom"/>
            <w:tcBorders>
              <w:top w:val="single" w:sz="8" w:color="0000FF"/>
            </w:tcBorders>
            <w:gridSpan w:val="4"/>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540" w:type="dxa"/>
            <w:vAlign w:val="bottom"/>
            <w:gridSpan w:val="33"/>
          </w:tcPr>
          <w:p>
            <w:pPr>
              <w:spacing w:after="0" w:line="186"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(Commission File No. 001-35666)).</w:t>
              </w:r>
            </w:hyperlink>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rPr>
              <w:t>10.9</w:t>
            </w:r>
          </w:p>
        </w:tc>
        <w:tc>
          <w:tcPr>
            <w:tcW w:w="680" w:type="dxa"/>
            <w:vAlign w:val="bottom"/>
            <w:tcBorders>
              <w:bottom w:val="single" w:sz="8" w:color="CCEEFF"/>
            </w:tcBorders>
            <w:shd w:val="clear" w:color="auto" w:fill="CCEEFF"/>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8700" w:type="dxa"/>
            <w:vAlign w:val="bottom"/>
            <w:tcBorders>
              <w:bottom w:val="single" w:sz="8" w:color="0000FF"/>
            </w:tcBorders>
            <w:gridSpan w:val="15"/>
            <w:shd w:val="clear" w:color="auto" w:fill="CCEEFF"/>
          </w:tcPr>
          <w:p>
            <w:pPr>
              <w:spacing w:after="0" w:line="194"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Credit Agreement, dated as of March 8, 2021, among Summit Permian Transmission, LLC, as borrower, MUFG Bank Ltd., as</w:t>
              </w:r>
            </w:hyperlink>
          </w:p>
        </w:tc>
        <w:tc>
          <w:tcPr>
            <w:tcW w:w="840" w:type="dxa"/>
            <w:vAlign w:val="bottom"/>
            <w:tcBorders>
              <w:bottom w:val="single" w:sz="8" w:color="CCEEFF"/>
            </w:tcBorders>
            <w:gridSpan w:val="18"/>
            <w:shd w:val="clear" w:color="auto" w:fill="CCEEFF"/>
          </w:tcPr>
          <w:p>
            <w:pPr>
              <w:spacing w:after="0"/>
              <w:rPr>
                <w:sz w:val="16"/>
                <w:szCs w:val="16"/>
                <w:color w:val="auto"/>
              </w:rPr>
            </w:pPr>
          </w:p>
        </w:tc>
      </w:tr>
      <w:tr>
        <w:trPr>
          <w:trHeight w:val="186"/>
        </w:trPr>
        <w:tc>
          <w:tcPr>
            <w:tcW w:w="10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9320" w:type="dxa"/>
            <w:vAlign w:val="bottom"/>
            <w:tcBorders>
              <w:bottom w:val="single" w:sz="8" w:color="0000FF"/>
            </w:tcBorders>
            <w:gridSpan w:val="25"/>
            <w:shd w:val="clear" w:color="auto" w:fill="CCEEFF"/>
          </w:tcPr>
          <w:p>
            <w:pPr>
              <w:spacing w:after="0" w:line="186"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administrative agent, Mizuho Bank (USA), as collateral agent, ING Capital LLC, Mizuho Bank, Ltd. and MUFG Union Bank, N.A., as</w:t>
              </w:r>
            </w:hyperlink>
          </w:p>
        </w:tc>
        <w:tc>
          <w:tcPr>
            <w:tcW w:w="220" w:type="dxa"/>
            <w:vAlign w:val="bottom"/>
            <w:tcBorders>
              <w:bottom w:val="single" w:sz="8" w:color="CCEEFF"/>
            </w:tcBorders>
            <w:gridSpan w:val="8"/>
            <w:shd w:val="clear" w:color="auto" w:fill="CCEEFF"/>
          </w:tcPr>
          <w:p>
            <w:pPr>
              <w:spacing w:after="0"/>
              <w:rPr>
                <w:sz w:val="16"/>
                <w:szCs w:val="16"/>
                <w:color w:val="auto"/>
              </w:rPr>
            </w:pPr>
          </w:p>
        </w:tc>
      </w:tr>
      <w:tr>
        <w:trPr>
          <w:trHeight w:val="186"/>
        </w:trPr>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540" w:type="dxa"/>
            <w:vAlign w:val="bottom"/>
            <w:gridSpan w:val="33"/>
            <w:shd w:val="clear" w:color="auto" w:fill="CCEEFF"/>
          </w:tcPr>
          <w:p>
            <w:pPr>
              <w:spacing w:after="0" w:line="186"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L/C issuers, coordinating lead arrangers and joint bookrunners, and the lenders from time to time party thereto (Incorporated herein by</w:t>
              </w:r>
            </w:hyperlink>
          </w:p>
        </w:tc>
      </w:tr>
      <w:tr>
        <w:trPr>
          <w:trHeight w:val="231"/>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8680" w:type="dxa"/>
            <w:vAlign w:val="bottom"/>
            <w:tcBorders>
              <w:top w:val="single" w:sz="8" w:color="0000FF"/>
              <w:bottom w:val="single" w:sz="8" w:color="0000FF"/>
            </w:tcBorders>
            <w:gridSpan w:val="14"/>
            <w:shd w:val="clear" w:color="auto" w:fill="CCEEFF"/>
          </w:tcPr>
          <w:p>
            <w:pPr>
              <w:spacing w:after="0" w:line="186"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reference to Exhibit 10.1 to SMLP’s Quarterly Report on Form 10-Q dated May 7, 2021 (Commission File No. 333-183466)).</w:t>
              </w:r>
            </w:hyperlink>
          </w:p>
        </w:tc>
        <w:tc>
          <w:tcPr>
            <w:tcW w:w="580" w:type="dxa"/>
            <w:vAlign w:val="bottom"/>
            <w:tcBorders>
              <w:top w:val="single" w:sz="8" w:color="0000FF"/>
              <w:bottom w:val="single" w:sz="8" w:color="CCEEFF"/>
            </w:tcBorders>
            <w:gridSpan w:val="9"/>
            <w:shd w:val="clear" w:color="auto" w:fill="CCEEFF"/>
          </w:tcPr>
          <w:p>
            <w:pPr>
              <w:spacing w:after="0"/>
              <w:rPr>
                <w:sz w:val="20"/>
                <w:szCs w:val="20"/>
                <w:color w:val="auto"/>
              </w:rPr>
            </w:pPr>
          </w:p>
        </w:tc>
        <w:tc>
          <w:tcPr>
            <w:tcW w:w="280" w:type="dxa"/>
            <w:vAlign w:val="bottom"/>
            <w:tcBorders>
              <w:top w:val="single" w:sz="8" w:color="CCEEFF"/>
              <w:bottom w:val="single" w:sz="8" w:color="CCEEFF"/>
            </w:tcBorders>
            <w:gridSpan w:val="10"/>
            <w:shd w:val="clear" w:color="auto" w:fill="CCEEFF"/>
          </w:tcPr>
          <w:p>
            <w:pPr>
              <w:spacing w:after="0"/>
              <w:rPr>
                <w:sz w:val="20"/>
                <w:szCs w:val="20"/>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10.10</w:t>
            </w:r>
          </w:p>
        </w:tc>
        <w:tc>
          <w:tcPr>
            <w:tcW w:w="68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tcPr>
          <w:p>
            <w:pPr>
              <w:spacing w:after="0" w:line="194"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Omnibus Amendment, dated June 27, 2023, by and among Summit Permian Transmission, LLC, MUFG Bank, Ltd., Mizuho Bank</w:t>
              </w:r>
            </w:hyperlink>
          </w:p>
        </w:tc>
      </w:tr>
      <w:tr>
        <w:trPr>
          <w:trHeight w:val="20"/>
        </w:trPr>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540" w:type="dxa"/>
            <w:vAlign w:val="bottom"/>
            <w:gridSpan w:val="33"/>
          </w:tcPr>
          <w:p>
            <w:pPr>
              <w:spacing w:after="0" w:line="186"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(USA), Mizuho Bank, Ltd. and the lenders party thereto (Incorporated herein by Incorporated herein by reference to Exhibit 10.3 to</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60" w:type="dxa"/>
            <w:vAlign w:val="bottom"/>
            <w:tcBorders>
              <w:top w:val="single" w:sz="8" w:color="0000FF"/>
            </w:tcBorders>
            <w:gridSpan w:val="18"/>
          </w:tcPr>
          <w:p>
            <w:pPr>
              <w:spacing w:after="0" w:line="186"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SMLP’s Quarterly Report on Form 10-Q filed August 9, 2023 (Commission File No. 001-35666)).</w:t>
              </w:r>
            </w:hyperlink>
          </w:p>
        </w:tc>
        <w:tc>
          <w:tcPr>
            <w:tcW w:w="480" w:type="dxa"/>
            <w:vAlign w:val="bottom"/>
            <w:gridSpan w:val="15"/>
          </w:tcPr>
          <w:p>
            <w:pPr>
              <w:spacing w:after="0"/>
              <w:rPr>
                <w:sz w:val="16"/>
                <w:szCs w:val="16"/>
                <w:color w:val="auto"/>
              </w:rPr>
            </w:pPr>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10.11</w:t>
            </w:r>
          </w:p>
        </w:tc>
        <w:tc>
          <w:tcPr>
            <w:tcW w:w="680" w:type="dxa"/>
            <w:vAlign w:val="bottom"/>
            <w:tcBorders>
              <w:bottom w:val="single" w:sz="8" w:color="CCEEFF"/>
            </w:tcBorders>
            <w:shd w:val="clear" w:color="auto" w:fill="CCEEFF"/>
          </w:tcPr>
          <w:p>
            <w:pPr>
              <w:spacing w:after="0"/>
              <w:rPr>
                <w:sz w:val="16"/>
                <w:szCs w:val="16"/>
                <w:color w:val="auto"/>
              </w:rPr>
            </w:pPr>
          </w:p>
        </w:tc>
        <w:tc>
          <w:tcPr>
            <w:tcW w:w="9500" w:type="dxa"/>
            <w:vAlign w:val="bottom"/>
            <w:tcBorders>
              <w:bottom w:val="single" w:sz="8" w:color="0000FF"/>
            </w:tcBorders>
            <w:gridSpan w:val="32"/>
            <w:shd w:val="clear" w:color="auto" w:fill="CCEEFF"/>
          </w:tcPr>
          <w:p>
            <w:pPr>
              <w:spacing w:after="0" w:line="19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Joint Factual Statement (Incorporated herein by reference to Exhibit 10.1 to SMLP’s Quarterly Report on Form 10-Q for the three months</w:t>
              </w:r>
            </w:hyperlink>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540" w:type="dxa"/>
            <w:vAlign w:val="bottom"/>
            <w:gridSpan w:val="33"/>
            <w:shd w:val="clear" w:color="auto" w:fill="CCEEFF"/>
          </w:tcPr>
          <w:p>
            <w:pPr>
              <w:spacing w:after="0" w:line="186"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ended June 30, 2021 dated August 9, 2021 (Commission File No. 333-183466)).</w:t>
              </w:r>
            </w:hyperlink>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10.12</w:t>
            </w:r>
          </w:p>
        </w:tc>
        <w:tc>
          <w:tcPr>
            <w:tcW w:w="680" w:type="dxa"/>
            <w:vAlign w:val="bottom"/>
          </w:tcPr>
          <w:p>
            <w:pPr>
              <w:spacing w:after="0"/>
              <w:rPr>
                <w:sz w:val="16"/>
                <w:szCs w:val="16"/>
                <w:color w:val="auto"/>
              </w:rPr>
            </w:pPr>
          </w:p>
        </w:tc>
        <w:tc>
          <w:tcPr>
            <w:tcW w:w="9540" w:type="dxa"/>
            <w:vAlign w:val="bottom"/>
            <w:gridSpan w:val="33"/>
          </w:tcPr>
          <w:p>
            <w:pPr>
              <w:spacing w:after="0" w:line="19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Criminal Plea Agreement (Incorporated herein by reference to Exhibit 10.2 to SMLP’s Quarterly Report on Form 10-Q for the three</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80" w:type="dxa"/>
            <w:vAlign w:val="bottom"/>
            <w:tcBorders>
              <w:top w:val="single" w:sz="8" w:color="0000FF"/>
            </w:tcBorders>
            <w:gridSpan w:val="19"/>
          </w:tcPr>
          <w:p>
            <w:pPr>
              <w:spacing w:after="0" w:line="186"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months ended June 30, 2021 dated August 9, 2021 (Commission File No. 333-183466)).</w:t>
              </w:r>
            </w:hyperlink>
          </w:p>
        </w:tc>
        <w:tc>
          <w:tcPr>
            <w:tcW w:w="460" w:type="dxa"/>
            <w:vAlign w:val="bottom"/>
            <w:gridSpan w:val="14"/>
          </w:tcPr>
          <w:p>
            <w:pPr>
              <w:spacing w:after="0"/>
              <w:rPr>
                <w:sz w:val="16"/>
                <w:szCs w:val="16"/>
                <w:color w:val="auto"/>
              </w:rPr>
            </w:pPr>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10.13</w:t>
            </w:r>
          </w:p>
        </w:tc>
        <w:tc>
          <w:tcPr>
            <w:tcW w:w="680" w:type="dxa"/>
            <w:vAlign w:val="bottom"/>
            <w:shd w:val="clear" w:color="auto" w:fill="CCEEFF"/>
          </w:tcPr>
          <w:p>
            <w:pPr>
              <w:spacing w:after="0"/>
              <w:rPr>
                <w:sz w:val="16"/>
                <w:szCs w:val="16"/>
                <w:color w:val="auto"/>
              </w:rPr>
            </w:pPr>
          </w:p>
        </w:tc>
        <w:tc>
          <w:tcPr>
            <w:tcW w:w="9540" w:type="dxa"/>
            <w:vAlign w:val="bottom"/>
            <w:gridSpan w:val="33"/>
            <w:shd w:val="clear" w:color="auto" w:fill="CCEEFF"/>
          </w:tcPr>
          <w:p>
            <w:pPr>
              <w:spacing w:after="0" w:line="19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Consent Decree (Incorporated herein by reference to Exhibit 10.3 to SMLP’s Quarterly Report on Form 10-Q for the three months ended</w:t>
              </w:r>
            </w:hyperlink>
          </w:p>
        </w:tc>
      </w:tr>
      <w:tr>
        <w:trPr>
          <w:trHeight w:val="186"/>
        </w:trPr>
        <w:tc>
          <w:tcPr>
            <w:tcW w:w="10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9420" w:type="dxa"/>
            <w:vAlign w:val="bottom"/>
            <w:tcBorders>
              <w:top w:val="single" w:sz="8" w:color="0000FF"/>
            </w:tcBorders>
            <w:gridSpan w:val="29"/>
            <w:shd w:val="clear" w:color="auto" w:fill="CCEEFF"/>
          </w:tcPr>
          <w:p>
            <w:pPr>
              <w:spacing w:after="0" w:line="186"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June 30, 2021 dated August 9, 2021 (Commission File No. 333-183466)).</w:t>
              </w:r>
            </w:hyperlink>
          </w:p>
        </w:tc>
        <w:tc>
          <w:tcPr>
            <w:tcW w:w="120" w:type="dxa"/>
            <w:vAlign w:val="bottom"/>
            <w:tcBorders>
              <w:top w:val="single" w:sz="8" w:color="CCEEFF"/>
            </w:tcBorders>
            <w:gridSpan w:val="4"/>
            <w:shd w:val="clear" w:color="auto" w:fill="CCEEFF"/>
          </w:tcPr>
          <w:p>
            <w:pPr>
              <w:spacing w:after="0"/>
              <w:rPr>
                <w:sz w:val="16"/>
                <w:szCs w:val="16"/>
                <w:color w:val="auto"/>
              </w:rPr>
            </w:pP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10.14</w:t>
            </w:r>
          </w:p>
        </w:tc>
        <w:tc>
          <w:tcPr>
            <w:tcW w:w="680" w:type="dxa"/>
            <w:vAlign w:val="bottom"/>
          </w:tcPr>
          <w:p>
            <w:pPr>
              <w:spacing w:after="0"/>
              <w:rPr>
                <w:sz w:val="16"/>
                <w:szCs w:val="16"/>
                <w:color w:val="auto"/>
              </w:rPr>
            </w:pPr>
          </w:p>
        </w:tc>
        <w:tc>
          <w:tcPr>
            <w:tcW w:w="9540" w:type="dxa"/>
            <w:vAlign w:val="bottom"/>
            <w:gridSpan w:val="33"/>
          </w:tcPr>
          <w:p>
            <w:pPr>
              <w:spacing w:after="0" w:line="19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Operation and Management Services Agreement, dated May 28, 2020, by and among Summit Midstream Partners, LP and Summit</w:t>
              </w:r>
            </w:hyperlink>
          </w:p>
        </w:tc>
      </w:tr>
      <w:tr>
        <w:trPr>
          <w:trHeight w:val="20"/>
        </w:trPr>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540" w:type="dxa"/>
            <w:vAlign w:val="bottom"/>
            <w:gridSpan w:val="33"/>
          </w:tcPr>
          <w:p>
            <w:pPr>
              <w:spacing w:after="0" w:line="186"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Operating Services Company, LLC (Incorporated herein by reference to Exhibit 10.8 to SMLP’s Current Report on Form 8-K dated June</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20" w:type="dxa"/>
            <w:vAlign w:val="bottom"/>
            <w:tcBorders>
              <w:top w:val="single" w:sz="8" w:color="0000FF"/>
            </w:tcBorders>
            <w:gridSpan w:val="29"/>
          </w:tcPr>
          <w:p>
            <w:pPr>
              <w:spacing w:after="0" w:line="186"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2, 2020 (Commission File No. 001-35666)).</w:t>
              </w:r>
            </w:hyperlink>
          </w:p>
        </w:tc>
        <w:tc>
          <w:tcPr>
            <w:tcW w:w="120" w:type="dxa"/>
            <w:vAlign w:val="bottom"/>
            <w:gridSpan w:val="4"/>
          </w:tcPr>
          <w:p>
            <w:pPr>
              <w:spacing w:after="0"/>
              <w:rPr>
                <w:sz w:val="16"/>
                <w:szCs w:val="16"/>
                <w:color w:val="auto"/>
              </w:rPr>
            </w:pPr>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10.15</w:t>
            </w:r>
          </w:p>
        </w:tc>
        <w:tc>
          <w:tcPr>
            <w:tcW w:w="680" w:type="dxa"/>
            <w:vAlign w:val="bottom"/>
            <w:tcBorders>
              <w:bottom w:val="single" w:sz="8" w:color="CCEEFF"/>
            </w:tcBorders>
            <w:shd w:val="clear" w:color="auto" w:fill="CCEEFF"/>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420" w:type="dxa"/>
            <w:vAlign w:val="bottom"/>
            <w:tcBorders>
              <w:bottom w:val="single" w:sz="8" w:color="0000FF"/>
            </w:tcBorders>
            <w:gridSpan w:val="2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Credit Agreement, dated as of March 16, 2026, among Summit Permian Transmission, LLC, as borrower, EPIC Administration, LLC, as</w:t>
            </w:r>
          </w:p>
        </w:tc>
        <w:tc>
          <w:tcPr>
            <w:tcW w:w="120" w:type="dxa"/>
            <w:vAlign w:val="bottom"/>
            <w:tcBorders>
              <w:bottom w:val="single" w:sz="8" w:color="CCEEFF"/>
            </w:tcBorders>
            <w:gridSpan w:val="5"/>
            <w:shd w:val="clear" w:color="auto" w:fill="CCEEFF"/>
          </w:tcPr>
          <w:p>
            <w:pPr>
              <w:spacing w:after="0"/>
              <w:rPr>
                <w:sz w:val="16"/>
                <w:szCs w:val="16"/>
                <w:color w:val="auto"/>
              </w:rPr>
            </w:pPr>
          </w:p>
        </w:tc>
      </w:tr>
      <w:tr>
        <w:trPr>
          <w:trHeight w:val="231"/>
        </w:trPr>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ind w:left="14"/>
              <w:spacing w:after="0" w:line="186" w:lineRule="exact"/>
              <w:rPr>
                <w:sz w:val="20"/>
                <w:szCs w:val="20"/>
                <w:color w:val="auto"/>
              </w:rPr>
            </w:pPr>
            <w:r>
              <w:rPr>
                <w:rFonts w:ascii="Times New Roman" w:cs="Times New Roman" w:eastAsia="Times New Roman" w:hAnsi="Times New Roman"/>
                <w:sz w:val="17"/>
                <w:szCs w:val="17"/>
                <w:color w:val="auto"/>
              </w:rPr>
              <w:t>***</w:t>
            </w:r>
          </w:p>
        </w:tc>
        <w:tc>
          <w:tcPr>
            <w:tcW w:w="8700" w:type="dxa"/>
            <w:vAlign w:val="bottom"/>
            <w:tcBorders>
              <w:bottom w:val="single" w:sz="8" w:color="0000FF"/>
            </w:tcBorders>
            <w:gridSpan w:val="15"/>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FF"/>
              </w:rPr>
              <w:t>administrative agent, the lenders party thereto from time to time and Nuveen Alternative Advisors, LLC, as sole lead arranger.</w:t>
            </w:r>
          </w:p>
        </w:tc>
        <w:tc>
          <w:tcPr>
            <w:tcW w:w="840" w:type="dxa"/>
            <w:vAlign w:val="bottom"/>
            <w:tcBorders>
              <w:bottom w:val="single" w:sz="8" w:color="CCEEFF"/>
            </w:tcBorders>
            <w:gridSpan w:val="18"/>
            <w:shd w:val="clear" w:color="auto" w:fill="CCEEFF"/>
          </w:tcPr>
          <w:p>
            <w:pPr>
              <w:spacing w:after="0"/>
              <w:rPr>
                <w:sz w:val="20"/>
                <w:szCs w:val="20"/>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10.16</w:t>
            </w:r>
          </w:p>
        </w:tc>
        <w:tc>
          <w:tcPr>
            <w:tcW w:w="68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tcPr>
          <w:p>
            <w:pPr>
              <w:spacing w:after="0" w:line="19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Amended and Restated Employment Agreement, dated August 1, 2024, by and between Summit Operating Services Company, LLC and</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0" w:type="dxa"/>
            <w:vAlign w:val="bottom"/>
            <w:tcBorders>
              <w:top w:val="single" w:sz="8" w:color="0000FF"/>
            </w:tcBorders>
            <w:gridSpan w:val="27"/>
          </w:tcPr>
          <w:p>
            <w:pPr>
              <w:spacing w:after="0" w:line="186"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J. Heath Deneke (Incorporated herein by reference to Exhibit 10.3 to the Company’s Current Report on Form 8-K12B filed August 1,</w:t>
              </w:r>
            </w:hyperlink>
          </w:p>
        </w:tc>
        <w:tc>
          <w:tcPr>
            <w:tcW w:w="140" w:type="dxa"/>
            <w:vAlign w:val="bottom"/>
            <w:gridSpan w:val="6"/>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180" w:type="dxa"/>
            <w:vAlign w:val="bottom"/>
            <w:tcBorders>
              <w:top w:val="single" w:sz="8" w:color="0000FF"/>
            </w:tcBorders>
            <w:gridSpan w:val="20"/>
          </w:tcPr>
          <w:p>
            <w:pPr>
              <w:spacing w:after="0" w:line="186"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2024 (Commission File No. 001-42201)).</w:t>
              </w:r>
            </w:hyperlink>
          </w:p>
        </w:tc>
        <w:tc>
          <w:tcPr>
            <w:tcW w:w="360" w:type="dxa"/>
            <w:vAlign w:val="bottom"/>
            <w:gridSpan w:val="13"/>
          </w:tcPr>
          <w:p>
            <w:pPr>
              <w:spacing w:after="0"/>
              <w:rPr>
                <w:sz w:val="16"/>
                <w:szCs w:val="16"/>
                <w:color w:val="auto"/>
              </w:rPr>
            </w:pPr>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10.17</w:t>
            </w:r>
          </w:p>
        </w:tc>
        <w:tc>
          <w:tcPr>
            <w:tcW w:w="680" w:type="dxa"/>
            <w:vAlign w:val="bottom"/>
            <w:shd w:val="clear" w:color="auto" w:fill="CCEEFF"/>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shd w:val="clear" w:color="auto" w:fill="CCEEFF"/>
          </w:tcPr>
          <w:p>
            <w:pPr>
              <w:spacing w:after="0" w:line="194"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Amended and Restated Employment Agreement, dated August 1, 2024, by and between Summit Operating Services Company, LLC and</w:t>
              </w:r>
            </w:hyperlink>
          </w:p>
        </w:tc>
      </w:tr>
      <w:tr>
        <w:trPr>
          <w:trHeight w:val="186"/>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9400" w:type="dxa"/>
            <w:vAlign w:val="bottom"/>
            <w:tcBorders>
              <w:top w:val="single" w:sz="8" w:color="0000FF"/>
              <w:bottom w:val="single" w:sz="8" w:color="0000FF"/>
              <w:right w:val="single" w:sz="8" w:color="CCEEFF"/>
            </w:tcBorders>
            <w:gridSpan w:val="27"/>
            <w:shd w:val="clear" w:color="auto" w:fill="CCEEFF"/>
          </w:tcPr>
          <w:p>
            <w:pPr>
              <w:spacing w:after="0" w:line="186"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James D. Johnston (Incorporated herein by reference to Exhibit 10.4 to the Company’s Current Report on Form 8-K12B filed August 1,</w:t>
              </w:r>
            </w:hyperlink>
          </w:p>
        </w:tc>
        <w:tc>
          <w:tcPr>
            <w:tcW w:w="140" w:type="dxa"/>
            <w:vAlign w:val="bottom"/>
            <w:tcBorders>
              <w:top w:val="single" w:sz="8" w:color="CCEEFF"/>
              <w:bottom w:val="single" w:sz="8" w:color="CCEEFF"/>
            </w:tcBorders>
            <w:gridSpan w:val="6"/>
            <w:shd w:val="clear" w:color="auto" w:fill="CCEEFF"/>
          </w:tcPr>
          <w:p>
            <w:pPr>
              <w:spacing w:after="0"/>
              <w:rPr>
                <w:sz w:val="16"/>
                <w:szCs w:val="16"/>
                <w:color w:val="auto"/>
              </w:rPr>
            </w:pPr>
          </w:p>
        </w:tc>
      </w:tr>
      <w:tr>
        <w:trPr>
          <w:trHeight w:val="231"/>
        </w:trPr>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0000FF"/>
            </w:tcBorders>
            <w:gridSpan w:val="2"/>
            <w:shd w:val="clear" w:color="auto" w:fill="CCEEFF"/>
          </w:tcPr>
          <w:p>
            <w:pPr>
              <w:spacing w:after="0" w:line="186"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2024 (Commission File No. 001-42201)).</w:t>
              </w:r>
            </w:hyperlink>
          </w:p>
        </w:tc>
        <w:tc>
          <w:tcPr>
            <w:tcW w:w="6660" w:type="dxa"/>
            <w:vAlign w:val="bottom"/>
            <w:tcBorders>
              <w:bottom w:val="single" w:sz="8" w:color="CCEEFF"/>
            </w:tcBorders>
            <w:gridSpan w:val="31"/>
            <w:shd w:val="clear" w:color="auto" w:fill="CCEEFF"/>
          </w:tcPr>
          <w:p>
            <w:pPr>
              <w:spacing w:after="0"/>
              <w:rPr>
                <w:sz w:val="20"/>
                <w:szCs w:val="20"/>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10.18</w:t>
            </w:r>
          </w:p>
        </w:tc>
        <w:tc>
          <w:tcPr>
            <w:tcW w:w="68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tcPr>
          <w:p>
            <w:pPr>
              <w:spacing w:after="0" w:line="194"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Amended and Restated Employment Agreement, dated August 1, 2024, by and between Summit Operating Services Company, LLC and</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20" w:type="dxa"/>
            <w:vAlign w:val="bottom"/>
            <w:tcBorders>
              <w:top w:val="single" w:sz="8" w:color="0000FF"/>
              <w:bottom w:val="single" w:sz="8" w:color="0000FF"/>
            </w:tcBorders>
            <w:gridSpan w:val="22"/>
          </w:tcPr>
          <w:p>
            <w:pPr>
              <w:spacing w:after="0" w:line="186"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William J. Mault (Incorporated herein by reference to Exhibit 10.5 to the Company’s Current Report on Form 8-K12B filed August 1,</w:t>
              </w:r>
            </w:hyperlink>
          </w:p>
        </w:tc>
        <w:tc>
          <w:tcPr>
            <w:tcW w:w="180" w:type="dxa"/>
            <w:vAlign w:val="bottom"/>
            <w:tcBorders>
              <w:top w:val="single" w:sz="8" w:color="0000FF"/>
            </w:tcBorders>
            <w:gridSpan w:val="5"/>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540" w:type="dxa"/>
            <w:vAlign w:val="bottom"/>
            <w:gridSpan w:val="33"/>
          </w:tcPr>
          <w:p>
            <w:pPr>
              <w:spacing w:after="0" w:line="186"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2024 (Commission File No. 001-42201)).</w:t>
              </w:r>
            </w:hyperlink>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80"/>
        </w:trPr>
        <w:tc>
          <w:tcPr>
            <w:tcW w:w="1020" w:type="dxa"/>
            <w:vAlign w:val="bottom"/>
            <w:shd w:val="clear" w:color="auto" w:fill="CCEEFF"/>
          </w:tcPr>
          <w:p>
            <w:pPr>
              <w:jc w:val="center"/>
              <w:ind w:left="34"/>
              <w:spacing w:after="0" w:line="161" w:lineRule="exact"/>
              <w:rPr>
                <w:sz w:val="20"/>
                <w:szCs w:val="20"/>
                <w:color w:val="auto"/>
              </w:rPr>
            </w:pPr>
            <w:r>
              <w:rPr>
                <w:rFonts w:ascii="Times New Roman" w:cs="Times New Roman" w:eastAsia="Times New Roman" w:hAnsi="Times New Roman"/>
                <w:sz w:val="17"/>
                <w:szCs w:val="17"/>
                <w:color w:val="auto"/>
                <w:w w:val="99"/>
              </w:rPr>
              <w:t>10.19</w:t>
            </w:r>
          </w:p>
        </w:tc>
        <w:tc>
          <w:tcPr>
            <w:tcW w:w="680" w:type="dxa"/>
            <w:vAlign w:val="bottom"/>
            <w:shd w:val="clear" w:color="auto" w:fill="CCEEFF"/>
          </w:tcPr>
          <w:p>
            <w:pPr>
              <w:jc w:val="center"/>
              <w:ind w:left="14"/>
              <w:spacing w:after="0" w:line="161"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shd w:val="clear" w:color="auto" w:fill="CCEEFF"/>
          </w:tcPr>
          <w:p>
            <w:pPr>
              <w:spacing w:after="0" w:line="161"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Amended and Restated Employment Agreement, dated August 1, 2024, by and between Summit Operating Services Company, LLC and</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gridSpan w:val="8"/>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r>
      <w:tr>
        <w:trPr>
          <w:trHeight w:val="173"/>
        </w:trPr>
        <w:tc>
          <w:tcPr>
            <w:tcW w:w="10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540" w:type="dxa"/>
            <w:vAlign w:val="bottom"/>
            <w:gridSpan w:val="33"/>
            <w:shd w:val="clear" w:color="auto" w:fill="CCEEFF"/>
          </w:tcPr>
          <w:p>
            <w:pPr>
              <w:spacing w:after="0" w:line="17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Matthew B. Sicinski (Incorporated herein by reference to Exhibit 10.6 to the Company’s Current Report on Form 8-K12B filed August 1,</w:t>
              </w:r>
            </w:hyperlink>
          </w:p>
        </w:tc>
      </w:tr>
      <w:tr>
        <w:trPr>
          <w:trHeight w:val="218"/>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880" w:type="dxa"/>
            <w:vAlign w:val="bottom"/>
            <w:tcBorders>
              <w:top w:val="single" w:sz="8" w:color="0000FF"/>
              <w:bottom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2024 (Commission File No. 001-42201)).</w:t>
              </w:r>
            </w:hyperlink>
          </w:p>
        </w:tc>
        <w:tc>
          <w:tcPr>
            <w:tcW w:w="6580" w:type="dxa"/>
            <w:vAlign w:val="bottom"/>
            <w:tcBorders>
              <w:top w:val="single" w:sz="8" w:color="0000FF"/>
              <w:bottom w:val="single" w:sz="8" w:color="CCEEFF"/>
            </w:tcBorders>
            <w:gridSpan w:val="28"/>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10.20</w:t>
            </w:r>
          </w:p>
        </w:tc>
        <w:tc>
          <w:tcPr>
            <w:tcW w:w="68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bottom w:val="single" w:sz="8" w:color="0000FF"/>
            </w:tcBorders>
            <w:gridSpan w:val="21"/>
          </w:tcPr>
          <w:p>
            <w:pPr>
              <w:spacing w:after="0" w:line="19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Form of Retention Bonus Agreement (Incorporated herein by reference to Exhibit 10.1 to SMLP’s Current Report on Form 8-K dated</w:t>
              </w:r>
            </w:hyperlink>
          </w:p>
        </w:tc>
        <w:tc>
          <w:tcPr>
            <w:tcW w:w="340" w:type="dxa"/>
            <w:vAlign w:val="bottom"/>
            <w:gridSpan w:val="12"/>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540" w:type="dxa"/>
            <w:vAlign w:val="bottom"/>
            <w:gridSpan w:val="33"/>
          </w:tcPr>
          <w:p>
            <w:pPr>
              <w:spacing w:after="0" w:line="186"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June 11, 2019 (Commission File Number 001-35666)).</w:t>
              </w:r>
            </w:hyperlink>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10.21</w:t>
            </w:r>
          </w:p>
        </w:tc>
        <w:tc>
          <w:tcPr>
            <w:tcW w:w="680" w:type="dxa"/>
            <w:vAlign w:val="bottom"/>
            <w:tcBorders>
              <w:bottom w:val="single" w:sz="8" w:color="CCEEFF"/>
            </w:tcBorders>
            <w:shd w:val="clear" w:color="auto" w:fill="CCEEFF"/>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300" w:type="dxa"/>
            <w:vAlign w:val="bottom"/>
            <w:tcBorders>
              <w:bottom w:val="single" w:sz="8" w:color="0000FF"/>
            </w:tcBorders>
            <w:gridSpan w:val="24"/>
            <w:shd w:val="clear" w:color="auto" w:fill="CCEEFF"/>
          </w:tcPr>
          <w:p>
            <w:pPr>
              <w:spacing w:after="0" w:line="19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Summit Midstream Partners, LP 2012 Long-Term Incentive Plan, as amended and restated (incorporated herein by reference to Exhibit</w:t>
              </w:r>
            </w:hyperlink>
          </w:p>
        </w:tc>
        <w:tc>
          <w:tcPr>
            <w:tcW w:w="240" w:type="dxa"/>
            <w:vAlign w:val="bottom"/>
            <w:tcBorders>
              <w:bottom w:val="single" w:sz="8" w:color="CCEEFF"/>
            </w:tcBorders>
            <w:gridSpan w:val="9"/>
            <w:shd w:val="clear" w:color="auto" w:fill="CCEEFF"/>
          </w:tcPr>
          <w:p>
            <w:pPr>
              <w:spacing w:after="0"/>
              <w:rPr>
                <w:sz w:val="16"/>
                <w:szCs w:val="16"/>
                <w:color w:val="auto"/>
              </w:rPr>
            </w:pPr>
          </w:p>
        </w:tc>
      </w:tr>
      <w:tr>
        <w:trPr>
          <w:trHeight w:val="186"/>
        </w:trPr>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540" w:type="dxa"/>
            <w:vAlign w:val="bottom"/>
            <w:gridSpan w:val="33"/>
            <w:shd w:val="clear" w:color="auto" w:fill="CCEEFF"/>
          </w:tcPr>
          <w:p>
            <w:pPr>
              <w:spacing w:after="0" w:line="186"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SMLP’s Current Report on Form 8-K dated March 20, 2020 (Commission File No. 001-35666)).</w:t>
              </w:r>
            </w:hyperlink>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70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10.22</w:t>
            </w:r>
          </w:p>
        </w:tc>
        <w:tc>
          <w:tcPr>
            <w:tcW w:w="68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400" w:type="dxa"/>
            <w:vAlign w:val="bottom"/>
            <w:tcBorders>
              <w:bottom w:val="single" w:sz="8" w:color="0000FF"/>
            </w:tcBorders>
            <w:gridSpan w:val="27"/>
          </w:tcPr>
          <w:p>
            <w:pPr>
              <w:spacing w:after="0" w:line="194"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Summit Midstream Partners, LP 2012 Long-Term Incentive Plan Phantom Unit Agreement (Incorporated herein by reference to Exhibit</w:t>
              </w:r>
            </w:hyperlink>
          </w:p>
        </w:tc>
        <w:tc>
          <w:tcPr>
            <w:tcW w:w="140" w:type="dxa"/>
            <w:vAlign w:val="bottom"/>
            <w:gridSpan w:val="6"/>
          </w:tcPr>
          <w:p>
            <w:pPr>
              <w:spacing w:after="0"/>
              <w:rPr>
                <w:sz w:val="16"/>
                <w:szCs w:val="16"/>
                <w:color w:val="auto"/>
              </w:rPr>
            </w:pPr>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540" w:type="dxa"/>
            <w:vAlign w:val="bottom"/>
            <w:gridSpan w:val="33"/>
          </w:tcPr>
          <w:p>
            <w:pPr>
              <w:spacing w:after="0" w:line="186"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SMLP’s Current Report on Form 8-K filed March 17, 2014 (Commission File No. 001-35666)).</w:t>
              </w:r>
            </w:hyperlink>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10.23</w:t>
            </w:r>
          </w:p>
        </w:tc>
        <w:tc>
          <w:tcPr>
            <w:tcW w:w="680" w:type="dxa"/>
            <w:vAlign w:val="bottom"/>
            <w:shd w:val="clear" w:color="auto" w:fill="CCEEFF"/>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shd w:val="clear" w:color="auto" w:fill="CCEEFF"/>
          </w:tcPr>
          <w:p>
            <w:pPr>
              <w:spacing w:after="0" w:line="194"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Form of Director Unit Award Agreement (Incorporated herein by reference to Exhibit 10.3 to SMLP’s Current Report on Form 8-K filed</w:t>
              </w:r>
            </w:hyperlink>
          </w:p>
        </w:tc>
      </w:tr>
      <w:tr>
        <w:trPr>
          <w:trHeight w:val="186"/>
        </w:trPr>
        <w:tc>
          <w:tcPr>
            <w:tcW w:w="10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9400" w:type="dxa"/>
            <w:vAlign w:val="bottom"/>
            <w:tcBorders>
              <w:top w:val="single" w:sz="8" w:color="0000FF"/>
              <w:right w:val="single" w:sz="8" w:color="CCEEFF"/>
            </w:tcBorders>
            <w:gridSpan w:val="27"/>
            <w:shd w:val="clear" w:color="auto" w:fill="CCEEFF"/>
          </w:tcPr>
          <w:p>
            <w:pPr>
              <w:spacing w:after="0" w:line="186"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October 4, 2012 (Commission File No. 001-35666)).</w:t>
              </w:r>
            </w:hyperlink>
          </w:p>
        </w:tc>
        <w:tc>
          <w:tcPr>
            <w:tcW w:w="140" w:type="dxa"/>
            <w:vAlign w:val="bottom"/>
            <w:tcBorders>
              <w:top w:val="single" w:sz="8" w:color="CCEEFF"/>
            </w:tcBorders>
            <w:gridSpan w:val="6"/>
            <w:shd w:val="clear" w:color="auto" w:fill="CCEEFF"/>
          </w:tcPr>
          <w:p>
            <w:pPr>
              <w:spacing w:after="0"/>
              <w:rPr>
                <w:sz w:val="16"/>
                <w:szCs w:val="16"/>
                <w:color w:val="auto"/>
              </w:rPr>
            </w:pP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10.24</w:t>
            </w:r>
          </w:p>
        </w:tc>
        <w:tc>
          <w:tcPr>
            <w:tcW w:w="68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33"/>
          </w:tcPr>
          <w:p>
            <w:pPr>
              <w:spacing w:after="0" w:line="194"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Summit Midstream Partners, LLC Deferred Compensation Plan effective as of July 1, 2013 (Incorporated herein by reference to Exhibit</w:t>
              </w:r>
            </w:hyperlink>
          </w:p>
        </w:tc>
      </w:tr>
      <w:tr>
        <w:trPr>
          <w:trHeight w:val="186"/>
        </w:trPr>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0" w:type="dxa"/>
            <w:vAlign w:val="bottom"/>
            <w:tcBorders>
              <w:top w:val="single" w:sz="8" w:color="0000FF"/>
            </w:tcBorders>
            <w:gridSpan w:val="27"/>
          </w:tcPr>
          <w:p>
            <w:pPr>
              <w:spacing w:after="0" w:line="186"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3</w:t>
              </w:r>
              <w:r>
                <w:rPr>
                  <w:rFonts w:ascii="Times New Roman" w:cs="Times New Roman" w:eastAsia="Times New Roman" w:hAnsi="Times New Roman"/>
                  <w:sz w:val="17"/>
                  <w:szCs w:val="17"/>
                  <w:color w:val="0000FF"/>
                </w:rPr>
                <w:t xml:space="preserve"> to SMLP’s Form S-8 Registration Statement dated June 28, 2013 (Commission File No. 333-189684)).</w:t>
              </w:r>
            </w:hyperlink>
          </w:p>
        </w:tc>
        <w:tc>
          <w:tcPr>
            <w:tcW w:w="140" w:type="dxa"/>
            <w:vAlign w:val="bottom"/>
            <w:gridSpan w:val="6"/>
          </w:tcPr>
          <w:p>
            <w:pPr>
              <w:spacing w:after="0"/>
              <w:rPr>
                <w:sz w:val="16"/>
                <w:szCs w:val="16"/>
                <w:color w:val="auto"/>
              </w:rPr>
            </w:pPr>
          </w:p>
        </w:tc>
      </w:tr>
      <w:tr>
        <w:trPr>
          <w:trHeight w:val="44"/>
        </w:trPr>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jc w:val="center"/>
              <w:ind w:left="34"/>
              <w:spacing w:after="0" w:line="194" w:lineRule="exact"/>
              <w:rPr>
                <w:sz w:val="20"/>
                <w:szCs w:val="20"/>
                <w:color w:val="auto"/>
              </w:rPr>
            </w:pPr>
            <w:r>
              <w:rPr>
                <w:rFonts w:ascii="Times New Roman" w:cs="Times New Roman" w:eastAsia="Times New Roman" w:hAnsi="Times New Roman"/>
                <w:sz w:val="17"/>
                <w:szCs w:val="17"/>
                <w:color w:val="auto"/>
                <w:w w:val="99"/>
              </w:rPr>
              <w:t>10.25</w:t>
            </w:r>
          </w:p>
        </w:tc>
        <w:tc>
          <w:tcPr>
            <w:tcW w:w="680" w:type="dxa"/>
            <w:vAlign w:val="bottom"/>
            <w:tcBorders>
              <w:bottom w:val="single" w:sz="8" w:color="CCEEFF"/>
            </w:tcBorders>
            <w:shd w:val="clear" w:color="auto" w:fill="CCEEFF"/>
          </w:tcPr>
          <w:p>
            <w:pPr>
              <w:jc w:val="center"/>
              <w:ind w:left="14"/>
              <w:spacing w:after="0" w:line="194" w:lineRule="exact"/>
              <w:rPr>
                <w:sz w:val="20"/>
                <w:szCs w:val="20"/>
                <w:color w:val="auto"/>
              </w:rPr>
            </w:pPr>
            <w:r>
              <w:rPr>
                <w:rFonts w:ascii="Times New Roman" w:cs="Times New Roman" w:eastAsia="Times New Roman" w:hAnsi="Times New Roman"/>
                <w:sz w:val="17"/>
                <w:szCs w:val="17"/>
                <w:color w:val="auto"/>
              </w:rPr>
              <w:t>*</w:t>
            </w:r>
          </w:p>
        </w:tc>
        <w:tc>
          <w:tcPr>
            <w:tcW w:w="9340" w:type="dxa"/>
            <w:vAlign w:val="bottom"/>
            <w:tcBorders>
              <w:bottom w:val="single" w:sz="8" w:color="0000FF"/>
            </w:tcBorders>
            <w:gridSpan w:val="26"/>
            <w:shd w:val="clear" w:color="auto" w:fill="CCEEFF"/>
          </w:tcPr>
          <w:p>
            <w:pPr>
              <w:spacing w:after="0" w:line="194"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Form of Summit Midstream Partners, LP 2012 Long-Term Incentive Plan Grant Award Agreement (Incorporated herein by reference to</w:t>
              </w:r>
            </w:hyperlink>
          </w:p>
        </w:tc>
        <w:tc>
          <w:tcPr>
            <w:tcW w:w="200" w:type="dxa"/>
            <w:vAlign w:val="bottom"/>
            <w:tcBorders>
              <w:bottom w:val="single" w:sz="8" w:color="CCEEFF"/>
            </w:tcBorders>
            <w:gridSpan w:val="7"/>
            <w:shd w:val="clear" w:color="auto" w:fill="CCEEFF"/>
          </w:tcPr>
          <w:p>
            <w:pPr>
              <w:spacing w:after="0"/>
              <w:rPr>
                <w:sz w:val="16"/>
                <w:szCs w:val="16"/>
                <w:color w:val="auto"/>
              </w:rPr>
            </w:pPr>
          </w:p>
        </w:tc>
      </w:tr>
      <w:tr>
        <w:trPr>
          <w:trHeight w:val="231"/>
        </w:trPr>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540" w:type="dxa"/>
            <w:vAlign w:val="bottom"/>
            <w:gridSpan w:val="33"/>
            <w:shd w:val="clear" w:color="auto" w:fill="CCEEFF"/>
          </w:tcPr>
          <w:p>
            <w:pPr>
              <w:spacing w:after="0" w:line="186"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Exhibit 10.54 to SMLP’s Annual Report on Form 10-K filed February 28, 2022 (Commission File No. 001-35666)).</w:t>
              </w:r>
            </w:hyperlink>
          </w:p>
        </w:tc>
      </w:tr>
      <w:tr>
        <w:trPr>
          <w:trHeight w:val="851"/>
        </w:trPr>
        <w:tc>
          <w:tcPr>
            <w:tcW w:w="10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080" w:type="dxa"/>
            <w:vAlign w:val="bottom"/>
            <w:tcBorders>
              <w:top w:val="single" w:sz="8" w:color="0000FF"/>
            </w:tcBorders>
            <w:gridSpan w:val="6"/>
          </w:tcPr>
          <w:p>
            <w:pPr>
              <w:ind w:left="3800"/>
              <w:spacing w:after="0"/>
              <w:rPr>
                <w:sz w:val="20"/>
                <w:szCs w:val="20"/>
                <w:color w:val="auto"/>
              </w:rPr>
            </w:pPr>
            <w:r>
              <w:rPr>
                <w:rFonts w:ascii="Times New Roman" w:cs="Times New Roman" w:eastAsia="Times New Roman" w:hAnsi="Times New Roman"/>
                <w:sz w:val="17"/>
                <w:szCs w:val="17"/>
                <w:color w:val="auto"/>
              </w:rPr>
              <w:t>133</w:t>
            </w:r>
          </w:p>
        </w:tc>
        <w:tc>
          <w:tcPr>
            <w:tcW w:w="4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10.26</w:t>
            </w:r>
          </w:p>
        </w:tc>
        <w:tc>
          <w:tcPr>
            <w:tcW w:w="10180" w:type="dxa"/>
            <w:vAlign w:val="bottom"/>
            <w:gridSpan w:val="32"/>
          </w:tcPr>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5">
              <w:r>
                <w:rPr>
                  <w:rFonts w:ascii="Times New Roman" w:cs="Times New Roman" w:eastAsia="Times New Roman" w:hAnsi="Times New Roman"/>
                  <w:sz w:val="17"/>
                  <w:szCs w:val="17"/>
                  <w:color w:val="0000FF"/>
                </w:rPr>
                <w:t>Summit Midstream Partners, LP 2022 Long-Term Incentive Plan (incorporated herein by reference to Appendix B to SMLP’s definitive</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60" w:type="dxa"/>
            <w:vAlign w:val="bottom"/>
            <w:tcBorders>
              <w:top w:val="single" w:sz="8" w:color="0000FF"/>
            </w:tcBorders>
            <w:gridSpan w:val="25"/>
          </w:tcPr>
          <w:p>
            <w:pPr>
              <w:spacing w:after="0" w:line="186"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proxy statement on Schedule 14A filed March 31, 2022 (Commission File No. 001-35666)).</w:t>
              </w:r>
            </w:hyperlink>
          </w:p>
        </w:tc>
        <w:tc>
          <w:tcPr>
            <w:tcW w:w="180" w:type="dxa"/>
            <w:vAlign w:val="bottom"/>
            <w:gridSpan w:val="6"/>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10.27</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6">
              <w:r>
                <w:rPr>
                  <w:rFonts w:ascii="Times New Roman" w:cs="Times New Roman" w:eastAsia="Times New Roman" w:hAnsi="Times New Roman"/>
                  <w:sz w:val="17"/>
                  <w:szCs w:val="17"/>
                  <w:color w:val="0000FF"/>
                </w:rPr>
                <w:t>First Amendment to the Summit Midstream Partners, LP 2022 Long-Term Incentive Plan (Incorporated herein by reference to Exhibit</w:t>
              </w:r>
            </w:hyperlink>
          </w:p>
        </w:tc>
      </w:tr>
      <w:tr>
        <w:trPr>
          <w:trHeight w:val="231"/>
        </w:trPr>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7000" w:type="dxa"/>
            <w:vAlign w:val="bottom"/>
            <w:tcBorders>
              <w:top w:val="single" w:sz="8" w:color="0000FF"/>
              <w:bottom w:val="single" w:sz="8" w:color="0000FF"/>
            </w:tcBorders>
            <w:gridSpan w:val="12"/>
            <w:shd w:val="clear" w:color="auto" w:fill="CCEEFF"/>
          </w:tcPr>
          <w:p>
            <w:pPr>
              <w:spacing w:after="0" w:line="186"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SMLP’s Current Report on Form 8-K filed May 22, 2024 (Commission File No. 001-35666)).</w:t>
              </w:r>
            </w:hyperlink>
          </w:p>
        </w:tc>
        <w:tc>
          <w:tcPr>
            <w:tcW w:w="2260" w:type="dxa"/>
            <w:vAlign w:val="bottom"/>
            <w:tcBorders>
              <w:top w:val="single" w:sz="8" w:color="0000FF"/>
              <w:bottom w:val="single" w:sz="8" w:color="CCEEFF"/>
              <w:right w:val="single" w:sz="8" w:color="CCEEFF"/>
            </w:tcBorders>
            <w:gridSpan w:val="9"/>
            <w:shd w:val="clear" w:color="auto" w:fill="CCEEFF"/>
          </w:tcPr>
          <w:p>
            <w:pPr>
              <w:spacing w:after="0"/>
              <w:rPr>
                <w:sz w:val="20"/>
                <w:szCs w:val="20"/>
                <w:color w:val="auto"/>
              </w:rPr>
            </w:pPr>
          </w:p>
        </w:tc>
        <w:tc>
          <w:tcPr>
            <w:tcW w:w="280" w:type="dxa"/>
            <w:vAlign w:val="bottom"/>
            <w:tcBorders>
              <w:top w:val="single" w:sz="8" w:color="CCEEFF"/>
              <w:bottom w:val="single" w:sz="8" w:color="CCEEFF"/>
            </w:tcBorders>
            <w:gridSpan w:val="10"/>
            <w:shd w:val="clear" w:color="auto" w:fill="CCEEFF"/>
          </w:tcPr>
          <w:p>
            <w:pPr>
              <w:spacing w:after="0"/>
              <w:rPr>
                <w:sz w:val="20"/>
                <w:szCs w:val="20"/>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10.28</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7">
              <w:r>
                <w:rPr>
                  <w:rFonts w:ascii="Times New Roman" w:cs="Times New Roman" w:eastAsia="Times New Roman" w:hAnsi="Times New Roman"/>
                  <w:sz w:val="17"/>
                  <w:szCs w:val="17"/>
                  <w:color w:val="0000FF"/>
                </w:rPr>
                <w:t>Summit Midstream Partners, LP 2022 Long-Term Incentive Plan 2023 LTIP Grant Award Agreement for Performance-based Phantom</w:t>
              </w:r>
            </w:hyperlink>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80" w:type="dxa"/>
            <w:vAlign w:val="bottom"/>
            <w:tcBorders>
              <w:bottom w:val="single" w:sz="8" w:color="0000FF"/>
            </w:tcBorders>
            <w:gridSpan w:val="28"/>
          </w:tcPr>
          <w:p>
            <w:pPr>
              <w:spacing w:after="0" w:line="186"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Units, effective as of February 23, 2023 (Incorporated herein by reference to Exhibit 10.62 to SMLP’s Annual Report on Form 10-K filed</w:t>
              </w:r>
            </w:hyperlink>
          </w:p>
        </w:tc>
        <w:tc>
          <w:tcPr>
            <w:tcW w:w="60" w:type="dxa"/>
            <w:vAlign w:val="bottom"/>
            <w:gridSpan w:val="3"/>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540" w:type="dxa"/>
            <w:vAlign w:val="bottom"/>
            <w:gridSpan w:val="31"/>
          </w:tcPr>
          <w:p>
            <w:pPr>
              <w:spacing w:after="0" w:line="186"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March 1, 2023 (Commission File No. 001-35666)).</w:t>
              </w:r>
            </w:hyperlink>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10.29</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8">
              <w:r>
                <w:rPr>
                  <w:rFonts w:ascii="Times New Roman" w:cs="Times New Roman" w:eastAsia="Times New Roman" w:hAnsi="Times New Roman"/>
                  <w:sz w:val="17"/>
                  <w:szCs w:val="17"/>
                  <w:color w:val="0000FF"/>
                </w:rPr>
                <w:t>Summit Midstream Partners, LP 2022 Long-Term Incentive Plan 2023 LTIP Grant Award Agreement for Time-based Phantom Units,</w:t>
              </w:r>
            </w:hyperlink>
          </w:p>
        </w:tc>
      </w:tr>
      <w:tr>
        <w:trPr>
          <w:trHeight w:val="20"/>
        </w:trPr>
        <w:tc>
          <w:tcPr>
            <w:tcW w:w="1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6"/>
        </w:trPr>
        <w:tc>
          <w:tcPr>
            <w:tcW w:w="10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0000FF"/>
            </w:tcBorders>
            <w:gridSpan w:val="30"/>
            <w:shd w:val="clear" w:color="auto" w:fill="CCEEFF"/>
          </w:tcPr>
          <w:p>
            <w:pPr>
              <w:spacing w:after="0" w:line="186"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effective as of February 23, 2023 (Incorporated herein by reference to Exhibit 10.63 to SMLP’s Annual Report on Form 10-K filed March</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6"/>
        </w:trPr>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540" w:type="dxa"/>
            <w:vAlign w:val="bottom"/>
            <w:gridSpan w:val="31"/>
            <w:shd w:val="clear" w:color="auto" w:fill="CCEEFF"/>
          </w:tcPr>
          <w:p>
            <w:pPr>
              <w:spacing w:after="0" w:line="186"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1, 2023 (Commission File No. 001-35666)).</w:t>
              </w:r>
            </w:hyperlink>
          </w:p>
        </w:tc>
      </w:tr>
      <w:tr>
        <w:trPr>
          <w:trHeight w:val="44"/>
        </w:trPr>
        <w:tc>
          <w:tcPr>
            <w:tcW w:w="10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10.30</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9">
              <w:r>
                <w:rPr>
                  <w:rFonts w:ascii="Times New Roman" w:cs="Times New Roman" w:eastAsia="Times New Roman" w:hAnsi="Times New Roman"/>
                  <w:sz w:val="17"/>
                  <w:szCs w:val="17"/>
                  <w:color w:val="0000FF"/>
                </w:rPr>
                <w:t>Form of Summit Midstream Partners, LP 2012 Long-Term Incentive Plan 2021 Grant Award Agreement (Incorporated herein by</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60" w:type="dxa"/>
            <w:vAlign w:val="bottom"/>
            <w:tcBorders>
              <w:top w:val="single" w:sz="8" w:color="0000FF"/>
            </w:tcBorders>
            <w:gridSpan w:val="16"/>
          </w:tcPr>
          <w:p>
            <w:pPr>
              <w:spacing w:after="0" w:line="186"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reference to Exhibit 10.64 to SMLP’s Annual Report on Form 10-K filed March 1, 2023 (Commission File No. 001-35666)).</w:t>
              </w:r>
            </w:hyperlink>
          </w:p>
        </w:tc>
        <w:tc>
          <w:tcPr>
            <w:tcW w:w="680" w:type="dxa"/>
            <w:vAlign w:val="bottom"/>
            <w:gridSpan w:val="15"/>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10.31</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0">
              <w:r>
                <w:rPr>
                  <w:rFonts w:ascii="Times New Roman" w:cs="Times New Roman" w:eastAsia="Times New Roman" w:hAnsi="Times New Roman"/>
                  <w:sz w:val="17"/>
                  <w:szCs w:val="17"/>
                  <w:color w:val="0000FF"/>
                </w:rPr>
                <w:t>Form of Summit Midstream Partners, LP 2022 Long-Term Incentive Plan Director Unit Agreement (Incorporated herein by reference to</w:t>
              </w:r>
            </w:hyperlink>
          </w:p>
        </w:tc>
      </w:tr>
      <w:tr>
        <w:trPr>
          <w:trHeight w:val="186"/>
        </w:trPr>
        <w:tc>
          <w:tcPr>
            <w:tcW w:w="10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9360" w:type="dxa"/>
            <w:vAlign w:val="bottom"/>
            <w:tcBorders>
              <w:top w:val="single" w:sz="8" w:color="0000FF"/>
            </w:tcBorders>
            <w:gridSpan w:val="25"/>
            <w:shd w:val="clear" w:color="auto" w:fill="CCEEFF"/>
          </w:tcPr>
          <w:p>
            <w:pPr>
              <w:spacing w:after="0" w:line="186"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Exhibit 10.65 to SMLP’s Annual Report on Form 10-K filed March 1, 2023 (Commission File No. 001-35666)).</w:t>
              </w:r>
            </w:hyperlink>
          </w:p>
        </w:tc>
        <w:tc>
          <w:tcPr>
            <w:tcW w:w="180" w:type="dxa"/>
            <w:vAlign w:val="bottom"/>
            <w:tcBorders>
              <w:top w:val="single" w:sz="8" w:color="CCEEFF"/>
            </w:tcBorders>
            <w:gridSpan w:val="6"/>
            <w:shd w:val="clear" w:color="auto" w:fill="CCEEFF"/>
          </w:tcPr>
          <w:p>
            <w:pPr>
              <w:spacing w:after="0"/>
              <w:rPr>
                <w:sz w:val="16"/>
                <w:szCs w:val="16"/>
                <w:color w:val="auto"/>
              </w:rPr>
            </w:pPr>
          </w:p>
        </w:tc>
      </w:tr>
      <w:tr>
        <w:trPr>
          <w:trHeight w:val="44"/>
        </w:trPr>
        <w:tc>
          <w:tcPr>
            <w:tcW w:w="10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10.32</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1">
              <w:r>
                <w:rPr>
                  <w:rFonts w:ascii="Times New Roman" w:cs="Times New Roman" w:eastAsia="Times New Roman" w:hAnsi="Times New Roman"/>
                  <w:sz w:val="17"/>
                  <w:szCs w:val="17"/>
                  <w:color w:val="0000FF"/>
                </w:rPr>
                <w:t>Form of Summit Midstream Partners, LP 2023 Long-Term Incentive Plan Director Unit Agreement (Incorporated herein by reference to</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60" w:type="dxa"/>
            <w:vAlign w:val="bottom"/>
            <w:tcBorders>
              <w:top w:val="single" w:sz="8" w:color="0000FF"/>
            </w:tcBorders>
            <w:gridSpan w:val="25"/>
          </w:tcPr>
          <w:p>
            <w:pPr>
              <w:spacing w:after="0" w:line="186"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Exhibit 10.66 to SMLP’s Annual Report on Form 10-K filed March 1, 2023 (Commission File No. 001-35666)).</w:t>
              </w:r>
            </w:hyperlink>
          </w:p>
        </w:tc>
        <w:tc>
          <w:tcPr>
            <w:tcW w:w="180" w:type="dxa"/>
            <w:vAlign w:val="bottom"/>
            <w:gridSpan w:val="6"/>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10.33</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2">
              <w:r>
                <w:rPr>
                  <w:rFonts w:ascii="Times New Roman" w:cs="Times New Roman" w:eastAsia="Times New Roman" w:hAnsi="Times New Roman"/>
                  <w:sz w:val="17"/>
                  <w:szCs w:val="17"/>
                  <w:color w:val="0000FF"/>
                </w:rPr>
                <w:t>Summit Midstream Corporation 2024 Long-Term Incentive Plan (Incorporated herein by reference to Exhibit 10.7 to the Company’s</w:t>
              </w:r>
            </w:hyperlink>
          </w:p>
        </w:tc>
      </w:tr>
      <w:tr>
        <w:trPr>
          <w:trHeight w:val="186"/>
        </w:trPr>
        <w:tc>
          <w:tcPr>
            <w:tcW w:w="10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9120" w:type="dxa"/>
            <w:vAlign w:val="bottom"/>
            <w:tcBorders>
              <w:top w:val="single" w:sz="8" w:color="0000FF"/>
            </w:tcBorders>
            <w:gridSpan w:val="19"/>
            <w:shd w:val="clear" w:color="auto" w:fill="CCEEFF"/>
          </w:tcPr>
          <w:p>
            <w:pPr>
              <w:spacing w:after="0" w:line="186"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Current Report on Form 8-K12B filed August 1, 2024 (Commission File No. 001-42201)).</w:t>
              </w:r>
            </w:hyperlink>
          </w:p>
        </w:tc>
        <w:tc>
          <w:tcPr>
            <w:tcW w:w="420" w:type="dxa"/>
            <w:vAlign w:val="bottom"/>
            <w:tcBorders>
              <w:top w:val="single" w:sz="8" w:color="CCEEFF"/>
            </w:tcBorders>
            <w:gridSpan w:val="12"/>
            <w:shd w:val="clear" w:color="auto" w:fill="CCEEFF"/>
          </w:tcPr>
          <w:p>
            <w:pPr>
              <w:spacing w:after="0"/>
              <w:rPr>
                <w:sz w:val="16"/>
                <w:szCs w:val="16"/>
                <w:color w:val="auto"/>
              </w:rPr>
            </w:pPr>
          </w:p>
        </w:tc>
      </w:tr>
      <w:tr>
        <w:trPr>
          <w:trHeight w:val="44"/>
        </w:trPr>
        <w:tc>
          <w:tcPr>
            <w:tcW w:w="10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10.34</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3">
              <w:r>
                <w:rPr>
                  <w:rFonts w:ascii="Times New Roman" w:cs="Times New Roman" w:eastAsia="Times New Roman" w:hAnsi="Times New Roman"/>
                  <w:sz w:val="17"/>
                  <w:szCs w:val="17"/>
                  <w:color w:val="0000FF"/>
                </w:rPr>
                <w:t>Membership Interest Purchase Agreement, by and among Fundare Resources Company HoldCo, LLC, Summit Midstream Holdings,</w:t>
              </w:r>
            </w:hyperlink>
          </w:p>
        </w:tc>
      </w:tr>
      <w:tr>
        <w:trPr>
          <w:trHeight w:val="20"/>
        </w:trPr>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60" w:type="dxa"/>
            <w:vAlign w:val="bottom"/>
            <w:tcBorders>
              <w:bottom w:val="single" w:sz="8" w:color="0000FF"/>
            </w:tcBorders>
            <w:gridSpan w:val="21"/>
          </w:tcPr>
          <w:p>
            <w:pPr>
              <w:spacing w:after="0" w:line="186"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LLC, Summit Midstream Corporation, and solely for purposes of Section 9.19 thereto, Fundare Resources Company, LLC, dated as of</w:t>
              </w:r>
            </w:hyperlink>
          </w:p>
        </w:tc>
        <w:tc>
          <w:tcPr>
            <w:tcW w:w="280" w:type="dxa"/>
            <w:vAlign w:val="bottom"/>
            <w:gridSpan w:val="10"/>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540" w:type="dxa"/>
            <w:vAlign w:val="bottom"/>
            <w:gridSpan w:val="31"/>
          </w:tcPr>
          <w:p>
            <w:pPr>
              <w:spacing w:after="0" w:line="186"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March 10, 2025 (Incorporated herein by reference to Exhibit 10.1 to SMC’s Current Report on Form 8-K filed March 14, 2025</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720" w:type="dxa"/>
            <w:vAlign w:val="bottom"/>
            <w:tcBorders>
              <w:top w:val="single" w:sz="8" w:color="0000FF"/>
            </w:tcBorders>
            <w:gridSpan w:val="15"/>
          </w:tcPr>
          <w:p>
            <w:pPr>
              <w:spacing w:after="0" w:line="186"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(Commission File No. 001-42201)).</w:t>
              </w:r>
            </w:hyperlink>
          </w:p>
        </w:tc>
        <w:tc>
          <w:tcPr>
            <w:tcW w:w="820" w:type="dxa"/>
            <w:vAlign w:val="bottom"/>
            <w:gridSpan w:val="16"/>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10.35</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4">
              <w:r>
                <w:rPr>
                  <w:rFonts w:ascii="Times New Roman" w:cs="Times New Roman" w:eastAsia="Times New Roman" w:hAnsi="Times New Roman"/>
                  <w:sz w:val="17"/>
                  <w:szCs w:val="17"/>
                  <w:color w:val="0000FF"/>
                </w:rPr>
                <w:t>Registration Rights and Lock-Up Agreement, by and between Summit Midstream Corporation and Fundare Resources Company HoldCo,</w:t>
              </w:r>
            </w:hyperlink>
          </w:p>
        </w:tc>
      </w:tr>
      <w:tr>
        <w:trPr>
          <w:trHeight w:val="186"/>
        </w:trPr>
        <w:tc>
          <w:tcPr>
            <w:tcW w:w="10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9500" w:type="dxa"/>
            <w:vAlign w:val="bottom"/>
            <w:tcBorders>
              <w:top w:val="single" w:sz="8" w:color="0000FF"/>
            </w:tcBorders>
            <w:gridSpan w:val="29"/>
            <w:shd w:val="clear" w:color="auto" w:fill="CCEEFF"/>
          </w:tcPr>
          <w:p>
            <w:pPr>
              <w:spacing w:after="0" w:line="186"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LLC, dated as of March 10, 2025 (Incorporated herein by reference to Exhibit 10.2 to SMC’s Current Report on Form 8-K filed March</w:t>
              </w:r>
            </w:hyperlink>
          </w:p>
        </w:tc>
        <w:tc>
          <w:tcPr>
            <w:tcW w:w="40" w:type="dxa"/>
            <w:vAlign w:val="bottom"/>
            <w:tcBorders>
              <w:top w:val="single" w:sz="8" w:color="CCEEFF"/>
            </w:tcBorders>
            <w:gridSpan w:val="2"/>
            <w:shd w:val="clear" w:color="auto" w:fill="CCEEFF"/>
          </w:tcPr>
          <w:p>
            <w:pPr>
              <w:spacing w:after="0"/>
              <w:rPr>
                <w:sz w:val="16"/>
                <w:szCs w:val="16"/>
                <w:color w:val="auto"/>
              </w:rPr>
            </w:pPr>
          </w:p>
        </w:tc>
      </w:tr>
      <w:tr>
        <w:trPr>
          <w:trHeight w:val="231"/>
        </w:trPr>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0000FF"/>
              <w:bottom w:val="single" w:sz="8" w:color="0000FF"/>
            </w:tcBorders>
            <w:gridSpan w:val="5"/>
            <w:shd w:val="clear" w:color="auto" w:fill="CCEEFF"/>
          </w:tcPr>
          <w:p>
            <w:pPr>
              <w:spacing w:after="0" w:line="186"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14, 2025 (Commission File No. 001-42201)).</w:t>
              </w:r>
            </w:hyperlink>
          </w:p>
        </w:tc>
        <w:tc>
          <w:tcPr>
            <w:tcW w:w="6140" w:type="dxa"/>
            <w:vAlign w:val="bottom"/>
            <w:tcBorders>
              <w:top w:val="single" w:sz="8" w:color="0000FF"/>
              <w:bottom w:val="single" w:sz="8" w:color="CCEEFF"/>
            </w:tcBorders>
            <w:gridSpan w:val="17"/>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9"/>
            <w:shd w:val="clear" w:color="auto" w:fill="CCEEFF"/>
          </w:tcPr>
          <w:p>
            <w:pPr>
              <w:spacing w:after="0"/>
              <w:rPr>
                <w:sz w:val="20"/>
                <w:szCs w:val="20"/>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10.36</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5">
              <w:r>
                <w:rPr>
                  <w:rFonts w:ascii="Times New Roman" w:cs="Times New Roman" w:eastAsia="Times New Roman" w:hAnsi="Times New Roman"/>
                  <w:sz w:val="17"/>
                  <w:szCs w:val="17"/>
                  <w:color w:val="0000FF"/>
                </w:rPr>
                <w:t>Executive Form of Performance-Based Restricted Stock Unit Award Agreement pursuant to the Summit Midstream Corporation 2024</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60" w:type="dxa"/>
            <w:vAlign w:val="bottom"/>
            <w:tcBorders>
              <w:top w:val="single" w:sz="8" w:color="0000FF"/>
              <w:bottom w:val="single" w:sz="8" w:color="0000FF"/>
            </w:tcBorders>
            <w:gridSpan w:val="17"/>
          </w:tcPr>
          <w:p>
            <w:pPr>
              <w:spacing w:after="0" w:line="186"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Long-Term Incentive Plan (Incorporated herein by reference to Exhibit 10.3 to SMC’s Quarterly Report on Form 10-Q for the three</w:t>
              </w:r>
            </w:hyperlink>
          </w:p>
        </w:tc>
        <w:tc>
          <w:tcPr>
            <w:tcW w:w="100" w:type="dxa"/>
            <w:vAlign w:val="bottom"/>
            <w:tcBorders>
              <w:top w:val="single" w:sz="8" w:color="0000FF"/>
            </w:tcBorders>
            <w:gridSpan w:val="3"/>
          </w:tcPr>
          <w:p>
            <w:pPr>
              <w:spacing w:after="0"/>
              <w:rPr>
                <w:sz w:val="16"/>
                <w:szCs w:val="16"/>
                <w:color w:val="auto"/>
              </w:rPr>
            </w:pPr>
          </w:p>
        </w:tc>
        <w:tc>
          <w:tcPr>
            <w:tcW w:w="380" w:type="dxa"/>
            <w:vAlign w:val="bottom"/>
            <w:gridSpan w:val="11"/>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540" w:type="dxa"/>
            <w:vAlign w:val="bottom"/>
            <w:gridSpan w:val="31"/>
          </w:tcPr>
          <w:p>
            <w:pPr>
              <w:spacing w:after="0" w:line="186"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months ended March 31, 2025 dated May 12, 2025 (Commission File No. 001-42201)).</w:t>
              </w:r>
            </w:hyperlink>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10.37</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6">
              <w:r>
                <w:rPr>
                  <w:rFonts w:ascii="Times New Roman" w:cs="Times New Roman" w:eastAsia="Times New Roman" w:hAnsi="Times New Roman"/>
                  <w:sz w:val="17"/>
                  <w:szCs w:val="17"/>
                  <w:color w:val="0000FF"/>
                </w:rPr>
                <w:t>Executive Form of Time-Based Restricted Stock Unit Award Agreement pursuant to the Summit Midstream Corporation 2024 Long-Term</w:t>
              </w:r>
            </w:hyperlink>
          </w:p>
        </w:tc>
      </w:tr>
      <w:tr>
        <w:trPr>
          <w:trHeight w:val="186"/>
        </w:trPr>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9260" w:type="dxa"/>
            <w:vAlign w:val="bottom"/>
            <w:tcBorders>
              <w:top w:val="single" w:sz="8" w:color="0000FF"/>
              <w:bottom w:val="single" w:sz="8" w:color="0000FF"/>
              <w:right w:val="single" w:sz="8" w:color="CCEEFF"/>
            </w:tcBorders>
            <w:gridSpan w:val="21"/>
            <w:shd w:val="clear" w:color="auto" w:fill="CCEEFF"/>
          </w:tcPr>
          <w:p>
            <w:pPr>
              <w:spacing w:after="0" w:line="186"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Incentive Plan (Incorporated herein by reference to Exhibit 10.4 to SMC’s Quarterly Report on Form 10-Q for the three months ended</w:t>
              </w:r>
            </w:hyperlink>
          </w:p>
        </w:tc>
        <w:tc>
          <w:tcPr>
            <w:tcW w:w="26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31"/>
        </w:trPr>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0000FF"/>
            </w:tcBorders>
            <w:gridSpan w:val="8"/>
            <w:shd w:val="clear" w:color="auto" w:fill="CCEEFF"/>
          </w:tcPr>
          <w:p>
            <w:pPr>
              <w:spacing w:after="0" w:line="186"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March 31, 2025 dated May 12, 2025 (Commission File No. 001-42201)).</w:t>
              </w:r>
            </w:hyperlink>
          </w:p>
        </w:tc>
        <w:tc>
          <w:tcPr>
            <w:tcW w:w="4500" w:type="dxa"/>
            <w:vAlign w:val="bottom"/>
            <w:tcBorders>
              <w:bottom w:val="single" w:sz="8" w:color="CCEEFF"/>
            </w:tcBorders>
            <w:gridSpan w:val="23"/>
            <w:shd w:val="clear" w:color="auto" w:fill="CCEEFF"/>
          </w:tcPr>
          <w:p>
            <w:pPr>
              <w:spacing w:after="0"/>
              <w:rPr>
                <w:sz w:val="20"/>
                <w:szCs w:val="20"/>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10.38</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7">
              <w:r>
                <w:rPr>
                  <w:rFonts w:ascii="Times New Roman" w:cs="Times New Roman" w:eastAsia="Times New Roman" w:hAnsi="Times New Roman"/>
                  <w:sz w:val="17"/>
                  <w:szCs w:val="17"/>
                  <w:color w:val="0000FF"/>
                </w:rPr>
                <w:t>Employee Form of Restricted Stock Unit Award Agreement pursuant to the Summit Midstream Corporation 2024 Long-Term Incentive</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300" w:type="dxa"/>
            <w:vAlign w:val="bottom"/>
            <w:tcBorders>
              <w:top w:val="single" w:sz="8" w:color="0000FF"/>
              <w:bottom w:val="single" w:sz="8" w:color="0000FF"/>
            </w:tcBorders>
            <w:gridSpan w:val="23"/>
          </w:tcPr>
          <w:p>
            <w:pPr>
              <w:spacing w:after="0" w:line="186"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Plan (Incorporated herein by reference to Exhibit 10.5 to SMC’s Quarterly Report on Form 10-Q for the three months ended March 31,</w:t>
              </w:r>
            </w:hyperlink>
          </w:p>
        </w:tc>
        <w:tc>
          <w:tcPr>
            <w:tcW w:w="40" w:type="dxa"/>
            <w:vAlign w:val="bottom"/>
            <w:tcBorders>
              <w:top w:val="single" w:sz="8" w:color="0000FF"/>
            </w:tcBorders>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540" w:type="dxa"/>
            <w:vAlign w:val="bottom"/>
            <w:gridSpan w:val="31"/>
          </w:tcPr>
          <w:p>
            <w:pPr>
              <w:spacing w:after="0" w:line="186"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2025 dated May 12, 2025 (Commission File No. 001-42201)).</w:t>
              </w:r>
            </w:hyperlink>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10.39</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8">
              <w:r>
                <w:rPr>
                  <w:rFonts w:ascii="Times New Roman" w:cs="Times New Roman" w:eastAsia="Times New Roman" w:hAnsi="Times New Roman"/>
                  <w:sz w:val="17"/>
                  <w:szCs w:val="17"/>
                  <w:color w:val="0000FF"/>
                </w:rPr>
                <w:t>Director Form Stock Agreement pursuant to the Summit Midstream Corporation 2024 Long-Term Incentive Plan (Incorporated herein by</w:t>
              </w:r>
            </w:hyperlink>
          </w:p>
        </w:tc>
      </w:tr>
      <w:tr>
        <w:trPr>
          <w:trHeight w:val="186"/>
        </w:trPr>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9100" w:type="dxa"/>
            <w:vAlign w:val="bottom"/>
            <w:tcBorders>
              <w:top w:val="single" w:sz="8" w:color="0000FF"/>
              <w:bottom w:val="single" w:sz="8" w:color="0000FF"/>
            </w:tcBorders>
            <w:gridSpan w:val="18"/>
            <w:shd w:val="clear" w:color="auto" w:fill="CCEEFF"/>
          </w:tcPr>
          <w:p>
            <w:pPr>
              <w:spacing w:after="0" w:line="186"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reference to Exhibit 10.6 to SMC’s Quarterly Report on Form 10-Q for the three months ended March 31, 2025 dated May 12, 2025</w:t>
              </w:r>
            </w:hyperlink>
          </w:p>
        </w:tc>
        <w:tc>
          <w:tcPr>
            <w:tcW w:w="36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6"/>
        </w:trPr>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540" w:type="dxa"/>
            <w:vAlign w:val="bottom"/>
            <w:gridSpan w:val="31"/>
            <w:shd w:val="clear" w:color="auto" w:fill="CCEEFF"/>
          </w:tcPr>
          <w:p>
            <w:pPr>
              <w:spacing w:after="0" w:line="186"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(Commission File No. 001-42201)).</w:t>
              </w:r>
            </w:hyperlink>
          </w:p>
        </w:tc>
      </w:tr>
      <w:tr>
        <w:trPr>
          <w:trHeight w:val="44"/>
        </w:trPr>
        <w:tc>
          <w:tcPr>
            <w:tcW w:w="10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3"/>
        </w:trPr>
        <w:tc>
          <w:tcPr>
            <w:tcW w:w="106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10.40</w:t>
            </w:r>
          </w:p>
        </w:tc>
        <w:tc>
          <w:tcPr>
            <w:tcW w:w="10180" w:type="dxa"/>
            <w:vAlign w:val="bottom"/>
            <w:gridSpan w:val="32"/>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9">
              <w:r>
                <w:rPr>
                  <w:rFonts w:ascii="Times New Roman" w:cs="Times New Roman" w:eastAsia="Times New Roman" w:hAnsi="Times New Roman"/>
                  <w:sz w:val="17"/>
                  <w:szCs w:val="17"/>
                  <w:color w:val="0000FF"/>
                </w:rPr>
                <w:t>Updated Compensation Letter, by and between Summit Operating Services Company, LLC and Heath Deneke, dated as of April 9, 2025</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0" w:type="dxa"/>
            <w:vAlign w:val="bottom"/>
            <w:tcBorders>
              <w:top w:val="single" w:sz="8" w:color="0000FF"/>
            </w:tcBorders>
            <w:gridSpan w:val="26"/>
          </w:tcPr>
          <w:p>
            <w:pPr>
              <w:spacing w:after="0" w:line="186"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(Incorporated herein by reference to Exhibit 10.1 to SMC’s Current Report on Form 8-K filed May 9, 2025 (Commission File No. 001-</w:t>
              </w:r>
            </w:hyperlink>
          </w:p>
        </w:tc>
        <w:tc>
          <w:tcPr>
            <w:tcW w:w="140" w:type="dxa"/>
            <w:vAlign w:val="bottom"/>
            <w:gridSpan w:val="5"/>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Borders>
              <w:top w:val="single" w:sz="8" w:color="0000FF"/>
            </w:tcBorders>
            <w:gridSpan w:val="2"/>
          </w:tcPr>
          <w:p>
            <w:pPr>
              <w:spacing w:after="0" w:line="186"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42201)</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w:t>
              </w:r>
            </w:hyperlink>
          </w:p>
        </w:tc>
        <w:tc>
          <w:tcPr>
            <w:tcW w:w="156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10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60" w:type="dxa"/>
            <w:vAlign w:val="bottom"/>
            <w:shd w:val="clear" w:color="auto" w:fill="CCEEFF"/>
          </w:tcPr>
          <w:p>
            <w:pPr>
              <w:jc w:val="right"/>
              <w:ind w:right="214"/>
              <w:spacing w:after="0" w:line="194" w:lineRule="exact"/>
              <w:rPr>
                <w:sz w:val="20"/>
                <w:szCs w:val="20"/>
                <w:color w:val="auto"/>
              </w:rPr>
            </w:pPr>
            <w:r>
              <w:rPr>
                <w:rFonts w:ascii="Times New Roman" w:cs="Times New Roman" w:eastAsia="Times New Roman" w:hAnsi="Times New Roman"/>
                <w:sz w:val="17"/>
                <w:szCs w:val="17"/>
                <w:color w:val="auto"/>
              </w:rPr>
              <w:t>10.41</w:t>
            </w:r>
          </w:p>
        </w:tc>
        <w:tc>
          <w:tcPr>
            <w:tcW w:w="10180" w:type="dxa"/>
            <w:vAlign w:val="bottom"/>
            <w:gridSpan w:val="32"/>
            <w:shd w:val="clear" w:color="auto" w:fill="CCEEFF"/>
          </w:tcPr>
          <w:p>
            <w:pPr>
              <w:ind w:left="300"/>
              <w:spacing w:after="0" w:line="194"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50">
              <w:r>
                <w:rPr>
                  <w:rFonts w:ascii="Times New Roman" w:cs="Times New Roman" w:eastAsia="Times New Roman" w:hAnsi="Times New Roman"/>
                  <w:sz w:val="17"/>
                  <w:szCs w:val="17"/>
                  <w:color w:val="0000FF"/>
                </w:rPr>
                <w:t>Updated Compensation Letter, by and between Summit Operating Services Company, LLC and James D. Johnston, dated as of April 9,</w:t>
              </w:r>
            </w:hyperlink>
          </w:p>
        </w:tc>
      </w:tr>
      <w:tr>
        <w:trPr>
          <w:trHeight w:val="20"/>
        </w:trPr>
        <w:tc>
          <w:tcPr>
            <w:tcW w:w="1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20" w:type="dxa"/>
            <w:vAlign w:val="bottom"/>
            <w:tcBorders>
              <w:right w:val="single" w:sz="8" w:color="CCEEFF"/>
            </w:tcBorders>
            <w:gridSpan w:val="22"/>
            <w:shd w:val="clear" w:color="auto" w:fill="0000FF"/>
          </w:tcPr>
          <w:p>
            <w:pPr>
              <w:spacing w:after="0" w:line="20" w:lineRule="exact"/>
              <w:rPr>
                <w:sz w:val="1"/>
                <w:szCs w:val="1"/>
                <w:color w:val="auto"/>
              </w:rPr>
            </w:pPr>
          </w:p>
        </w:tc>
        <w:tc>
          <w:tcPr>
            <w:tcW w:w="200" w:type="dxa"/>
            <w:vAlign w:val="bottom"/>
            <w:gridSpan w:val="7"/>
            <w:shd w:val="clear" w:color="auto" w:fill="CCEEFF"/>
          </w:tcPr>
          <w:p>
            <w:pPr>
              <w:spacing w:after="0" w:line="20" w:lineRule="exact"/>
              <w:rPr>
                <w:sz w:val="1"/>
                <w:szCs w:val="1"/>
                <w:color w:val="auto"/>
              </w:rPr>
            </w:pPr>
          </w:p>
        </w:tc>
      </w:tr>
      <w:tr>
        <w:trPr>
          <w:trHeight w:val="186"/>
        </w:trPr>
        <w:tc>
          <w:tcPr>
            <w:tcW w:w="10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340" w:type="dxa"/>
            <w:vAlign w:val="bottom"/>
            <w:tcBorders>
              <w:bottom w:val="single" w:sz="8" w:color="0000FF"/>
              <w:right w:val="single" w:sz="8" w:color="CCEEFF"/>
            </w:tcBorders>
            <w:gridSpan w:val="24"/>
            <w:shd w:val="clear" w:color="auto" w:fill="CCEEFF"/>
          </w:tcPr>
          <w:p>
            <w:pPr>
              <w:spacing w:after="0" w:line="186"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2025 (Incorporated herein by reference to Exhibit 10.2 to SMC’s Current Report on Form 8-K filed May 9, 2025 (Commission File No.</w:t>
              </w:r>
            </w:hyperlink>
          </w:p>
        </w:tc>
        <w:tc>
          <w:tcPr>
            <w:tcW w:w="200" w:type="dxa"/>
            <w:vAlign w:val="bottom"/>
            <w:tcBorders>
              <w:bottom w:val="single" w:sz="8" w:color="CCEEFF"/>
            </w:tcBorders>
            <w:gridSpan w:val="7"/>
            <w:shd w:val="clear" w:color="auto" w:fill="CCEEFF"/>
          </w:tcPr>
          <w:p>
            <w:pPr>
              <w:spacing w:after="0"/>
              <w:rPr>
                <w:sz w:val="16"/>
                <w:szCs w:val="16"/>
                <w:color w:val="auto"/>
              </w:rPr>
            </w:pPr>
          </w:p>
        </w:tc>
      </w:tr>
      <w:tr>
        <w:trPr>
          <w:trHeight w:val="231"/>
        </w:trPr>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0000FF"/>
            </w:tcBorders>
            <w:gridSpan w:val="2"/>
            <w:shd w:val="clear" w:color="auto" w:fill="CCEEFF"/>
          </w:tcPr>
          <w:p>
            <w:pPr>
              <w:spacing w:after="0" w:line="186"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001-42201)).</w:t>
              </w:r>
            </w:hyperlink>
          </w:p>
        </w:tc>
        <w:tc>
          <w:tcPr>
            <w:tcW w:w="15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851"/>
        </w:trPr>
        <w:tc>
          <w:tcPr>
            <w:tcW w:w="1060" w:type="dxa"/>
            <w:vAlign w:val="bottom"/>
          </w:tcPr>
          <w:p>
            <w:pPr>
              <w:spacing w:after="0"/>
              <w:rPr>
                <w:sz w:val="24"/>
                <w:szCs w:val="24"/>
                <w:color w:val="auto"/>
              </w:rPr>
            </w:pPr>
          </w:p>
        </w:tc>
        <w:tc>
          <w:tcPr>
            <w:tcW w:w="4940" w:type="dxa"/>
            <w:vAlign w:val="bottom"/>
            <w:gridSpan w:val="8"/>
          </w:tcPr>
          <w:p>
            <w:pPr>
              <w:ind w:left="4440"/>
              <w:spacing w:after="0"/>
              <w:rPr>
                <w:sz w:val="20"/>
                <w:szCs w:val="20"/>
                <w:color w:val="auto"/>
              </w:rPr>
            </w:pPr>
            <w:r>
              <w:rPr>
                <w:rFonts w:ascii="Times New Roman" w:cs="Times New Roman" w:eastAsia="Times New Roman" w:hAnsi="Times New Roman"/>
                <w:sz w:val="17"/>
                <w:szCs w:val="17"/>
                <w:color w:val="auto"/>
              </w:rPr>
              <w:t>134</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10.42</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Updated Compensation Letter, by and between Summit Operating Services Company, LLC and William J. Mault, dated as of April 9,</w:t>
              </w:r>
            </w:hyperlink>
          </w:p>
        </w:tc>
        <w:tc>
          <w:tcPr>
            <w:tcW w:w="340" w:type="dxa"/>
            <w:vAlign w:val="bottom"/>
            <w:gridSpan w:val="3"/>
          </w:tcPr>
          <w:p>
            <w:pPr>
              <w:spacing w:after="0"/>
              <w:rPr>
                <w:sz w:val="17"/>
                <w:szCs w:val="17"/>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540" w:type="dxa"/>
            <w:vAlign w:val="bottom"/>
            <w:gridSpan w:val="15"/>
          </w:tcPr>
          <w:p>
            <w:pPr>
              <w:spacing w:after="0" w:line="186"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2025 (Incorporated herein by reference to Exhibit 10.3 to SMC’s Current Report on Form 8-K filed May 9, 2025 (Commission File No.</w:t>
              </w:r>
            </w:hyperlink>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Borders>
              <w:top w:val="single" w:sz="8" w:color="0000FF"/>
            </w:tcBorders>
            <w:gridSpan w:val="2"/>
          </w:tcPr>
          <w:p>
            <w:pPr>
              <w:spacing w:after="0" w:line="186"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001-42201)).</w:t>
              </w:r>
            </w:hyperlink>
          </w:p>
        </w:tc>
        <w:tc>
          <w:tcPr>
            <w:tcW w:w="10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160" w:type="dxa"/>
            <w:vAlign w:val="bottom"/>
            <w:tcBorders>
              <w:top w:val="single" w:sz="8" w:color="0000FF"/>
            </w:tcBorders>
          </w:tcPr>
          <w:p>
            <w:pPr>
              <w:spacing w:after="0"/>
              <w:rPr>
                <w:sz w:val="16"/>
                <w:szCs w:val="16"/>
                <w:color w:val="auto"/>
              </w:rPr>
            </w:pPr>
          </w:p>
        </w:tc>
        <w:tc>
          <w:tcPr>
            <w:tcW w:w="286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93"/>
        </w:trPr>
        <w:tc>
          <w:tcPr>
            <w:tcW w:w="10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19.1</w:t>
            </w:r>
          </w:p>
        </w:tc>
        <w:tc>
          <w:tcPr>
            <w:tcW w:w="640" w:type="dxa"/>
            <w:vAlign w:val="bottom"/>
            <w:shd w:val="clear" w:color="auto" w:fill="CCEEFF"/>
          </w:tcPr>
          <w:p>
            <w:pPr>
              <w:spacing w:after="0"/>
              <w:rPr>
                <w:sz w:val="16"/>
                <w:szCs w:val="16"/>
                <w:color w:val="auto"/>
              </w:rPr>
            </w:pPr>
          </w:p>
        </w:tc>
        <w:tc>
          <w:tcPr>
            <w:tcW w:w="9540" w:type="dxa"/>
            <w:vAlign w:val="bottom"/>
            <w:gridSpan w:val="15"/>
            <w:shd w:val="clear" w:color="auto" w:fill="CCEEFF"/>
          </w:tcPr>
          <w:p>
            <w:pPr>
              <w:spacing w:after="0" w:line="194" w:lineRule="exact"/>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Summit Midstream Corporation Insider Trading Policy (Incorporated herein by reference to Exhibit 19.1 to SMC's Annual Report on</w:t>
              </w:r>
            </w:hyperlink>
          </w:p>
        </w:tc>
      </w:tr>
      <w:tr>
        <w:trPr>
          <w:trHeight w:val="231"/>
        </w:trPr>
        <w:tc>
          <w:tcPr>
            <w:tcW w:w="10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9160" w:type="dxa"/>
            <w:vAlign w:val="bottom"/>
            <w:tcBorders>
              <w:top w:val="single" w:sz="8" w:color="0000FF"/>
            </w:tcBorders>
            <w:gridSpan w:val="10"/>
            <w:shd w:val="clear" w:color="auto" w:fill="CCEEFF"/>
          </w:tcPr>
          <w:p>
            <w:pPr>
              <w:spacing w:after="0" w:line="186" w:lineRule="exact"/>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color w:val="0000FF"/>
                </w:rPr>
                <w:t>Form 10-K filed March 11, 2025 (Commission File No. 001-42201)).</w:t>
              </w:r>
            </w:hyperlink>
          </w:p>
        </w:tc>
        <w:tc>
          <w:tcPr>
            <w:tcW w:w="380" w:type="dxa"/>
            <w:vAlign w:val="bottom"/>
            <w:tcBorders>
              <w:top w:val="single" w:sz="8" w:color="CCEEFF"/>
            </w:tcBorders>
            <w:gridSpan w:val="5"/>
            <w:shd w:val="clear" w:color="auto" w:fill="CCEEFF"/>
          </w:tcPr>
          <w:p>
            <w:pPr>
              <w:spacing w:after="0"/>
              <w:rPr>
                <w:sz w:val="20"/>
                <w:szCs w:val="20"/>
                <w:color w:val="auto"/>
              </w:rPr>
            </w:pPr>
          </w:p>
        </w:tc>
      </w:tr>
      <w:tr>
        <w:trPr>
          <w:trHeight w:val="193"/>
        </w:trPr>
        <w:tc>
          <w:tcPr>
            <w:tcW w:w="106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21.1</w:t>
            </w:r>
          </w:p>
        </w:tc>
        <w:tc>
          <w:tcPr>
            <w:tcW w:w="640" w:type="dxa"/>
            <w:vAlign w:val="bottom"/>
            <w:tcBorders>
              <w:top w:val="single" w:sz="8" w:color="CCEEFF"/>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rPr>
              <w:t>***</w:t>
            </w:r>
          </w:p>
        </w:tc>
        <w:tc>
          <w:tcPr>
            <w:tcW w:w="4780" w:type="dxa"/>
            <w:vAlign w:val="bottom"/>
            <w:tcBorders>
              <w:top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List of Subsidiaries.</w:t>
            </w:r>
          </w:p>
        </w:tc>
        <w:tc>
          <w:tcPr>
            <w:tcW w:w="4760" w:type="dxa"/>
            <w:vAlign w:val="bottom"/>
            <w:tcBorders>
              <w:top w:val="single" w:sz="8" w:color="CCEEFF"/>
            </w:tcBorders>
            <w:gridSpan w:val="10"/>
          </w:tcPr>
          <w:p>
            <w:pPr>
              <w:spacing w:after="0"/>
              <w:rPr>
                <w:sz w:val="16"/>
                <w:szCs w:val="16"/>
                <w:color w:val="auto"/>
              </w:rPr>
            </w:pP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93"/>
        </w:trPr>
        <w:tc>
          <w:tcPr>
            <w:tcW w:w="10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23.1</w:t>
            </w:r>
          </w:p>
        </w:tc>
        <w:tc>
          <w:tcPr>
            <w:tcW w:w="6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Consent of Deloitte &amp; Touche LLP.</w:t>
            </w:r>
          </w:p>
        </w:tc>
      </w:tr>
      <w:tr>
        <w:trPr>
          <w:trHeight w:val="44"/>
        </w:trPr>
        <w:tc>
          <w:tcPr>
            <w:tcW w:w="10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160" w:type="dxa"/>
            <w:vAlign w:val="bottom"/>
            <w:tcBorders>
              <w:top w:val="single" w:sz="8" w:color="CCEEFF"/>
            </w:tcBorders>
            <w:shd w:val="clear" w:color="auto" w:fill="CCEEFF"/>
          </w:tcPr>
          <w:p>
            <w:pPr>
              <w:spacing w:after="0"/>
              <w:rPr>
                <w:sz w:val="3"/>
                <w:szCs w:val="3"/>
                <w:color w:val="auto"/>
              </w:rPr>
            </w:pPr>
          </w:p>
        </w:tc>
        <w:tc>
          <w:tcPr>
            <w:tcW w:w="28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180"/>
        </w:trPr>
        <w:tc>
          <w:tcPr>
            <w:tcW w:w="106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31.1</w:t>
            </w:r>
          </w:p>
        </w:tc>
        <w:tc>
          <w:tcPr>
            <w:tcW w:w="64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15"/>
          </w:tcPr>
          <w:p>
            <w:pPr>
              <w:spacing w:after="0" w:line="161" w:lineRule="exact"/>
              <w:rPr>
                <w:sz w:val="20"/>
                <w:szCs w:val="20"/>
                <w:color w:val="auto"/>
              </w:rPr>
            </w:pPr>
            <w:r>
              <w:rPr>
                <w:rFonts w:ascii="Times New Roman" w:cs="Times New Roman" w:eastAsia="Times New Roman" w:hAnsi="Times New Roman"/>
                <w:sz w:val="17"/>
                <w:szCs w:val="17"/>
                <w:color w:val="0000FF"/>
              </w:rPr>
              <w:t>Rule 13a-14(a)/15d-14(a) Certification, executed by Heath Deneke, President, Chief Executive Officer and Director.</w:t>
            </w:r>
          </w:p>
        </w:tc>
      </w:tr>
      <w:tr>
        <w:trPr>
          <w:trHeight w:val="57"/>
        </w:trPr>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38"/>
        </w:trPr>
        <w:tc>
          <w:tcPr>
            <w:tcW w:w="106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64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580" w:type="dxa"/>
            <w:vAlign w:val="bottom"/>
            <w:tcBorders>
              <w:bottom w:val="single" w:sz="8" w:color="0000FF"/>
            </w:tcBorders>
            <w:gridSpan w:val="8"/>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Rule 13a-14(a)/15d-14(a) Certification, executed by William J. Mault, Executive Vice President and Chief Financial Officer.</w:t>
            </w:r>
          </w:p>
        </w:tc>
        <w:tc>
          <w:tcPr>
            <w:tcW w:w="960" w:type="dxa"/>
            <w:vAlign w:val="bottom"/>
            <w:tcBorders>
              <w:bottom w:val="single" w:sz="8" w:color="CCEEFF"/>
            </w:tcBorders>
            <w:gridSpan w:val="7"/>
            <w:shd w:val="clear" w:color="auto" w:fill="CCEEFF"/>
          </w:tcPr>
          <w:p>
            <w:pPr>
              <w:spacing w:after="0"/>
              <w:rPr>
                <w:sz w:val="20"/>
                <w:szCs w:val="20"/>
                <w:color w:val="auto"/>
              </w:rPr>
            </w:pPr>
          </w:p>
        </w:tc>
      </w:tr>
      <w:tr>
        <w:trPr>
          <w:trHeight w:val="193"/>
        </w:trPr>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32.1</w:t>
            </w: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w:t>
            </w:r>
          </w:p>
        </w:tc>
        <w:tc>
          <w:tcPr>
            <w:tcW w:w="9220" w:type="dxa"/>
            <w:vAlign w:val="bottom"/>
            <w:tcBorders>
              <w:bottom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7"/>
                <w:szCs w:val="17"/>
                <w:color w:val="0000FF"/>
              </w:rPr>
              <w:t>Certifications required by Rule 13a-14(b) or Rule 15d-14(b) and Section 1350 of Chapter 63 of Title 18 of the United States Code (18</w:t>
            </w:r>
          </w:p>
        </w:tc>
        <w:tc>
          <w:tcPr>
            <w:tcW w:w="320" w:type="dxa"/>
            <w:vAlign w:val="bottom"/>
            <w:gridSpan w:val="2"/>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80" w:type="dxa"/>
            <w:vAlign w:val="bottom"/>
            <w:tcBorders>
              <w:bottom w:val="single" w:sz="8" w:color="0000FF"/>
            </w:tcBorders>
            <w:gridSpan w:val="9"/>
          </w:tcPr>
          <w:p>
            <w:pPr>
              <w:spacing w:after="0" w:line="186" w:lineRule="exact"/>
              <w:rPr>
                <w:sz w:val="20"/>
                <w:szCs w:val="20"/>
                <w:color w:val="auto"/>
              </w:rPr>
            </w:pPr>
            <w:r>
              <w:rPr>
                <w:rFonts w:ascii="Times New Roman" w:cs="Times New Roman" w:eastAsia="Times New Roman" w:hAnsi="Times New Roman"/>
                <w:sz w:val="17"/>
                <w:szCs w:val="17"/>
                <w:color w:val="0000FF"/>
              </w:rPr>
              <w:t>U.S.C. 1350), executed by Heath Deneke, President, Chief Executive Officer and Director, and William J. Mault, Executive Vice</w:t>
            </w:r>
          </w:p>
        </w:tc>
        <w:tc>
          <w:tcPr>
            <w:tcW w:w="660" w:type="dxa"/>
            <w:vAlign w:val="bottom"/>
            <w:gridSpan w:val="6"/>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540" w:type="dxa"/>
            <w:vAlign w:val="bottom"/>
            <w:gridSpan w:val="15"/>
          </w:tcPr>
          <w:p>
            <w:pPr>
              <w:spacing w:after="0" w:line="186" w:lineRule="exact"/>
              <w:rPr>
                <w:sz w:val="20"/>
                <w:szCs w:val="20"/>
                <w:color w:val="auto"/>
              </w:rPr>
            </w:pPr>
            <w:r>
              <w:rPr>
                <w:rFonts w:ascii="Times New Roman" w:cs="Times New Roman" w:eastAsia="Times New Roman" w:hAnsi="Times New Roman"/>
                <w:sz w:val="17"/>
                <w:szCs w:val="17"/>
                <w:color w:val="0000FF"/>
              </w:rPr>
              <w:t>President and Chief Financial Officer.</w:t>
            </w:r>
          </w:p>
        </w:tc>
      </w:tr>
      <w:tr>
        <w:trPr>
          <w:trHeight w:val="44"/>
        </w:trPr>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1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93"/>
        </w:trPr>
        <w:tc>
          <w:tcPr>
            <w:tcW w:w="106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97.1</w:t>
            </w:r>
          </w:p>
        </w:tc>
        <w:tc>
          <w:tcPr>
            <w:tcW w:w="64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w:t>
            </w:r>
          </w:p>
        </w:tc>
        <w:tc>
          <w:tcPr>
            <w:tcW w:w="9180" w:type="dxa"/>
            <w:vAlign w:val="bottom"/>
            <w:tcBorders>
              <w:bottom w:val="single" w:sz="8" w:color="0000FF"/>
            </w:tcBorders>
            <w:gridSpan w:val="11"/>
            <w:shd w:val="clear" w:color="auto" w:fill="CCEEFF"/>
          </w:tcPr>
          <w:p>
            <w:pPr>
              <w:spacing w:after="0" w:line="194" w:lineRule="exact"/>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Summit Midstream Corporation Policy for the Recovery of Erroneously Awarded Compensation (Incorporated herein by reference to</w:t>
              </w:r>
            </w:hyperlink>
          </w:p>
        </w:tc>
        <w:tc>
          <w:tcPr>
            <w:tcW w:w="360" w:type="dxa"/>
            <w:vAlign w:val="bottom"/>
            <w:tcBorders>
              <w:bottom w:val="single" w:sz="8" w:color="CCEEFF"/>
            </w:tcBorders>
            <w:gridSpan w:val="4"/>
            <w:shd w:val="clear" w:color="auto" w:fill="CCEEFF"/>
          </w:tcPr>
          <w:p>
            <w:pPr>
              <w:spacing w:after="0"/>
              <w:rPr>
                <w:sz w:val="16"/>
                <w:szCs w:val="16"/>
                <w:color w:val="auto"/>
              </w:rPr>
            </w:pPr>
          </w:p>
        </w:tc>
      </w:tr>
      <w:tr>
        <w:trPr>
          <w:trHeight w:val="231"/>
        </w:trPr>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640" w:type="dxa"/>
            <w:vAlign w:val="bottom"/>
            <w:tcBorders>
              <w:bottom w:val="single" w:sz="8" w:color="0000FF"/>
            </w:tcBorders>
            <w:gridSpan w:val="6"/>
            <w:shd w:val="clear" w:color="auto" w:fill="CCEEFF"/>
          </w:tcPr>
          <w:p>
            <w:pPr>
              <w:spacing w:after="0" w:line="186" w:lineRule="exact"/>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Exhibit 97.1 to SMC's Annual Report on Form 10-K filed March 11, 2025 (Commission File No. 001-42201)).</w:t>
              </w:r>
            </w:hyperlink>
          </w:p>
        </w:tc>
        <w:tc>
          <w:tcPr>
            <w:tcW w:w="1900" w:type="dxa"/>
            <w:vAlign w:val="bottom"/>
            <w:tcBorders>
              <w:bottom w:val="single" w:sz="8" w:color="CCEEFF"/>
            </w:tcBorders>
            <w:gridSpan w:val="9"/>
            <w:shd w:val="clear" w:color="auto" w:fill="CCEEFF"/>
          </w:tcPr>
          <w:p>
            <w:pPr>
              <w:spacing w:after="0"/>
              <w:rPr>
                <w:sz w:val="20"/>
                <w:szCs w:val="20"/>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w:t>
            </w:r>
          </w:p>
        </w:tc>
      </w:tr>
      <w:tr>
        <w:trPr>
          <w:trHeight w:val="223"/>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5"/>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8"/>
        </w:trPr>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54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5"/>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8"/>
        </w:trPr>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54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5"/>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2"/>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101.PRE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5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r>
        <w:trPr>
          <w:trHeight w:val="25"/>
        </w:trPr>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1700" w:hanging="1265"/>
        <w:spacing w:after="0"/>
        <w:tabs>
          <w:tab w:leader="none" w:pos="17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1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Management contract or compensatory plan or arrangement required to be filed as an exhibit pursuant to Item 15(b) of this report.</w:t>
      </w:r>
    </w:p>
    <w:p>
      <w:pPr>
        <w:spacing w:after="0" w:line="114" w:lineRule="exact"/>
        <w:rPr>
          <w:sz w:val="20"/>
          <w:szCs w:val="20"/>
          <w:color w:val="auto"/>
        </w:rPr>
      </w:pPr>
    </w:p>
    <w:p>
      <w:pPr>
        <w:ind w:right="120" w:firstLine="3"/>
        <w:spacing w:after="0" w:line="287" w:lineRule="auto"/>
        <w:tabs>
          <w:tab w:leader="none" w:pos="12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schedules and exhibits have been omitted pursuant to Item 601(a)(5), Item 601(b)(2) or Item 601(b)(10) of Regulation S-K. The Company agrees to furnish an unredacted, supplemental copy (including any omitted schedule or attachment) to the SEC upon request.</w:t>
      </w:r>
    </w:p>
    <w:p>
      <w:pPr>
        <w:spacing w:after="0" w:line="48" w:lineRule="exact"/>
        <w:rPr>
          <w:sz w:val="20"/>
          <w:szCs w:val="20"/>
          <w:color w:val="auto"/>
        </w:rPr>
      </w:pPr>
    </w:p>
    <w:p>
      <w:pPr>
        <w:jc w:val="both"/>
        <w:ind w:firstLine="3"/>
        <w:spacing w:after="0" w:line="264" w:lineRule="auto"/>
        <w:tabs>
          <w:tab w:leader="none" w:pos="21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6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13"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114" w:lineRule="exact"/>
        <w:rPr>
          <w:sz w:val="20"/>
          <w:szCs w:val="20"/>
          <w:color w:val="auto"/>
        </w:rPr>
      </w:pPr>
    </w:p>
    <w:p>
      <w:pPr>
        <w:ind w:right="8900" w:firstLine="3"/>
        <w:spacing w:after="0" w:line="377" w:lineRule="auto"/>
        <w:tabs>
          <w:tab w:leader="none" w:pos="2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5" w:name="page136"/>
    <w:bookmarkEnd w:id="135"/>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35775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3577590" cy="8255"/>
                    </a:xfrm>
                    <a:prstGeom prst="rect">
                      <a:avLst/>
                    </a:prstGeom>
                    <a:noFill/>
                  </pic:spPr>
                </pic:pic>
              </a:graphicData>
            </a:graphic>
          </wp:anchor>
        </w:drawing>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(Registrant)</w:t>
      </w:r>
    </w:p>
    <w:p>
      <w:pPr>
        <w:spacing w:after="0" w:line="123" w:lineRule="exact"/>
        <w:rPr>
          <w:sz w:val="20"/>
          <w:szCs w:val="20"/>
          <w:color w:val="auto"/>
        </w:rPr>
      </w:pPr>
    </w:p>
    <w:p>
      <w:pPr>
        <w:ind w:left="2260"/>
        <w:spacing w:after="0"/>
        <w:tabs>
          <w:tab w:leader="none" w:pos="5640" w:val="left"/>
        </w:tabs>
        <w:rPr>
          <w:sz w:val="20"/>
          <w:szCs w:val="20"/>
          <w:color w:val="auto"/>
        </w:rPr>
      </w:pPr>
      <w:r>
        <w:rPr>
          <w:rFonts w:ascii="Times New Roman" w:cs="Times New Roman" w:eastAsia="Times New Roman" w:hAnsi="Times New Roman"/>
          <w:sz w:val="17"/>
          <w:szCs w:val="17"/>
          <w:color w:val="auto"/>
        </w:rPr>
        <w:t>March 16, 2026</w:t>
      </w:r>
      <w:r>
        <w:rPr>
          <w:sz w:val="20"/>
          <w:szCs w:val="20"/>
          <w:color w:val="auto"/>
        </w:rPr>
        <w:tab/>
      </w:r>
      <w:r>
        <w:rPr>
          <w:rFonts w:ascii="Times New Roman" w:cs="Times New Roman" w:eastAsia="Times New Roman" w:hAnsi="Times New Roman"/>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19685</wp:posOffset>
            </wp:positionV>
            <wp:extent cx="35775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3577590" cy="8255"/>
                    </a:xfrm>
                    <a:prstGeom prst="rect">
                      <a:avLst/>
                    </a:prstGeom>
                    <a:noFill/>
                  </pic:spPr>
                </pic:pic>
              </a:graphicData>
            </a:graphic>
          </wp:anchor>
        </w:drawing>
      </w:r>
    </w:p>
    <w:p>
      <w:pPr>
        <w:spacing w:after="0" w:line="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William J. Mault, Executive Vice President and Chief Financial Officer</w:t>
      </w:r>
    </w:p>
    <w:p>
      <w:pPr>
        <w:ind w:left="56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18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99" w:right="4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9"/>
        </w:trPr>
        <w:tc>
          <w:tcPr>
            <w:tcW w:w="376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Signature</w:t>
            </w:r>
          </w:p>
        </w:tc>
        <w:tc>
          <w:tcPr>
            <w:tcW w:w="502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Title</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171"/>
        </w:trPr>
        <w:tc>
          <w:tcPr>
            <w:tcW w:w="3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i w:val="1"/>
                <w:iCs w:val="1"/>
                <w:color w:val="auto"/>
              </w:rPr>
              <w:t>/s/ J. HEATH DENEKE</w:t>
            </w:r>
          </w:p>
        </w:tc>
        <w:tc>
          <w:tcPr>
            <w:tcW w:w="5020" w:type="dxa"/>
            <w:vAlign w:val="bottom"/>
          </w:tcPr>
          <w:p>
            <w:pPr>
              <w:ind w:left="480"/>
              <w:spacing w:after="0" w:line="172" w:lineRule="exact"/>
              <w:rPr>
                <w:sz w:val="20"/>
                <w:szCs w:val="20"/>
                <w:color w:val="auto"/>
              </w:rPr>
            </w:pPr>
            <w:r>
              <w:rPr>
                <w:rFonts w:ascii="Times New Roman" w:cs="Times New Roman" w:eastAsia="Times New Roman" w:hAnsi="Times New Roman"/>
                <w:sz w:val="17"/>
                <w:szCs w:val="17"/>
                <w:color w:val="auto"/>
              </w:rPr>
              <w:t>Director, President and Chief Executive Officer (Principal</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vMerge w:val="continue"/>
          </w:tcPr>
          <w:p>
            <w:pPr>
              <w:spacing w:after="0"/>
              <w:rPr>
                <w:sz w:val="20"/>
                <w:szCs w:val="20"/>
                <w:color w:val="auto"/>
              </w:rPr>
            </w:pP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Executive Officer)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 Heath Deneke</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i w:val="1"/>
                <w:iCs w:val="1"/>
                <w:color w:val="auto"/>
              </w:rPr>
              <w:t>/s/ WILLIAM J. MAULT</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vMerge w:val="continue"/>
          </w:tcPr>
          <w:p>
            <w:pPr>
              <w:spacing w:after="0"/>
              <w:rPr>
                <w:sz w:val="20"/>
                <w:szCs w:val="20"/>
                <w:color w:val="auto"/>
              </w:rPr>
            </w:pP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William J. Mault</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i w:val="1"/>
                <w:iCs w:val="1"/>
                <w:color w:val="auto"/>
              </w:rPr>
              <w:t>/s/ MATTHEW B. SICINSKI</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Senior Vice President and Chief Accounting Officer</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vMerge w:val="continue"/>
          </w:tcPr>
          <w:p>
            <w:pPr>
              <w:spacing w:after="0"/>
              <w:rPr>
                <w:sz w:val="20"/>
                <w:szCs w:val="20"/>
                <w:color w:val="auto"/>
              </w:rPr>
            </w:pP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Matthew B. Sicinski</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JAMES J. CLEARY</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James J. Cleary</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JASON H. DOWNIE</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Jason H. Downie</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JAMES E. HERRING, JR.</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James E. Herring, Jr.</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LEE JACOBE</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Lee Jacobe</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STEPHEN M. LIPSCOMB JR.</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Stephen M. Lipscomb Jr.</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ROBERT J. MCNALLY</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Robert J. McNally</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ROMMEL M. OATES</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Rommel M. Oates</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JERRY L. PETERS</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Jerry L. Peters</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i w:val="1"/>
                <w:iCs w:val="1"/>
                <w:color w:val="auto"/>
              </w:rPr>
              <w:t>/s/ ANDREW A. WINSTON</w:t>
            </w:r>
          </w:p>
        </w:tc>
        <w:tc>
          <w:tcPr>
            <w:tcW w:w="50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March 16, 2026</w:t>
            </w:r>
          </w:p>
        </w:tc>
        <w:tc>
          <w:tcPr>
            <w:tcW w:w="0" w:type="dxa"/>
            <w:vAlign w:val="bottom"/>
          </w:tcPr>
          <w:p>
            <w:pPr>
              <w:spacing w:after="0"/>
              <w:rPr>
                <w:sz w:val="1"/>
                <w:szCs w:val="1"/>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Andrew A. Winston</w:t>
            </w:r>
          </w:p>
        </w:tc>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0440"/>
          </w:cols>
          <w:pgMar w:left="320" w:top="1129" w:right="11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820420</wp:posOffset>
            </wp:positionV>
            <wp:extent cx="71386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SUMMIT MIDSTREAM HOLDINGS, LLC</w:t>
      </w: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and</w:t>
      </w: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THE GUARANTORS NAMED HEREIN</w:t>
      </w:r>
    </w:p>
    <w:p>
      <w:pPr>
        <w:spacing w:after="0" w:line="21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______________________________________</w:t>
      </w: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8.625% SENIOR SECURED SECOND LIEN NOTES DUE 2029</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______________________________________</w:t>
      </w:r>
    </w:p>
    <w:p>
      <w:pPr>
        <w:spacing w:after="0" w:line="21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THIRD SUPPLEMENTAL INDENTURE</w:t>
      </w: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DATED AS OF MAY 9, 2025</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2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REGIONS BANK,</w:t>
      </w:r>
    </w:p>
    <w:p>
      <w:pPr>
        <w:spacing w:after="0" w:line="21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Trustee and Collateral Agent</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1009015</wp:posOffset>
            </wp:positionV>
            <wp:extent cx="68059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9719"/>
          </w:cols>
          <w:pgMar w:left="740" w:top="127" w:right="1440" w:bottom="1440" w:gutter="0" w:footer="0" w:header="0"/>
        </w:sectPr>
      </w:pPr>
    </w:p>
    <w:bookmarkStart w:id="138" w:name="page139"/>
    <w:bookmarkEnd w:id="138"/>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This THIRD SUPPLEMENTAL INDENTURE, dated as of May 9, 2025 (this “</w:t>
      </w:r>
      <w:r>
        <w:rPr>
          <w:rFonts w:ascii="Times New Roman" w:cs="Times New Roman" w:eastAsia="Times New Roman" w:hAnsi="Times New Roman"/>
          <w:sz w:val="21"/>
          <w:szCs w:val="21"/>
          <w:i w:val="1"/>
          <w:iCs w:val="1"/>
          <w:color w:val="auto"/>
        </w:rPr>
        <w:t>Supplemental Indenture</w:t>
      </w:r>
      <w:r>
        <w:rPr>
          <w:rFonts w:ascii="Times New Roman" w:cs="Times New Roman" w:eastAsia="Times New Roman" w:hAnsi="Times New Roman"/>
          <w:sz w:val="21"/>
          <w:szCs w:val="21"/>
          <w:color w:val="auto"/>
        </w:rPr>
        <w:t>”), is among Summit Midstream Holdings, LLC, a Delaware limited liability company (the “</w:t>
      </w:r>
      <w:r>
        <w:rPr>
          <w:rFonts w:ascii="Times New Roman" w:cs="Times New Roman" w:eastAsia="Times New Roman" w:hAnsi="Times New Roman"/>
          <w:sz w:val="21"/>
          <w:szCs w:val="21"/>
          <w:i w:val="1"/>
          <w:iCs w:val="1"/>
          <w:color w:val="auto"/>
        </w:rPr>
        <w:t>Issuer</w:t>
      </w:r>
      <w:r>
        <w:rPr>
          <w:rFonts w:ascii="Times New Roman" w:cs="Times New Roman" w:eastAsia="Times New Roman" w:hAnsi="Times New Roman"/>
          <w:sz w:val="21"/>
          <w:szCs w:val="21"/>
          <w:color w:val="auto"/>
        </w:rPr>
        <w:t>”), Moonrise Midstream, LLC, a Delaware limited liability company (“</w:t>
      </w:r>
      <w:r>
        <w:rPr>
          <w:rFonts w:ascii="Times New Roman" w:cs="Times New Roman" w:eastAsia="Times New Roman" w:hAnsi="Times New Roman"/>
          <w:sz w:val="21"/>
          <w:szCs w:val="21"/>
          <w:i w:val="1"/>
          <w:iCs w:val="1"/>
          <w:color w:val="auto"/>
        </w:rPr>
        <w:t>Moonrise</w:t>
      </w:r>
      <w:r>
        <w:rPr>
          <w:rFonts w:ascii="Times New Roman" w:cs="Times New Roman" w:eastAsia="Times New Roman" w:hAnsi="Times New Roman"/>
          <w:sz w:val="21"/>
          <w:szCs w:val="21"/>
          <w:color w:val="auto"/>
        </w:rPr>
        <w:t>”), Mountaineer Midstream Company, LLC, a Delaware limited liability company (“</w:t>
      </w:r>
      <w:r>
        <w:rPr>
          <w:rFonts w:ascii="Times New Roman" w:cs="Times New Roman" w:eastAsia="Times New Roman" w:hAnsi="Times New Roman"/>
          <w:sz w:val="21"/>
          <w:szCs w:val="21"/>
          <w:i w:val="1"/>
          <w:iCs w:val="1"/>
          <w:color w:val="auto"/>
        </w:rPr>
        <w:t>Mountaineer</w:t>
      </w:r>
      <w:r>
        <w:rPr>
          <w:rFonts w:ascii="Times New Roman" w:cs="Times New Roman" w:eastAsia="Times New Roman" w:hAnsi="Times New Roman"/>
          <w:sz w:val="21"/>
          <w:szCs w:val="21"/>
          <w:color w:val="auto"/>
        </w:rPr>
        <w:t>”), Centennial Water Pipelines, LLC, a Delaware limited liability company (“</w:t>
      </w:r>
      <w:r>
        <w:rPr>
          <w:rFonts w:ascii="Times New Roman" w:cs="Times New Roman" w:eastAsia="Times New Roman" w:hAnsi="Times New Roman"/>
          <w:sz w:val="21"/>
          <w:szCs w:val="21"/>
          <w:i w:val="1"/>
          <w:iCs w:val="1"/>
          <w:color w:val="auto"/>
        </w:rPr>
        <w:t>CWP</w:t>
      </w:r>
      <w:r>
        <w:rPr>
          <w:rFonts w:ascii="Times New Roman" w:cs="Times New Roman" w:eastAsia="Times New Roman" w:hAnsi="Times New Roman"/>
          <w:sz w:val="21"/>
          <w:szCs w:val="21"/>
          <w:color w:val="auto"/>
        </w:rPr>
        <w:t>”), Summit Midstream Finance Corp., a Delaware corporation (“</w:t>
      </w:r>
      <w:r>
        <w:rPr>
          <w:rFonts w:ascii="Times New Roman" w:cs="Times New Roman" w:eastAsia="Times New Roman" w:hAnsi="Times New Roman"/>
          <w:sz w:val="21"/>
          <w:szCs w:val="21"/>
          <w:i w:val="1"/>
          <w:iCs w:val="1"/>
          <w:color w:val="auto"/>
        </w:rPr>
        <w:t>Summit Finance</w:t>
      </w:r>
      <w:r>
        <w:rPr>
          <w:rFonts w:ascii="Times New Roman" w:cs="Times New Roman" w:eastAsia="Times New Roman" w:hAnsi="Times New Roman"/>
          <w:sz w:val="21"/>
          <w:szCs w:val="21"/>
          <w:color w:val="auto"/>
        </w:rPr>
        <w:t>” and, together with Moonrise, Mountaineer and CWP, the “</w:t>
      </w:r>
      <w:r>
        <w:rPr>
          <w:rFonts w:ascii="Times New Roman" w:cs="Times New Roman" w:eastAsia="Times New Roman" w:hAnsi="Times New Roman"/>
          <w:sz w:val="21"/>
          <w:szCs w:val="21"/>
          <w:i w:val="1"/>
          <w:iCs w:val="1"/>
          <w:color w:val="auto"/>
        </w:rPr>
        <w:t>Guarantors</w:t>
      </w:r>
      <w:r>
        <w:rPr>
          <w:rFonts w:ascii="Times New Roman" w:cs="Times New Roman" w:eastAsia="Times New Roman" w:hAnsi="Times New Roman"/>
          <w:sz w:val="21"/>
          <w:szCs w:val="21"/>
          <w:color w:val="auto"/>
        </w:rPr>
        <w:t>”), and Regions Bank, as Trustee (in such capacity, the “</w:t>
      </w:r>
      <w:r>
        <w:rPr>
          <w:rFonts w:ascii="Times New Roman" w:cs="Times New Roman" w:eastAsia="Times New Roman" w:hAnsi="Times New Roman"/>
          <w:sz w:val="21"/>
          <w:szCs w:val="21"/>
          <w:i w:val="1"/>
          <w:iCs w:val="1"/>
          <w:color w:val="auto"/>
        </w:rPr>
        <w:t>Trustee</w:t>
      </w:r>
      <w:r>
        <w:rPr>
          <w:rFonts w:ascii="Times New Roman" w:cs="Times New Roman" w:eastAsia="Times New Roman" w:hAnsi="Times New Roman"/>
          <w:sz w:val="21"/>
          <w:szCs w:val="21"/>
          <w:color w:val="auto"/>
        </w:rPr>
        <w:t>”) and as Collateral Agent (in such capacity, the “</w:t>
      </w:r>
      <w:r>
        <w:rPr>
          <w:rFonts w:ascii="Times New Roman" w:cs="Times New Roman" w:eastAsia="Times New Roman" w:hAnsi="Times New Roman"/>
          <w:sz w:val="21"/>
          <w:szCs w:val="21"/>
          <w:i w:val="1"/>
          <w:iCs w:val="1"/>
          <w:color w:val="auto"/>
        </w:rPr>
        <w:t>Collateral Agent</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RECITALS</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WHEREAS, the Issuer, the initial Guarantors, the Trustee and the Collateral Agent entered into an Indenture, dated as of July 26, 2024 (as supplemented by the First Supplemental Indenture, dated as of August 1, 2024, and the Second Supplemental Indenture, dated as of December 4, 2024, the “</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pursuant to which the Issuer has issued $825,000,000 in the aggregate principal amount of 8.625% Senior Secured Second Lien Notes due 2029 (the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619"/>
        <w:spacing w:after="0" w:line="295" w:lineRule="auto"/>
        <w:rPr>
          <w:sz w:val="20"/>
          <w:szCs w:val="20"/>
          <w:color w:val="auto"/>
        </w:rPr>
      </w:pPr>
      <w:r>
        <w:rPr>
          <w:rFonts w:ascii="Times New Roman" w:cs="Times New Roman" w:eastAsia="Times New Roman" w:hAnsi="Times New Roman"/>
          <w:sz w:val="20"/>
          <w:szCs w:val="20"/>
          <w:color w:val="auto"/>
        </w:rPr>
        <w:t>WHEREAS, Section 9.01(x) of the Indenture provides that the Issuer, the Guarantors, the Trustee and the Collateral Agent may amend or supplement the Indenture in order to comply with Section 4.13 thereof, without the consent of the Holders of the Notes; and</w:t>
      </w:r>
    </w:p>
    <w:p>
      <w:pPr>
        <w:spacing w:after="0" w:line="13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WHEREAS, all acts and things prescribed by the Indenture, by law and by the organizational documents of the Issuer, the Guarantors, the Trustee and the Collateral Agent necessary to make this Supplemental Indenture a valid instrument legally binding on the Issuer, the Guarantors, the Trustee and the Collateral Agent, in accordance with its terms, have been duly done and performed;</w:t>
      </w:r>
    </w:p>
    <w:p>
      <w:pPr>
        <w:spacing w:after="0" w:line="16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NOW, THEREFORE, to comply with the provisions of the Indenture and in consideration of the above premises, the Issuer, the Guarantors, the Trustee and the Collateral Agent covenant and agree for the equal and proportionate benefit of the respective Holders of the Notes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1</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Section 1.01. This Supplemental Indenture is supplemental to the Indenture and does and shall be deemed to form a part of, and shall be construed in connection with and as part of, the Indenture for any and all purposes.</w:t>
      </w:r>
    </w:p>
    <w:p>
      <w:pPr>
        <w:spacing w:after="0" w:line="15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Section 1.02. This Supplemental Indenture shall become effective immediately upon its execution and delivery by the Issuer, the Guarantors, the Trustee and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1"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1"/>
          <w:szCs w:val="21"/>
          <w:color w:val="auto"/>
        </w:rPr>
        <w:t>ARTICLE 2</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Section 2.01. From this date, in accordance with Section 4.13 and by executing this Supplemental Indenture, each Guarantor whose signature appears below is subject to the provisions of the Indenture as a Guarantor to the extent provided for in Article 10 thereunder.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3</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Section 3.01. Except as specifically modified herein, the Indenture and the Notes are in all respects ratified and confirmed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and shall remain in full force and effect in accordance with their terms with all capitalized terms used herein without definition having the same respective meanings ascribed to them as in the Indenture.</w:t>
      </w:r>
    </w:p>
    <w:p>
      <w:pPr>
        <w:spacing w:after="0" w:line="18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Section 3.02. Except as otherwise expressly provided herein, no duties, responsibilities or liabilities are assumed, or shall be construed to be assumed, by the Trustee or the Collateral Agent by reason of this Supplemental Indenture. This Supplemental Indenture is executed and accepted by the Trustee and the Collateral Agent subject to all the terms and conditions set forth in the Indenture with the same force and effect as if those terms and conditions were repeated at length herein and made applicable to the Trustee and the Collateral Agent with respect hereto.</w:t>
      </w:r>
    </w:p>
    <w:p>
      <w:pPr>
        <w:spacing w:after="0" w:line="178"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Section 3.03. THIS SUPPLEMENTAL INDENTURE SHALL BE GOVERNED BY, AND CONSTRUED IN ACCORDANCE WITH, THE LAWS OF THE STATE OF NEW YORK.</w:t>
      </w:r>
    </w:p>
    <w:p>
      <w:pPr>
        <w:spacing w:after="0" w:line="14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Section 3.04. The parties may sign any number of copies of this Supplemental Indenture. Each signed copy shall be an original, but all of such executed copies together shall represent the same agreement.</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Section 3.05. In entering into this Supplemental Indenture, the Trustee and the Collateral Agent shall be entitled to the benefit of every provision of the Indenture relating to the conduct or affecting the liability of or affording protection to the Trustee or the Collateral Agent, as applicable, whether or not elsewhere herein so provided. Neither the Trustee nor the Collateral Agent makes any representations as to the validity, execution or sufficiency of this Supplemental Indenture other than as to the validity of its execution and delivery by the Trustee or the Collateral Agent, as applicable. Neither the Trustee nor the Collateral Agent assumes any responsibility for the correctness of the recitals contained herein, which shall be taken as a statement of the Issuer.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140" w:name="page141"/>
    <w:bookmarkEnd w:id="140"/>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to be duly executed, all as of the date first written above.</w:t>
      </w:r>
    </w:p>
    <w:p>
      <w:pPr>
        <w:spacing w:after="0" w:line="36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Summit Midstream Holdings, LLC</w:t>
      </w:r>
    </w:p>
    <w:p>
      <w:pPr>
        <w:spacing w:after="0" w:line="200" w:lineRule="exact"/>
        <w:rPr>
          <w:sz w:val="20"/>
          <w:szCs w:val="20"/>
          <w:color w:val="auto"/>
        </w:rPr>
      </w:pPr>
    </w:p>
    <w:p>
      <w:pPr>
        <w:spacing w:after="0" w:line="255"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William J. Mault</w:t>
      </w:r>
    </w:p>
    <w:p>
      <w:pPr>
        <w:spacing w:after="0" w:line="29" w:lineRule="exact"/>
        <w:rPr>
          <w:sz w:val="20"/>
          <w:szCs w:val="20"/>
          <w:color w:val="auto"/>
        </w:rPr>
      </w:pPr>
    </w:p>
    <w:p>
      <w:pPr>
        <w:ind w:left="3720"/>
        <w:spacing w:after="0"/>
        <w:tabs>
          <w:tab w:leader="none" w:pos="44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J. Mault</w:t>
      </w:r>
    </w:p>
    <w:p>
      <w:pPr>
        <w:spacing w:after="0" w:line="26" w:lineRule="exact"/>
        <w:rPr>
          <w:sz w:val="20"/>
          <w:szCs w:val="20"/>
          <w:color w:val="auto"/>
        </w:rPr>
      </w:pPr>
    </w:p>
    <w:p>
      <w:pPr>
        <w:ind w:left="3720"/>
        <w:spacing w:after="0"/>
        <w:tabs>
          <w:tab w:leader="none" w:pos="4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3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GUARANTORS</w:t>
      </w:r>
    </w:p>
    <w:p>
      <w:pPr>
        <w:spacing w:after="0" w:line="2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Moonrise Midstream, LLC</w:t>
      </w:r>
    </w:p>
    <w:p>
      <w:pPr>
        <w:spacing w:after="0" w:line="200" w:lineRule="exact"/>
        <w:rPr>
          <w:sz w:val="20"/>
          <w:szCs w:val="20"/>
          <w:color w:val="auto"/>
        </w:rPr>
      </w:pPr>
    </w:p>
    <w:p>
      <w:pPr>
        <w:spacing w:after="0" w:line="242"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William J. Mault</w:t>
      </w:r>
    </w:p>
    <w:p>
      <w:pPr>
        <w:spacing w:after="0" w:line="42" w:lineRule="exact"/>
        <w:rPr>
          <w:sz w:val="20"/>
          <w:szCs w:val="20"/>
          <w:color w:val="auto"/>
        </w:rPr>
      </w:pPr>
    </w:p>
    <w:p>
      <w:pPr>
        <w:ind w:left="3720"/>
        <w:spacing w:after="0"/>
        <w:tabs>
          <w:tab w:leader="none" w:pos="44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J. Mault</w:t>
      </w:r>
    </w:p>
    <w:p>
      <w:pPr>
        <w:spacing w:after="0" w:line="25" w:lineRule="exact"/>
        <w:rPr>
          <w:sz w:val="20"/>
          <w:szCs w:val="20"/>
          <w:color w:val="auto"/>
        </w:rPr>
      </w:pPr>
    </w:p>
    <w:p>
      <w:pPr>
        <w:ind w:left="3720"/>
        <w:spacing w:after="0"/>
        <w:tabs>
          <w:tab w:leader="none" w:pos="4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1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Mountaineer Midstream Company, LLC</w:t>
      </w:r>
    </w:p>
    <w:p>
      <w:pPr>
        <w:spacing w:after="0" w:line="200" w:lineRule="exact"/>
        <w:rPr>
          <w:sz w:val="20"/>
          <w:szCs w:val="20"/>
          <w:color w:val="auto"/>
        </w:rPr>
      </w:pPr>
    </w:p>
    <w:p>
      <w:pPr>
        <w:spacing w:after="0" w:line="255"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William J. Mault</w:t>
      </w:r>
    </w:p>
    <w:p>
      <w:pPr>
        <w:spacing w:after="0" w:line="29" w:lineRule="exact"/>
        <w:rPr>
          <w:sz w:val="20"/>
          <w:szCs w:val="20"/>
          <w:color w:val="auto"/>
        </w:rPr>
      </w:pPr>
    </w:p>
    <w:p>
      <w:pPr>
        <w:ind w:left="3720"/>
        <w:spacing w:after="0"/>
        <w:tabs>
          <w:tab w:leader="none" w:pos="44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J. Mault</w:t>
      </w:r>
    </w:p>
    <w:p>
      <w:pPr>
        <w:spacing w:after="0" w:line="26" w:lineRule="exact"/>
        <w:rPr>
          <w:sz w:val="20"/>
          <w:szCs w:val="20"/>
          <w:color w:val="auto"/>
        </w:rPr>
      </w:pPr>
    </w:p>
    <w:p>
      <w:pPr>
        <w:ind w:left="3720"/>
        <w:spacing w:after="0"/>
        <w:tabs>
          <w:tab w:leader="none" w:pos="4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Centennial Water Pipelines, LLC</w:t>
      </w:r>
    </w:p>
    <w:p>
      <w:pPr>
        <w:spacing w:after="0" w:line="200" w:lineRule="exact"/>
        <w:rPr>
          <w:sz w:val="20"/>
          <w:szCs w:val="20"/>
          <w:color w:val="auto"/>
        </w:rPr>
      </w:pPr>
    </w:p>
    <w:p>
      <w:pPr>
        <w:spacing w:after="0" w:line="242"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William J. Mault</w:t>
      </w:r>
    </w:p>
    <w:p>
      <w:pPr>
        <w:spacing w:after="0" w:line="42" w:lineRule="exact"/>
        <w:rPr>
          <w:sz w:val="20"/>
          <w:szCs w:val="20"/>
          <w:color w:val="auto"/>
        </w:rPr>
      </w:pPr>
    </w:p>
    <w:p>
      <w:pPr>
        <w:ind w:left="3720"/>
        <w:spacing w:after="0"/>
        <w:tabs>
          <w:tab w:leader="none" w:pos="44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J. Mault</w:t>
      </w:r>
    </w:p>
    <w:p>
      <w:pPr>
        <w:spacing w:after="0" w:line="25" w:lineRule="exact"/>
        <w:rPr>
          <w:sz w:val="20"/>
          <w:szCs w:val="20"/>
          <w:color w:val="auto"/>
        </w:rPr>
      </w:pPr>
    </w:p>
    <w:p>
      <w:pPr>
        <w:ind w:left="3720"/>
        <w:spacing w:after="0"/>
        <w:tabs>
          <w:tab w:leader="none" w:pos="4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18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Summit Midstream Finance Corp.</w:t>
      </w:r>
    </w:p>
    <w:p>
      <w:pPr>
        <w:spacing w:after="0" w:line="200" w:lineRule="exact"/>
        <w:rPr>
          <w:sz w:val="20"/>
          <w:szCs w:val="20"/>
          <w:color w:val="auto"/>
        </w:rPr>
      </w:pPr>
    </w:p>
    <w:p>
      <w:pPr>
        <w:spacing w:after="0" w:line="242"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William J. Mault</w:t>
      </w:r>
    </w:p>
    <w:p>
      <w:pPr>
        <w:spacing w:after="0" w:line="42" w:lineRule="exact"/>
        <w:rPr>
          <w:sz w:val="20"/>
          <w:szCs w:val="20"/>
          <w:color w:val="auto"/>
        </w:rPr>
      </w:pPr>
    </w:p>
    <w:p>
      <w:pPr>
        <w:ind w:left="3720"/>
        <w:spacing w:after="0"/>
        <w:tabs>
          <w:tab w:leader="none" w:pos="44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William J. Mault</w:t>
      </w:r>
    </w:p>
    <w:p>
      <w:pPr>
        <w:spacing w:after="0" w:line="25" w:lineRule="exact"/>
        <w:rPr>
          <w:sz w:val="20"/>
          <w:szCs w:val="20"/>
          <w:color w:val="auto"/>
        </w:rPr>
      </w:pPr>
    </w:p>
    <w:p>
      <w:pPr>
        <w:ind w:left="3720"/>
        <w:spacing w:after="0"/>
        <w:tabs>
          <w:tab w:leader="none" w:pos="4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Third Supplemental Indenture]</w:t>
      </w:r>
    </w:p>
    <w:p>
      <w:pPr>
        <w:sectPr>
          <w:pgSz w:w="11900" w:h="16838" w:orient="portrait"/>
          <w:cols w:equalWidth="0" w:num="1">
            <w:col w:w="11240"/>
          </w:cols>
          <w:pgMar w:left="320" w:top="1365" w:right="339" w:bottom="1440" w:gutter="0" w:footer="0" w:header="0"/>
        </w:sectPr>
      </w:pPr>
    </w:p>
    <w:bookmarkStart w:id="141" w:name="page142"/>
    <w:bookmarkEnd w:id="141"/>
    <w:p>
      <w:pPr>
        <w:ind w:left="3720"/>
        <w:spacing w:after="0"/>
        <w:rPr>
          <w:sz w:val="20"/>
          <w:szCs w:val="20"/>
          <w:color w:val="auto"/>
        </w:rPr>
      </w:pPr>
      <w:r>
        <w:rPr>
          <w:rFonts w:ascii="Times New Roman" w:cs="Times New Roman" w:eastAsia="Times New Roman" w:hAnsi="Times New Roman"/>
          <w:sz w:val="21"/>
          <w:szCs w:val="21"/>
          <w:color w:val="auto"/>
        </w:rPr>
        <w:t>Regions Bank,</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as Trustee and Collateral Agent</w:t>
      </w:r>
    </w:p>
    <w:p>
      <w:pPr>
        <w:spacing w:after="0" w:line="200" w:lineRule="exact"/>
        <w:rPr>
          <w:sz w:val="20"/>
          <w:szCs w:val="20"/>
          <w:color w:val="auto"/>
        </w:rPr>
      </w:pPr>
    </w:p>
    <w:p>
      <w:pPr>
        <w:spacing w:after="0" w:line="257"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Shawn Bednasek</w:t>
      </w:r>
    </w:p>
    <w:p>
      <w:pPr>
        <w:spacing w:after="0" w:line="42" w:lineRule="exact"/>
        <w:rPr>
          <w:sz w:val="20"/>
          <w:szCs w:val="20"/>
          <w:color w:val="auto"/>
        </w:rPr>
      </w:pPr>
    </w:p>
    <w:p>
      <w:pPr>
        <w:ind w:left="3720"/>
        <w:spacing w:after="0"/>
        <w:tabs>
          <w:tab w:leader="none" w:pos="446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Shawn Bednasek</w:t>
      </w:r>
    </w:p>
    <w:p>
      <w:pPr>
        <w:spacing w:after="0" w:line="25" w:lineRule="exact"/>
        <w:rPr>
          <w:sz w:val="20"/>
          <w:szCs w:val="20"/>
          <w:color w:val="auto"/>
        </w:rPr>
      </w:pPr>
    </w:p>
    <w:p>
      <w:pPr>
        <w:jc w:val="center"/>
        <w:ind w:right="279"/>
        <w:spacing w:after="0"/>
        <w:tabs>
          <w:tab w:leader="none" w:pos="1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Page to Third Supplemental Indenture]</w:t>
      </w:r>
    </w:p>
    <w:p>
      <w:pPr>
        <w:sectPr>
          <w:pgSz w:w="11900" w:h="16838" w:orient="portrait"/>
          <w:cols w:equalWidth="0" w:num="1">
            <w:col w:w="10139"/>
          </w:cols>
          <w:pgMar w:left="320" w:top="1365"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1"/>
          <w:szCs w:val="21"/>
          <w:color w:val="auto"/>
        </w:rPr>
        <w:t>Exhibit 10.15</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487045</wp:posOffset>
            </wp:positionV>
            <wp:extent cx="71386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March 16, 2026</w:t>
      </w:r>
    </w:p>
    <w:p>
      <w:pPr>
        <w:spacing w:after="0" w:line="2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among</w:t>
      </w:r>
    </w:p>
    <w:p>
      <w:pPr>
        <w:spacing w:after="0" w:line="2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SUMMIT PERMIAN TRANSMISSION, LLC,</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color w:val="auto"/>
        </w:rPr>
        <w:t>as Borrower,</w:t>
      </w:r>
    </w:p>
    <w:p>
      <w:pPr>
        <w:spacing w:after="0" w:line="1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EPIC ADMINISTRATION,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Administrative Agent and Collateral Agent,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LENDERS PARTY HERETO FROM TIME TO TIME</w:t>
      </w: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___________________________________________</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NUVEEN ALTERNATIVE ADVISORS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708025</wp:posOffset>
            </wp:positionV>
            <wp:extent cx="71386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THE LOAN IS ISSUED WITH “ORIGINAL ISSUE DISCOUNT” FOR U.S. FEDERAL INCOME TAX PURPOSES. THE (1) ISSUE PRICE, (2) AMOUNT OF ORIGINAL ISSUE DISCOUNT, (3) ISSUE DATE, (4) YIELD TO MATURITY FOR SUCH LOAN, AND (5) ANY OTHER INFORMATION REQUIRED TO BE MADE AVAILABLE BY U.S. TREASURY REGULATIONS MAY BE OBTAINED BY SUBMITTING A WRITTEN REQUEST FOR SUCH INFORMATION TO BORROWER AT THE FOLLOWING ADDRESS: 910 LOUISIANA STREET, SUITE 4200. TEL: [OMITTED]. EMAIL: </w:t>
      </w:r>
      <w:r>
        <w:rPr>
          <w:rFonts w:ascii="Times New Roman" w:cs="Times New Roman" w:eastAsia="Times New Roman" w:hAnsi="Times New Roman"/>
          <w:sz w:val="20"/>
          <w:szCs w:val="20"/>
          <w:b w:val="1"/>
          <w:bCs w:val="1"/>
          <w:color w:val="auto"/>
        </w:rPr>
        <w:t>[OMITTED]</w:t>
      </w:r>
      <w:r>
        <w:rPr>
          <w:rFonts w:ascii="Times New Roman" w:cs="Times New Roman" w:eastAsia="Times New Roman" w:hAnsi="Times New Roman"/>
          <w:sz w:val="19"/>
          <w:szCs w:val="19"/>
          <w:b w:val="1"/>
          <w:bCs w:val="1"/>
          <w:color w:val="auto"/>
        </w:rPr>
        <w:t>. ATTN: BILL MAULT, CHIEF FINANCIAL OFFICER.</w:t>
      </w:r>
    </w:p>
    <w:p>
      <w:pPr>
        <w:sectPr>
          <w:pgSz w:w="11900" w:h="16838" w:orient="portrait"/>
          <w:cols w:equalWidth="0" w:num="1">
            <w:col w:w="11240"/>
          </w:cols>
          <w:pgMar w:left="320" w:top="127" w:right="339" w:bottom="1440" w:gutter="0" w:footer="0" w:header="0"/>
        </w:sectPr>
      </w:pPr>
    </w:p>
    <w:bookmarkStart w:id="143" w:name="page144"/>
    <w:bookmarkEnd w:id="143"/>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40" w:type="dxa"/>
            <w:vAlign w:val="bottom"/>
            <w:gridSpan w:val="14"/>
          </w:tcPr>
          <w:p>
            <w:pPr>
              <w:ind w:left="120"/>
              <w:spacing w:after="0"/>
              <w:rPr>
                <w:sz w:val="20"/>
                <w:szCs w:val="20"/>
                <w:color w:val="auto"/>
              </w:rPr>
            </w:pPr>
            <w:r>
              <w:rPr>
                <w:rFonts w:ascii="Times New Roman" w:cs="Times New Roman" w:eastAsia="Times New Roman" w:hAnsi="Times New Roman"/>
                <w:sz w:val="21"/>
                <w:szCs w:val="21"/>
                <w:b w:val="1"/>
                <w:bCs w:val="1"/>
                <w:color w:val="auto"/>
              </w:rPr>
              <w:t>TABLE OF CONTENTS</w:t>
            </w:r>
          </w:p>
        </w:tc>
      </w:tr>
      <w:tr>
        <w:trPr>
          <w:trHeight w:val="451"/>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ind w:left="1720"/>
              <w:spacing w:after="0"/>
              <w:rPr>
                <w:sz w:val="20"/>
                <w:szCs w:val="20"/>
                <w:color w:val="auto"/>
              </w:rPr>
            </w:pPr>
            <w:r>
              <w:rPr>
                <w:rFonts w:ascii="Times New Roman" w:cs="Times New Roman" w:eastAsia="Times New Roman" w:hAnsi="Times New Roman"/>
                <w:sz w:val="21"/>
                <w:szCs w:val="21"/>
                <w:b w:val="1"/>
                <w:bCs w:val="1"/>
                <w:color w:val="auto"/>
                <w:w w:val="92"/>
              </w:rPr>
              <w:t>Page</w:t>
            </w:r>
          </w:p>
        </w:tc>
      </w:tr>
      <w:tr>
        <w:trPr>
          <w:trHeight w:val="402"/>
        </w:trPr>
        <w:tc>
          <w:tcPr>
            <w:tcW w:w="6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1"/>
                <w:szCs w:val="21"/>
                <w:color w:val="0000FF"/>
                <w:w w:val="93"/>
              </w:rPr>
              <w:t>Section 1.01</w:t>
            </w:r>
          </w:p>
        </w:tc>
        <w:tc>
          <w:tcPr>
            <w:tcW w:w="200" w:type="dxa"/>
            <w:vAlign w:val="bottom"/>
          </w:tcPr>
          <w:p>
            <w:pPr>
              <w:spacing w:after="0"/>
              <w:rPr>
                <w:sz w:val="24"/>
                <w:szCs w:val="24"/>
                <w:color w:val="auto"/>
              </w:rPr>
            </w:pPr>
          </w:p>
        </w:tc>
        <w:tc>
          <w:tcPr>
            <w:tcW w:w="1440" w:type="dxa"/>
            <w:vAlign w:val="bottom"/>
            <w:gridSpan w:val="14"/>
          </w:tcPr>
          <w:p>
            <w:pPr>
              <w:spacing w:after="0"/>
              <w:rPr>
                <w:sz w:val="20"/>
                <w:szCs w:val="20"/>
                <w:color w:val="auto"/>
              </w:rPr>
            </w:pPr>
            <w:r>
              <w:rPr>
                <w:rFonts w:ascii="Times New Roman" w:cs="Times New Roman" w:eastAsia="Times New Roman" w:hAnsi="Times New Roman"/>
                <w:sz w:val="21"/>
                <w:szCs w:val="21"/>
                <w:color w:val="0000FF"/>
              </w:rPr>
              <w:t>Defined Terms</w:t>
            </w:r>
          </w:p>
        </w:tc>
        <w:tc>
          <w:tcPr>
            <w:tcW w:w="1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1.02</w:t>
            </w:r>
          </w:p>
        </w:tc>
        <w:tc>
          <w:tcPr>
            <w:tcW w:w="200" w:type="dxa"/>
            <w:vAlign w:val="bottom"/>
          </w:tcPr>
          <w:p>
            <w:pPr>
              <w:spacing w:after="0"/>
              <w:rPr>
                <w:sz w:val="20"/>
                <w:szCs w:val="20"/>
                <w:color w:val="auto"/>
              </w:rPr>
            </w:pPr>
          </w:p>
        </w:tc>
        <w:tc>
          <w:tcPr>
            <w:tcW w:w="2120" w:type="dxa"/>
            <w:vAlign w:val="bottom"/>
            <w:gridSpan w:val="21"/>
          </w:tcPr>
          <w:p>
            <w:pPr>
              <w:spacing w:after="0" w:line="238" w:lineRule="exact"/>
              <w:rPr>
                <w:sz w:val="20"/>
                <w:szCs w:val="20"/>
                <w:color w:val="auto"/>
              </w:rPr>
            </w:pPr>
            <w:r>
              <w:rPr>
                <w:rFonts w:ascii="Times New Roman" w:cs="Times New Roman" w:eastAsia="Times New Roman" w:hAnsi="Times New Roman"/>
                <w:sz w:val="21"/>
                <w:szCs w:val="21"/>
                <w:color w:val="0000FF"/>
              </w:rPr>
              <w:t>Rules of Interpretation</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1"/>
                <w:szCs w:val="11"/>
                <w:color w:val="auto"/>
                <w:w w:val="71"/>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44"/>
        </w:trPr>
        <w:tc>
          <w:tcPr>
            <w:tcW w:w="3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1"/>
                <w:szCs w:val="21"/>
                <w:color w:val="0000FF"/>
                <w:w w:val="97"/>
              </w:rPr>
              <w:t>Article II The Commitments and Borrowings</w:t>
            </w:r>
          </w:p>
        </w:tc>
        <w:tc>
          <w:tcPr>
            <w:tcW w:w="220" w:type="dxa"/>
            <w:vAlign w:val="bottom"/>
            <w:gridSpan w:val="2"/>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2.01</w:t>
            </w:r>
          </w:p>
        </w:tc>
        <w:tc>
          <w:tcPr>
            <w:tcW w:w="200" w:type="dxa"/>
            <w:vAlign w:val="bottom"/>
          </w:tcPr>
          <w:p>
            <w:pPr>
              <w:spacing w:after="0"/>
              <w:rPr>
                <w:sz w:val="19"/>
                <w:szCs w:val="19"/>
                <w:color w:val="auto"/>
              </w:rPr>
            </w:pPr>
          </w:p>
        </w:tc>
        <w:tc>
          <w:tcPr>
            <w:tcW w:w="9400" w:type="dxa"/>
            <w:vAlign w:val="bottom"/>
            <w:gridSpan w:val="37"/>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Borrowings of Initial Term Loans; Delayed Draw Term Loans; Incremental Term Loans  </w:t>
            </w:r>
            <w:r>
              <w:rPr>
                <w:rFonts w:ascii="Times New Roman" w:cs="Times New Roman" w:eastAsia="Times New Roman" w:hAnsi="Times New Roman"/>
                <w:sz w:val="21"/>
                <w:szCs w:val="21"/>
                <w:color w:val="000000"/>
              </w:rPr>
              <w:t>2</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2.02</w:t>
            </w:r>
          </w:p>
        </w:tc>
        <w:tc>
          <w:tcPr>
            <w:tcW w:w="200" w:type="dxa"/>
            <w:vAlign w:val="bottom"/>
          </w:tcPr>
          <w:p>
            <w:pPr>
              <w:spacing w:after="0"/>
              <w:rPr>
                <w:sz w:val="19"/>
                <w:szCs w:val="19"/>
                <w:color w:val="auto"/>
              </w:rPr>
            </w:pPr>
          </w:p>
        </w:tc>
        <w:tc>
          <w:tcPr>
            <w:tcW w:w="1120" w:type="dxa"/>
            <w:vAlign w:val="bottom"/>
            <w:gridSpan w:val="11"/>
          </w:tcPr>
          <w:p>
            <w:pPr>
              <w:spacing w:after="0" w:line="225" w:lineRule="exact"/>
              <w:rPr>
                <w:sz w:val="20"/>
                <w:szCs w:val="20"/>
                <w:color w:val="auto"/>
              </w:rPr>
            </w:pPr>
            <w:r>
              <w:rPr>
                <w:rFonts w:ascii="Times New Roman" w:cs="Times New Roman" w:eastAsia="Times New Roman" w:hAnsi="Times New Roman"/>
                <w:sz w:val="21"/>
                <w:szCs w:val="21"/>
                <w:color w:val="0000FF"/>
              </w:rPr>
              <w:t>Borrowings</w:t>
            </w:r>
          </w:p>
        </w:tc>
        <w:tc>
          <w:tcPr>
            <w:tcW w:w="1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rPr>
              <w:t>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2.03</w:t>
            </w:r>
          </w:p>
        </w:tc>
        <w:tc>
          <w:tcPr>
            <w:tcW w:w="200" w:type="dxa"/>
            <w:vAlign w:val="bottom"/>
          </w:tcPr>
          <w:p>
            <w:pPr>
              <w:spacing w:after="0"/>
              <w:rPr>
                <w:sz w:val="20"/>
                <w:szCs w:val="20"/>
                <w:color w:val="auto"/>
              </w:rPr>
            </w:pPr>
          </w:p>
        </w:tc>
        <w:tc>
          <w:tcPr>
            <w:tcW w:w="1780" w:type="dxa"/>
            <w:vAlign w:val="bottom"/>
            <w:gridSpan w:val="17"/>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Interest Elections  </w:t>
            </w:r>
            <w:r>
              <w:rPr>
                <w:rFonts w:ascii="Times New Roman" w:cs="Times New Roman" w:eastAsia="Times New Roman" w:hAnsi="Times New Roman"/>
                <w:sz w:val="21"/>
                <w:szCs w:val="21"/>
                <w:color w:val="000000"/>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2.04</w:t>
            </w:r>
          </w:p>
        </w:tc>
        <w:tc>
          <w:tcPr>
            <w:tcW w:w="200" w:type="dxa"/>
            <w:vAlign w:val="bottom"/>
          </w:tcPr>
          <w:p>
            <w:pPr>
              <w:spacing w:after="0"/>
              <w:rPr>
                <w:sz w:val="20"/>
                <w:szCs w:val="20"/>
                <w:color w:val="auto"/>
              </w:rPr>
            </w:pPr>
          </w:p>
        </w:tc>
        <w:tc>
          <w:tcPr>
            <w:tcW w:w="1120" w:type="dxa"/>
            <w:vAlign w:val="bottom"/>
            <w:gridSpan w:val="11"/>
          </w:tcPr>
          <w:p>
            <w:pPr>
              <w:spacing w:after="0" w:line="238" w:lineRule="exact"/>
              <w:rPr>
                <w:sz w:val="20"/>
                <w:szCs w:val="20"/>
                <w:color w:val="auto"/>
              </w:rPr>
            </w:pPr>
            <w:r>
              <w:rPr>
                <w:rFonts w:ascii="Times New Roman" w:cs="Times New Roman" w:eastAsia="Times New Roman" w:hAnsi="Times New Roman"/>
                <w:sz w:val="21"/>
                <w:szCs w:val="21"/>
                <w:color w:val="0000FF"/>
              </w:rPr>
              <w:t>Prepayments</w:t>
            </w:r>
          </w:p>
        </w:tc>
        <w:tc>
          <w:tcPr>
            <w:tcW w:w="320" w:type="dxa"/>
            <w:vAlign w:val="bottom"/>
            <w:gridSpan w:val="3"/>
          </w:tcPr>
          <w:p>
            <w:pPr>
              <w:jc w:val="right"/>
              <w:ind w:right="60"/>
              <w:spacing w:after="0" w:line="238" w:lineRule="exact"/>
              <w:rPr>
                <w:sz w:val="20"/>
                <w:szCs w:val="20"/>
                <w:color w:val="auto"/>
              </w:rPr>
            </w:pPr>
            <w:r>
              <w:rPr>
                <w:rFonts w:ascii="Times New Roman" w:cs="Times New Roman" w:eastAsia="Times New Roman" w:hAnsi="Times New Roman"/>
                <w:sz w:val="21"/>
                <w:szCs w:val="21"/>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2.05</w:t>
            </w:r>
          </w:p>
        </w:tc>
        <w:tc>
          <w:tcPr>
            <w:tcW w:w="200" w:type="dxa"/>
            <w:vAlign w:val="bottom"/>
          </w:tcPr>
          <w:p>
            <w:pPr>
              <w:spacing w:after="0"/>
              <w:rPr>
                <w:sz w:val="19"/>
                <w:szCs w:val="19"/>
                <w:color w:val="auto"/>
              </w:rPr>
            </w:pPr>
          </w:p>
        </w:tc>
        <w:tc>
          <w:tcPr>
            <w:tcW w:w="4580" w:type="dxa"/>
            <w:vAlign w:val="bottom"/>
            <w:gridSpan w:val="32"/>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Termination or Reduction of Commitments  </w:t>
            </w:r>
            <w:r>
              <w:rPr>
                <w:rFonts w:ascii="Times New Roman" w:cs="Times New Roman" w:eastAsia="Times New Roman" w:hAnsi="Times New Roman"/>
                <w:sz w:val="21"/>
                <w:szCs w:val="21"/>
                <w:color w:val="000000"/>
              </w:rPr>
              <w:t>10</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2.06</w:t>
            </w:r>
          </w:p>
        </w:tc>
        <w:tc>
          <w:tcPr>
            <w:tcW w:w="200" w:type="dxa"/>
            <w:vAlign w:val="bottom"/>
          </w:tcPr>
          <w:p>
            <w:pPr>
              <w:spacing w:after="0"/>
              <w:rPr>
                <w:sz w:val="20"/>
                <w:szCs w:val="20"/>
                <w:color w:val="auto"/>
              </w:rPr>
            </w:pPr>
          </w:p>
        </w:tc>
        <w:tc>
          <w:tcPr>
            <w:tcW w:w="1780" w:type="dxa"/>
            <w:vAlign w:val="bottom"/>
            <w:gridSpan w:val="17"/>
          </w:tcPr>
          <w:p>
            <w:pPr>
              <w:spacing w:after="0" w:line="238" w:lineRule="exact"/>
              <w:rPr>
                <w:sz w:val="20"/>
                <w:szCs w:val="20"/>
                <w:color w:val="auto"/>
              </w:rPr>
            </w:pPr>
            <w:r>
              <w:rPr>
                <w:rFonts w:ascii="Times New Roman" w:cs="Times New Roman" w:eastAsia="Times New Roman" w:hAnsi="Times New Roman"/>
                <w:sz w:val="21"/>
                <w:szCs w:val="21"/>
                <w:color w:val="0000FF"/>
              </w:rPr>
              <w:t>Repayment of Loans</w:t>
            </w:r>
          </w:p>
        </w:tc>
        <w:tc>
          <w:tcPr>
            <w:tcW w:w="560" w:type="dxa"/>
            <w:vAlign w:val="bottom"/>
            <w:gridSpan w:val="5"/>
          </w:tcPr>
          <w:p>
            <w:pPr>
              <w:ind w:left="140"/>
              <w:spacing w:after="0" w:line="238" w:lineRule="exact"/>
              <w:rPr>
                <w:sz w:val="20"/>
                <w:szCs w:val="20"/>
                <w:color w:val="auto"/>
              </w:rPr>
            </w:pPr>
            <w:r>
              <w:rPr>
                <w:rFonts w:ascii="Times New Roman" w:cs="Times New Roman" w:eastAsia="Times New Roman" w:hAnsi="Times New Roman"/>
                <w:sz w:val="21"/>
                <w:szCs w:val="21"/>
                <w:color w:val="auto"/>
              </w:rPr>
              <w:t>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2.07</w:t>
            </w:r>
          </w:p>
        </w:tc>
        <w:tc>
          <w:tcPr>
            <w:tcW w:w="200" w:type="dxa"/>
            <w:vAlign w:val="bottom"/>
          </w:tcPr>
          <w:p>
            <w:pPr>
              <w:spacing w:after="0"/>
              <w:rPr>
                <w:sz w:val="19"/>
                <w:szCs w:val="19"/>
                <w:color w:val="auto"/>
              </w:rPr>
            </w:pPr>
          </w:p>
        </w:tc>
        <w:tc>
          <w:tcPr>
            <w:tcW w:w="800" w:type="dxa"/>
            <w:vAlign w:val="bottom"/>
            <w:gridSpan w:val="7"/>
          </w:tcPr>
          <w:p>
            <w:pPr>
              <w:spacing w:after="0" w:line="225" w:lineRule="exact"/>
              <w:rPr>
                <w:sz w:val="20"/>
                <w:szCs w:val="20"/>
                <w:color w:val="auto"/>
              </w:rPr>
            </w:pPr>
            <w:r>
              <w:rPr>
                <w:rFonts w:ascii="Times New Roman" w:cs="Times New Roman" w:eastAsia="Times New Roman" w:hAnsi="Times New Roman"/>
                <w:sz w:val="21"/>
                <w:szCs w:val="21"/>
                <w:color w:val="0000FF"/>
              </w:rPr>
              <w:t>Interest</w:t>
            </w:r>
          </w:p>
        </w:tc>
        <w:tc>
          <w:tcPr>
            <w:tcW w:w="260" w:type="dxa"/>
            <w:vAlign w:val="bottom"/>
            <w:gridSpan w:val="3"/>
          </w:tcPr>
          <w:p>
            <w:pPr>
              <w:jc w:val="right"/>
              <w:ind w:right="40"/>
              <w:spacing w:after="0" w:line="225" w:lineRule="exact"/>
              <w:rPr>
                <w:sz w:val="20"/>
                <w:szCs w:val="20"/>
                <w:color w:val="auto"/>
              </w:rPr>
            </w:pPr>
            <w:r>
              <w:rPr>
                <w:rFonts w:ascii="Times New Roman" w:cs="Times New Roman" w:eastAsia="Times New Roman" w:hAnsi="Times New Roman"/>
                <w:sz w:val="21"/>
                <w:szCs w:val="21"/>
                <w:color w:val="auto"/>
                <w:w w:val="95"/>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2.08</w:t>
            </w:r>
          </w:p>
        </w:tc>
        <w:tc>
          <w:tcPr>
            <w:tcW w:w="200" w:type="dxa"/>
            <w:vAlign w:val="bottom"/>
          </w:tcPr>
          <w:p>
            <w:pPr>
              <w:spacing w:after="0"/>
              <w:rPr>
                <w:sz w:val="20"/>
                <w:szCs w:val="20"/>
                <w:color w:val="auto"/>
              </w:rPr>
            </w:pPr>
          </w:p>
        </w:tc>
        <w:tc>
          <w:tcPr>
            <w:tcW w:w="540" w:type="dxa"/>
            <w:vAlign w:val="bottom"/>
            <w:gridSpan w:val="4"/>
          </w:tcPr>
          <w:p>
            <w:pPr>
              <w:spacing w:after="0" w:line="238" w:lineRule="exact"/>
              <w:rPr>
                <w:sz w:val="20"/>
                <w:szCs w:val="20"/>
                <w:color w:val="auto"/>
              </w:rPr>
            </w:pPr>
            <w:r>
              <w:rPr>
                <w:rFonts w:ascii="Times New Roman" w:cs="Times New Roman" w:eastAsia="Times New Roman" w:hAnsi="Times New Roman"/>
                <w:sz w:val="21"/>
                <w:szCs w:val="21"/>
                <w:color w:val="0000FF"/>
              </w:rPr>
              <w:t>Fees</w:t>
            </w:r>
          </w:p>
        </w:tc>
        <w:tc>
          <w:tcPr>
            <w:tcW w:w="260" w:type="dxa"/>
            <w:vAlign w:val="bottom"/>
            <w:gridSpan w:val="3"/>
          </w:tcPr>
          <w:p>
            <w:pPr>
              <w:jc w:val="right"/>
              <w:spacing w:after="0" w:line="238" w:lineRule="exact"/>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2.09</w:t>
            </w:r>
          </w:p>
        </w:tc>
        <w:tc>
          <w:tcPr>
            <w:tcW w:w="200" w:type="dxa"/>
            <w:vAlign w:val="bottom"/>
          </w:tcPr>
          <w:p>
            <w:pPr>
              <w:spacing w:after="0"/>
              <w:rPr>
                <w:sz w:val="20"/>
                <w:szCs w:val="20"/>
                <w:color w:val="auto"/>
              </w:rPr>
            </w:pPr>
          </w:p>
        </w:tc>
        <w:tc>
          <w:tcPr>
            <w:tcW w:w="2760" w:type="dxa"/>
            <w:vAlign w:val="bottom"/>
            <w:gridSpan w:val="24"/>
          </w:tcPr>
          <w:p>
            <w:pPr>
              <w:spacing w:after="0" w:line="238" w:lineRule="exact"/>
              <w:rPr>
                <w:sz w:val="20"/>
                <w:szCs w:val="20"/>
                <w:color w:val="auto"/>
              </w:rPr>
            </w:pPr>
            <w:r>
              <w:rPr>
                <w:rFonts w:ascii="Times New Roman" w:cs="Times New Roman" w:eastAsia="Times New Roman" w:hAnsi="Times New Roman"/>
                <w:sz w:val="21"/>
                <w:szCs w:val="21"/>
                <w:color w:val="0000FF"/>
                <w:w w:val="97"/>
              </w:rPr>
              <w:t>Computation of Interest and Fees</w:t>
            </w:r>
          </w:p>
        </w:tc>
        <w:tc>
          <w:tcPr>
            <w:tcW w:w="40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13</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2.10</w:t>
            </w:r>
          </w:p>
        </w:tc>
        <w:tc>
          <w:tcPr>
            <w:tcW w:w="200" w:type="dxa"/>
            <w:vAlign w:val="bottom"/>
          </w:tcPr>
          <w:p>
            <w:pPr>
              <w:spacing w:after="0"/>
              <w:rPr>
                <w:sz w:val="19"/>
                <w:szCs w:val="19"/>
                <w:color w:val="auto"/>
              </w:rPr>
            </w:pPr>
          </w:p>
        </w:tc>
        <w:tc>
          <w:tcPr>
            <w:tcW w:w="276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Evidence of Indebtedness  </w:t>
            </w:r>
            <w:r>
              <w:rPr>
                <w:rFonts w:ascii="Times New Roman" w:cs="Times New Roman" w:eastAsia="Times New Roman" w:hAnsi="Times New Roman"/>
                <w:sz w:val="21"/>
                <w:szCs w:val="21"/>
                <w:color w:val="000000"/>
              </w:rPr>
              <w:t>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2.11</w:t>
            </w:r>
          </w:p>
        </w:tc>
        <w:tc>
          <w:tcPr>
            <w:tcW w:w="200" w:type="dxa"/>
            <w:vAlign w:val="bottom"/>
          </w:tcPr>
          <w:p>
            <w:pPr>
              <w:spacing w:after="0"/>
              <w:rPr>
                <w:sz w:val="20"/>
                <w:szCs w:val="20"/>
                <w:color w:val="auto"/>
              </w:rPr>
            </w:pPr>
          </w:p>
        </w:tc>
        <w:tc>
          <w:tcPr>
            <w:tcW w:w="1780" w:type="dxa"/>
            <w:vAlign w:val="bottom"/>
            <w:gridSpan w:val="17"/>
          </w:tcPr>
          <w:p>
            <w:pPr>
              <w:spacing w:after="0" w:line="238" w:lineRule="exact"/>
              <w:rPr>
                <w:sz w:val="20"/>
                <w:szCs w:val="20"/>
                <w:color w:val="auto"/>
              </w:rPr>
            </w:pPr>
            <w:r>
              <w:rPr>
                <w:rFonts w:ascii="Times New Roman" w:cs="Times New Roman" w:eastAsia="Times New Roman" w:hAnsi="Times New Roman"/>
                <w:sz w:val="21"/>
                <w:szCs w:val="21"/>
                <w:color w:val="0000FF"/>
              </w:rPr>
              <w:t>Payments Generally</w:t>
            </w:r>
          </w:p>
        </w:tc>
        <w:tc>
          <w:tcPr>
            <w:tcW w:w="340" w:type="dxa"/>
            <w:vAlign w:val="bottom"/>
            <w:gridSpan w:val="4"/>
          </w:tcPr>
          <w:p>
            <w:pPr>
              <w:jc w:val="right"/>
              <w:ind w:right="40"/>
              <w:spacing w:after="0" w:line="238" w:lineRule="exact"/>
              <w:rPr>
                <w:sz w:val="20"/>
                <w:szCs w:val="20"/>
                <w:color w:val="auto"/>
              </w:rPr>
            </w:pPr>
            <w:r>
              <w:rPr>
                <w:rFonts w:ascii="Times New Roman" w:cs="Times New Roman" w:eastAsia="Times New Roman" w:hAnsi="Times New Roman"/>
                <w:sz w:val="21"/>
                <w:szCs w:val="21"/>
                <w:color w:val="auto"/>
              </w:rPr>
              <w:t>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2.12</w:t>
            </w:r>
          </w:p>
        </w:tc>
        <w:tc>
          <w:tcPr>
            <w:tcW w:w="200" w:type="dxa"/>
            <w:vAlign w:val="bottom"/>
          </w:tcPr>
          <w:p>
            <w:pPr>
              <w:spacing w:after="0"/>
              <w:rPr>
                <w:sz w:val="19"/>
                <w:szCs w:val="19"/>
                <w:color w:val="auto"/>
              </w:rPr>
            </w:pPr>
          </w:p>
        </w:tc>
        <w:tc>
          <w:tcPr>
            <w:tcW w:w="1780" w:type="dxa"/>
            <w:vAlign w:val="bottom"/>
            <w:gridSpan w:val="17"/>
          </w:tcPr>
          <w:p>
            <w:pPr>
              <w:spacing w:after="0" w:line="225" w:lineRule="exact"/>
              <w:rPr>
                <w:sz w:val="20"/>
                <w:szCs w:val="20"/>
                <w:color w:val="auto"/>
              </w:rPr>
            </w:pPr>
            <w:r>
              <w:rPr>
                <w:rFonts w:ascii="Times New Roman" w:cs="Times New Roman" w:eastAsia="Times New Roman" w:hAnsi="Times New Roman"/>
                <w:sz w:val="21"/>
                <w:szCs w:val="21"/>
                <w:color w:val="0000FF"/>
              </w:rPr>
              <w:t>Sharing of Payments</w:t>
            </w:r>
          </w:p>
        </w:tc>
        <w:tc>
          <w:tcPr>
            <w:tcW w:w="56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1"/>
                <w:szCs w:val="21"/>
                <w:color w:val="auto"/>
              </w:rPr>
              <w:t>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2.13</w:t>
            </w:r>
          </w:p>
        </w:tc>
        <w:tc>
          <w:tcPr>
            <w:tcW w:w="200" w:type="dxa"/>
            <w:vAlign w:val="bottom"/>
          </w:tcPr>
          <w:p>
            <w:pPr>
              <w:spacing w:after="0"/>
              <w:rPr>
                <w:sz w:val="20"/>
                <w:szCs w:val="20"/>
                <w:color w:val="auto"/>
              </w:rPr>
            </w:pPr>
          </w:p>
        </w:tc>
        <w:tc>
          <w:tcPr>
            <w:tcW w:w="2120" w:type="dxa"/>
            <w:vAlign w:val="bottom"/>
            <w:gridSpan w:val="21"/>
          </w:tcPr>
          <w:p>
            <w:pPr>
              <w:spacing w:after="0" w:line="238" w:lineRule="exact"/>
              <w:rPr>
                <w:sz w:val="20"/>
                <w:szCs w:val="20"/>
                <w:color w:val="auto"/>
              </w:rPr>
            </w:pPr>
            <w:r>
              <w:rPr>
                <w:rFonts w:ascii="Times New Roman" w:cs="Times New Roman" w:eastAsia="Times New Roman" w:hAnsi="Times New Roman"/>
                <w:sz w:val="21"/>
                <w:szCs w:val="21"/>
                <w:color w:val="0000FF"/>
              </w:rPr>
              <w:t>Incremental Borrowings</w:t>
            </w:r>
          </w:p>
        </w:tc>
        <w:tc>
          <w:tcPr>
            <w:tcW w:w="440" w:type="dxa"/>
            <w:vAlign w:val="bottom"/>
            <w:gridSpan w:val="2"/>
          </w:tcPr>
          <w:p>
            <w:pPr>
              <w:jc w:val="right"/>
              <w:ind w:right="140"/>
              <w:spacing w:after="0" w:line="238" w:lineRule="exact"/>
              <w:rPr>
                <w:sz w:val="20"/>
                <w:szCs w:val="20"/>
                <w:color w:val="auto"/>
              </w:rPr>
            </w:pPr>
            <w:r>
              <w:rPr>
                <w:rFonts w:ascii="Times New Roman" w:cs="Times New Roman" w:eastAsia="Times New Roman" w:hAnsi="Times New Roman"/>
                <w:sz w:val="21"/>
                <w:szCs w:val="21"/>
                <w:color w:val="auto"/>
              </w:rPr>
              <w:t>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2.14</w:t>
            </w:r>
          </w:p>
        </w:tc>
        <w:tc>
          <w:tcPr>
            <w:tcW w:w="200" w:type="dxa"/>
            <w:vAlign w:val="bottom"/>
          </w:tcPr>
          <w:p>
            <w:pPr>
              <w:spacing w:after="0"/>
              <w:rPr>
                <w:sz w:val="19"/>
                <w:szCs w:val="19"/>
                <w:color w:val="auto"/>
              </w:rPr>
            </w:pPr>
          </w:p>
        </w:tc>
        <w:tc>
          <w:tcPr>
            <w:tcW w:w="1120" w:type="dxa"/>
            <w:vAlign w:val="bottom"/>
            <w:gridSpan w:val="11"/>
          </w:tcPr>
          <w:p>
            <w:pPr>
              <w:spacing w:after="0" w:line="225" w:lineRule="exact"/>
              <w:rPr>
                <w:sz w:val="20"/>
                <w:szCs w:val="20"/>
                <w:color w:val="auto"/>
              </w:rPr>
            </w:pPr>
            <w:r>
              <w:rPr>
                <w:rFonts w:ascii="Times New Roman" w:cs="Times New Roman" w:eastAsia="Times New Roman" w:hAnsi="Times New Roman"/>
                <w:sz w:val="21"/>
                <w:szCs w:val="21"/>
                <w:color w:val="0000FF"/>
              </w:rPr>
              <w:t>[Reserved]</w:t>
            </w:r>
          </w:p>
        </w:tc>
        <w:tc>
          <w:tcPr>
            <w:tcW w:w="320" w:type="dxa"/>
            <w:vAlign w:val="bottom"/>
            <w:gridSpan w:val="3"/>
          </w:tcPr>
          <w:p>
            <w:pPr>
              <w:jc w:val="right"/>
              <w:ind w:right="120"/>
              <w:spacing w:after="0" w:line="225" w:lineRule="exact"/>
              <w:rPr>
                <w:sz w:val="20"/>
                <w:szCs w:val="20"/>
                <w:color w:val="auto"/>
              </w:rPr>
            </w:pPr>
            <w:r>
              <w:rPr>
                <w:rFonts w:ascii="Times New Roman" w:cs="Times New Roman" w:eastAsia="Times New Roman" w:hAnsi="Times New Roman"/>
                <w:sz w:val="21"/>
                <w:szCs w:val="21"/>
                <w:color w:val="auto"/>
                <w:w w:val="85"/>
              </w:rPr>
              <w:t>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2.15</w:t>
            </w:r>
          </w:p>
        </w:tc>
        <w:tc>
          <w:tcPr>
            <w:tcW w:w="200" w:type="dxa"/>
            <w:vAlign w:val="bottom"/>
          </w:tcPr>
          <w:p>
            <w:pPr>
              <w:spacing w:after="0"/>
              <w:rPr>
                <w:sz w:val="20"/>
                <w:szCs w:val="20"/>
                <w:color w:val="auto"/>
              </w:rPr>
            </w:pPr>
          </w:p>
        </w:tc>
        <w:tc>
          <w:tcPr>
            <w:tcW w:w="9400" w:type="dxa"/>
            <w:vAlign w:val="bottom"/>
            <w:gridSpan w:val="37"/>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Collateral Accounts, Distribution Account and Equity Contribution Account  </w:t>
            </w:r>
            <w:r>
              <w:rPr>
                <w:rFonts w:ascii="Times New Roman" w:cs="Times New Roman" w:eastAsia="Times New Roman" w:hAnsi="Times New Roman"/>
                <w:sz w:val="21"/>
                <w:szCs w:val="21"/>
                <w:color w:val="000000"/>
              </w:rPr>
              <w:t>21</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2.16</w:t>
            </w:r>
          </w:p>
        </w:tc>
        <w:tc>
          <w:tcPr>
            <w:tcW w:w="200" w:type="dxa"/>
            <w:vAlign w:val="bottom"/>
          </w:tcPr>
          <w:p>
            <w:pPr>
              <w:spacing w:after="0"/>
              <w:rPr>
                <w:sz w:val="20"/>
                <w:szCs w:val="20"/>
                <w:color w:val="auto"/>
              </w:rPr>
            </w:pPr>
          </w:p>
        </w:tc>
        <w:tc>
          <w:tcPr>
            <w:tcW w:w="1780" w:type="dxa"/>
            <w:vAlign w:val="bottom"/>
            <w:gridSpan w:val="17"/>
          </w:tcPr>
          <w:p>
            <w:pPr>
              <w:spacing w:after="0" w:line="238" w:lineRule="exact"/>
              <w:rPr>
                <w:sz w:val="20"/>
                <w:szCs w:val="20"/>
                <w:color w:val="auto"/>
              </w:rPr>
            </w:pPr>
            <w:r>
              <w:rPr>
                <w:rFonts w:ascii="Times New Roman" w:cs="Times New Roman" w:eastAsia="Times New Roman" w:hAnsi="Times New Roman"/>
                <w:sz w:val="21"/>
                <w:szCs w:val="21"/>
                <w:color w:val="0000FF"/>
              </w:rPr>
              <w:t>Defaulting Lenders</w:t>
            </w:r>
          </w:p>
        </w:tc>
        <w:tc>
          <w:tcPr>
            <w:tcW w:w="340" w:type="dxa"/>
            <w:vAlign w:val="bottom"/>
            <w:gridSpan w:val="4"/>
          </w:tcPr>
          <w:p>
            <w:pPr>
              <w:jc w:val="right"/>
              <w:ind w:right="100"/>
              <w:spacing w:after="0" w:line="238" w:lineRule="exact"/>
              <w:rPr>
                <w:sz w:val="20"/>
                <w:szCs w:val="20"/>
                <w:color w:val="auto"/>
              </w:rPr>
            </w:pPr>
            <w:r>
              <w:rPr>
                <w:rFonts w:ascii="Times New Roman" w:cs="Times New Roman" w:eastAsia="Times New Roman" w:hAnsi="Times New Roman"/>
                <w:sz w:val="21"/>
                <w:szCs w:val="21"/>
                <w:color w:val="auto"/>
              </w:rPr>
              <w:t>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1"/>
        </w:trPr>
        <w:tc>
          <w:tcPr>
            <w:tcW w:w="5000" w:type="dxa"/>
            <w:vAlign w:val="bottom"/>
            <w:gridSpan w:val="31"/>
          </w:tcPr>
          <w:p>
            <w:pPr>
              <w:spacing w:after="0"/>
              <w:rPr>
                <w:sz w:val="20"/>
                <w:szCs w:val="20"/>
                <w:color w:val="auto"/>
              </w:rPr>
            </w:pPr>
            <w:r>
              <w:rPr>
                <w:rFonts w:ascii="Times New Roman" w:cs="Times New Roman" w:eastAsia="Times New Roman" w:hAnsi="Times New Roman"/>
                <w:sz w:val="21"/>
                <w:szCs w:val="21"/>
                <w:color w:val="0000FF"/>
              </w:rPr>
              <w:t>Article III Taxes, Increased Costs Protection and Illegality</w:t>
            </w:r>
          </w:p>
        </w:tc>
        <w:tc>
          <w:tcPr>
            <w:tcW w:w="42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95"/>
              </w:rPr>
              <w:t>26</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5"/>
        </w:trPr>
        <w:tc>
          <w:tcPr>
            <w:tcW w:w="62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3.01</w:t>
            </w:r>
          </w:p>
        </w:tc>
        <w:tc>
          <w:tcPr>
            <w:tcW w:w="2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gridSpan w:val="4"/>
          </w:tcPr>
          <w:p>
            <w:pPr>
              <w:spacing w:after="0" w:line="225" w:lineRule="exact"/>
              <w:rPr>
                <w:sz w:val="20"/>
                <w:szCs w:val="20"/>
                <w:color w:val="auto"/>
              </w:rPr>
            </w:pPr>
            <w:r>
              <w:rPr>
                <w:rFonts w:ascii="Times New Roman" w:cs="Times New Roman" w:eastAsia="Times New Roman" w:hAnsi="Times New Roman"/>
                <w:sz w:val="21"/>
                <w:szCs w:val="21"/>
                <w:color w:val="0000FF"/>
              </w:rPr>
              <w:t>Taxes</w:t>
            </w:r>
          </w:p>
        </w:tc>
        <w:tc>
          <w:tcPr>
            <w:tcW w:w="360" w:type="dxa"/>
            <w:vAlign w:val="bottom"/>
            <w:tcBorders>
              <w:top w:val="single" w:sz="8" w:color="0000FF"/>
            </w:tcBorders>
            <w:gridSpan w:val="4"/>
          </w:tcPr>
          <w:p>
            <w:pPr>
              <w:jc w:val="right"/>
              <w:spacing w:after="0" w:line="225" w:lineRule="exact"/>
              <w:rPr>
                <w:sz w:val="20"/>
                <w:szCs w:val="20"/>
                <w:color w:val="auto"/>
              </w:rPr>
            </w:pPr>
            <w:r>
              <w:rPr>
                <w:rFonts w:ascii="Times New Roman" w:cs="Times New Roman" w:eastAsia="Times New Roman" w:hAnsi="Times New Roman"/>
                <w:sz w:val="21"/>
                <w:szCs w:val="21"/>
                <w:color w:val="auto"/>
              </w:rPr>
              <w:t>26</w:t>
            </w: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3.02</w:t>
            </w:r>
          </w:p>
        </w:tc>
        <w:tc>
          <w:tcPr>
            <w:tcW w:w="200" w:type="dxa"/>
            <w:vAlign w:val="bottom"/>
          </w:tcPr>
          <w:p>
            <w:pPr>
              <w:spacing w:after="0"/>
              <w:rPr>
                <w:sz w:val="20"/>
                <w:szCs w:val="20"/>
                <w:color w:val="auto"/>
              </w:rPr>
            </w:pPr>
          </w:p>
        </w:tc>
        <w:tc>
          <w:tcPr>
            <w:tcW w:w="800" w:type="dxa"/>
            <w:vAlign w:val="bottom"/>
            <w:gridSpan w:val="7"/>
          </w:tcPr>
          <w:p>
            <w:pPr>
              <w:spacing w:after="0" w:line="238" w:lineRule="exact"/>
              <w:rPr>
                <w:sz w:val="20"/>
                <w:szCs w:val="20"/>
                <w:color w:val="auto"/>
              </w:rPr>
            </w:pPr>
            <w:r>
              <w:rPr>
                <w:rFonts w:ascii="Times New Roman" w:cs="Times New Roman" w:eastAsia="Times New Roman" w:hAnsi="Times New Roman"/>
                <w:sz w:val="21"/>
                <w:szCs w:val="21"/>
                <w:color w:val="0000FF"/>
              </w:rPr>
              <w:t>Illegality</w:t>
            </w:r>
          </w:p>
        </w:tc>
        <w:tc>
          <w:tcPr>
            <w:tcW w:w="440" w:type="dxa"/>
            <w:vAlign w:val="bottom"/>
            <w:gridSpan w:val="5"/>
          </w:tcPr>
          <w:p>
            <w:pPr>
              <w:jc w:val="right"/>
              <w:spacing w:after="0" w:line="238" w:lineRule="exact"/>
              <w:rPr>
                <w:sz w:val="20"/>
                <w:szCs w:val="20"/>
                <w:color w:val="auto"/>
              </w:rPr>
            </w:pPr>
            <w:r>
              <w:rPr>
                <w:rFonts w:ascii="Times New Roman" w:cs="Times New Roman" w:eastAsia="Times New Roman" w:hAnsi="Times New Roman"/>
                <w:sz w:val="21"/>
                <w:szCs w:val="21"/>
                <w:color w:val="auto"/>
              </w:rPr>
              <w:t>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3.03</w:t>
            </w:r>
          </w:p>
        </w:tc>
        <w:tc>
          <w:tcPr>
            <w:tcW w:w="200" w:type="dxa"/>
            <w:vAlign w:val="bottom"/>
          </w:tcPr>
          <w:p>
            <w:pPr>
              <w:spacing w:after="0"/>
              <w:rPr>
                <w:sz w:val="20"/>
                <w:szCs w:val="20"/>
                <w:color w:val="auto"/>
              </w:rPr>
            </w:pPr>
          </w:p>
        </w:tc>
        <w:tc>
          <w:tcPr>
            <w:tcW w:w="2760" w:type="dxa"/>
            <w:vAlign w:val="bottom"/>
            <w:gridSpan w:val="24"/>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Inability to Determine Rates  </w:t>
            </w:r>
            <w:r>
              <w:rPr>
                <w:rFonts w:ascii="Times New Roman" w:cs="Times New Roman" w:eastAsia="Times New Roman" w:hAnsi="Times New Roman"/>
                <w:sz w:val="21"/>
                <w:szCs w:val="21"/>
                <w:color w:val="000000"/>
              </w:rPr>
              <w:t>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3.04</w:t>
            </w:r>
          </w:p>
        </w:tc>
        <w:tc>
          <w:tcPr>
            <w:tcW w:w="200" w:type="dxa"/>
            <w:vAlign w:val="bottom"/>
          </w:tcPr>
          <w:p>
            <w:pPr>
              <w:spacing w:after="0"/>
              <w:rPr>
                <w:sz w:val="19"/>
                <w:szCs w:val="19"/>
                <w:color w:val="auto"/>
              </w:rPr>
            </w:pPr>
          </w:p>
        </w:tc>
        <w:tc>
          <w:tcPr>
            <w:tcW w:w="9400" w:type="dxa"/>
            <w:vAlign w:val="bottom"/>
            <w:gridSpan w:val="37"/>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Increased Cost and Reduced Return; Capital Adequacy; Reserves on SOFR Loans  </w:t>
            </w:r>
            <w:r>
              <w:rPr>
                <w:rFonts w:ascii="Times New Roman" w:cs="Times New Roman" w:eastAsia="Times New Roman" w:hAnsi="Times New Roman"/>
                <w:sz w:val="21"/>
                <w:szCs w:val="21"/>
                <w:color w:val="000000"/>
              </w:rPr>
              <w:t>33</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3.05</w:t>
            </w:r>
          </w:p>
        </w:tc>
        <w:tc>
          <w:tcPr>
            <w:tcW w:w="200" w:type="dxa"/>
            <w:vAlign w:val="bottom"/>
          </w:tcPr>
          <w:p>
            <w:pPr>
              <w:spacing w:after="0"/>
              <w:rPr>
                <w:sz w:val="20"/>
                <w:szCs w:val="20"/>
                <w:color w:val="auto"/>
              </w:rPr>
            </w:pPr>
          </w:p>
        </w:tc>
        <w:tc>
          <w:tcPr>
            <w:tcW w:w="1440" w:type="dxa"/>
            <w:vAlign w:val="bottom"/>
            <w:gridSpan w:val="14"/>
          </w:tcPr>
          <w:p>
            <w:pPr>
              <w:spacing w:after="0" w:line="238" w:lineRule="exact"/>
              <w:rPr>
                <w:sz w:val="20"/>
                <w:szCs w:val="20"/>
                <w:color w:val="auto"/>
              </w:rPr>
            </w:pPr>
            <w:r>
              <w:rPr>
                <w:rFonts w:ascii="Times New Roman" w:cs="Times New Roman" w:eastAsia="Times New Roman" w:hAnsi="Times New Roman"/>
                <w:sz w:val="21"/>
                <w:szCs w:val="21"/>
                <w:color w:val="0000FF"/>
              </w:rPr>
              <w:t>Funding Losses</w:t>
            </w:r>
          </w:p>
        </w:tc>
        <w:tc>
          <w:tcPr>
            <w:tcW w:w="280" w:type="dxa"/>
            <w:vAlign w:val="bottom"/>
            <w:gridSpan w:val="2"/>
          </w:tcPr>
          <w:p>
            <w:pPr>
              <w:jc w:val="right"/>
              <w:spacing w:after="0" w:line="238" w:lineRule="exact"/>
              <w:rPr>
                <w:sz w:val="20"/>
                <w:szCs w:val="20"/>
                <w:color w:val="auto"/>
              </w:rPr>
            </w:pPr>
            <w:r>
              <w:rPr>
                <w:rFonts w:ascii="Times New Roman" w:cs="Times New Roman" w:eastAsia="Times New Roman" w:hAnsi="Times New Roman"/>
                <w:sz w:val="21"/>
                <w:szCs w:val="21"/>
                <w:color w:val="auto"/>
              </w:rPr>
              <w:t>34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3.06</w:t>
            </w:r>
          </w:p>
        </w:tc>
        <w:tc>
          <w:tcPr>
            <w:tcW w:w="200" w:type="dxa"/>
            <w:vAlign w:val="bottom"/>
          </w:tcPr>
          <w:p>
            <w:pPr>
              <w:spacing w:after="0"/>
              <w:rPr>
                <w:sz w:val="19"/>
                <w:szCs w:val="19"/>
                <w:color w:val="auto"/>
              </w:rPr>
            </w:pPr>
          </w:p>
        </w:tc>
        <w:tc>
          <w:tcPr>
            <w:tcW w:w="4580" w:type="dxa"/>
            <w:vAlign w:val="bottom"/>
            <w:gridSpan w:val="32"/>
          </w:tcPr>
          <w:p>
            <w:pPr>
              <w:spacing w:after="0" w:line="225" w:lineRule="exact"/>
              <w:rPr>
                <w:sz w:val="20"/>
                <w:szCs w:val="20"/>
                <w:color w:val="auto"/>
              </w:rPr>
            </w:pPr>
            <w:r>
              <w:rPr>
                <w:rFonts w:ascii="Times New Roman" w:cs="Times New Roman" w:eastAsia="Times New Roman" w:hAnsi="Times New Roman"/>
                <w:sz w:val="21"/>
                <w:szCs w:val="21"/>
                <w:color w:val="0000FF"/>
              </w:rPr>
              <w:t>Matters Applicable to All Requests for Compensation</w:t>
            </w:r>
          </w:p>
        </w:tc>
        <w:tc>
          <w:tcPr>
            <w:tcW w:w="36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34</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940" w:type="dxa"/>
            <w:vAlign w:val="bottom"/>
            <w:tcBorders>
              <w:left w:val="single" w:sz="8" w:color="0000FF"/>
            </w:tcBorders>
            <w:gridSpan w:val="8"/>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3.07</w:t>
            </w:r>
          </w:p>
        </w:tc>
        <w:tc>
          <w:tcPr>
            <w:tcW w:w="200" w:type="dxa"/>
            <w:vAlign w:val="bottom"/>
          </w:tcPr>
          <w:p>
            <w:pPr>
              <w:spacing w:after="0"/>
              <w:rPr>
                <w:sz w:val="20"/>
                <w:szCs w:val="20"/>
                <w:color w:val="auto"/>
              </w:rPr>
            </w:pPr>
          </w:p>
        </w:tc>
        <w:tc>
          <w:tcPr>
            <w:tcW w:w="4580" w:type="dxa"/>
            <w:vAlign w:val="bottom"/>
            <w:gridSpan w:val="32"/>
          </w:tcPr>
          <w:p>
            <w:pPr>
              <w:spacing w:after="0" w:line="238" w:lineRule="exact"/>
              <w:rPr>
                <w:sz w:val="20"/>
                <w:szCs w:val="20"/>
                <w:color w:val="auto"/>
              </w:rPr>
            </w:pPr>
            <w:r>
              <w:rPr>
                <w:rFonts w:ascii="Times New Roman" w:cs="Times New Roman" w:eastAsia="Times New Roman" w:hAnsi="Times New Roman"/>
                <w:sz w:val="21"/>
                <w:szCs w:val="21"/>
                <w:color w:val="0000FF"/>
              </w:rPr>
              <w:t>Replacement of Lenders under Certain Circumstances</w:t>
            </w:r>
          </w:p>
        </w:tc>
        <w:tc>
          <w:tcPr>
            <w:tcW w:w="36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35</w:t>
            </w: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3.08</w:t>
            </w:r>
          </w:p>
        </w:tc>
        <w:tc>
          <w:tcPr>
            <w:tcW w:w="200" w:type="dxa"/>
            <w:vAlign w:val="bottom"/>
          </w:tcPr>
          <w:p>
            <w:pPr>
              <w:spacing w:after="0"/>
              <w:rPr>
                <w:sz w:val="20"/>
                <w:szCs w:val="20"/>
                <w:color w:val="auto"/>
              </w:rPr>
            </w:pPr>
          </w:p>
        </w:tc>
        <w:tc>
          <w:tcPr>
            <w:tcW w:w="800" w:type="dxa"/>
            <w:vAlign w:val="bottom"/>
            <w:gridSpan w:val="7"/>
          </w:tcPr>
          <w:p>
            <w:pPr>
              <w:spacing w:after="0" w:line="238" w:lineRule="exact"/>
              <w:rPr>
                <w:sz w:val="20"/>
                <w:szCs w:val="20"/>
                <w:color w:val="auto"/>
              </w:rPr>
            </w:pPr>
            <w:r>
              <w:rPr>
                <w:rFonts w:ascii="Times New Roman" w:cs="Times New Roman" w:eastAsia="Times New Roman" w:hAnsi="Times New Roman"/>
                <w:sz w:val="21"/>
                <w:szCs w:val="21"/>
                <w:color w:val="0000FF"/>
              </w:rPr>
              <w:t>Survival</w:t>
            </w:r>
          </w:p>
        </w:tc>
        <w:tc>
          <w:tcPr>
            <w:tcW w:w="32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37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1"/>
        </w:trPr>
        <w:tc>
          <w:tcPr>
            <w:tcW w:w="460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Article IV Conditions Precedent to Credit Extensions</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w w:val="95"/>
              </w:rPr>
              <w:t>37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15"/>
            <w:shd w:val="clear" w:color="auto" w:fill="0000FF"/>
          </w:tcPr>
          <w:p>
            <w:pPr>
              <w:spacing w:after="0" w:line="20" w:lineRule="exact"/>
              <w:rPr>
                <w:sz w:val="1"/>
                <w:szCs w:val="1"/>
                <w:color w:val="auto"/>
              </w:rPr>
            </w:pPr>
          </w:p>
        </w:tc>
        <w:tc>
          <w:tcPr>
            <w:tcW w:w="940" w:type="dxa"/>
            <w:vAlign w:val="bottom"/>
            <w:tcBorders>
              <w:left w:val="single" w:sz="8" w:color="0000FF"/>
            </w:tcBorders>
            <w:gridSpan w:val="8"/>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4.01</w:t>
            </w:r>
          </w:p>
        </w:tc>
        <w:tc>
          <w:tcPr>
            <w:tcW w:w="200" w:type="dxa"/>
            <w:vAlign w:val="bottom"/>
          </w:tcPr>
          <w:p>
            <w:pPr>
              <w:spacing w:after="0"/>
              <w:rPr>
                <w:sz w:val="19"/>
                <w:szCs w:val="19"/>
                <w:color w:val="auto"/>
              </w:rPr>
            </w:pPr>
          </w:p>
        </w:tc>
        <w:tc>
          <w:tcPr>
            <w:tcW w:w="4580" w:type="dxa"/>
            <w:vAlign w:val="bottom"/>
            <w:gridSpan w:val="32"/>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Conditions to the Occurrence of the Closing Date  </w:t>
            </w:r>
            <w:r>
              <w:rPr>
                <w:rFonts w:ascii="Times New Roman" w:cs="Times New Roman" w:eastAsia="Times New Roman" w:hAnsi="Times New Roman"/>
                <w:sz w:val="21"/>
                <w:szCs w:val="21"/>
                <w:color w:val="000000"/>
              </w:rPr>
              <w:t>37</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FF"/>
            </w:tcBorders>
            <w:gridSpan w:val="14"/>
            <w:shd w:val="clear" w:color="auto" w:fill="0000FF"/>
          </w:tcPr>
          <w:p>
            <w:pPr>
              <w:spacing w:after="0" w:line="20" w:lineRule="exact"/>
              <w:rPr>
                <w:sz w:val="1"/>
                <w:szCs w:val="1"/>
                <w:color w:val="auto"/>
              </w:rPr>
            </w:pPr>
          </w:p>
        </w:tc>
        <w:tc>
          <w:tcPr>
            <w:tcW w:w="1340" w:type="dxa"/>
            <w:vAlign w:val="bottom"/>
            <w:tcBorders>
              <w:left w:val="single" w:sz="8" w:color="0000FF"/>
            </w:tcBorders>
            <w:gridSpan w:val="10"/>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4.02</w:t>
            </w:r>
          </w:p>
        </w:tc>
        <w:tc>
          <w:tcPr>
            <w:tcW w:w="200" w:type="dxa"/>
            <w:vAlign w:val="bottom"/>
          </w:tcPr>
          <w:p>
            <w:pPr>
              <w:spacing w:after="0"/>
              <w:rPr>
                <w:sz w:val="20"/>
                <w:szCs w:val="20"/>
                <w:color w:val="auto"/>
              </w:rPr>
            </w:pPr>
          </w:p>
        </w:tc>
        <w:tc>
          <w:tcPr>
            <w:tcW w:w="316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w w:val="99"/>
              </w:rPr>
              <w:t>Conditions to Initial Credit Extension</w:t>
            </w:r>
          </w:p>
        </w:tc>
        <w:tc>
          <w:tcPr>
            <w:tcW w:w="42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39</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right w:val="single" w:sz="8" w:color="0000FF"/>
            </w:tcBorders>
            <w:gridSpan w:val="14"/>
            <w:shd w:val="clear" w:color="auto" w:fill="0000FF"/>
          </w:tcPr>
          <w:p>
            <w:pPr>
              <w:spacing w:after="0" w:line="20" w:lineRule="exact"/>
              <w:rPr>
                <w:sz w:val="1"/>
                <w:szCs w:val="1"/>
                <w:color w:val="auto"/>
              </w:rPr>
            </w:pPr>
          </w:p>
        </w:tc>
        <w:tc>
          <w:tcPr>
            <w:tcW w:w="1340" w:type="dxa"/>
            <w:vAlign w:val="bottom"/>
            <w:tcBorders>
              <w:left w:val="single" w:sz="8" w:color="0000FF"/>
            </w:tcBorders>
            <w:gridSpan w:val="10"/>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4.03</w:t>
            </w:r>
          </w:p>
        </w:tc>
        <w:tc>
          <w:tcPr>
            <w:tcW w:w="200" w:type="dxa"/>
            <w:vAlign w:val="bottom"/>
          </w:tcPr>
          <w:p>
            <w:pPr>
              <w:spacing w:after="0"/>
              <w:rPr>
                <w:sz w:val="20"/>
                <w:szCs w:val="20"/>
                <w:color w:val="auto"/>
              </w:rPr>
            </w:pPr>
          </w:p>
        </w:tc>
        <w:tc>
          <w:tcPr>
            <w:tcW w:w="316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rPr>
              <w:t>Conditions to All Credit Extensions</w:t>
            </w:r>
          </w:p>
        </w:tc>
        <w:tc>
          <w:tcPr>
            <w:tcW w:w="420" w:type="dxa"/>
            <w:vAlign w:val="bottom"/>
          </w:tcPr>
          <w:p>
            <w:pPr>
              <w:jc w:val="right"/>
              <w:ind w:right="97"/>
              <w:spacing w:after="0" w:line="238" w:lineRule="exact"/>
              <w:rPr>
                <w:sz w:val="20"/>
                <w:szCs w:val="20"/>
                <w:color w:val="auto"/>
              </w:rPr>
            </w:pPr>
            <w:r>
              <w:rPr>
                <w:rFonts w:ascii="Times New Roman" w:cs="Times New Roman" w:eastAsia="Times New Roman" w:hAnsi="Times New Roman"/>
                <w:sz w:val="21"/>
                <w:szCs w:val="21"/>
                <w:color w:val="auto"/>
                <w:w w:val="95"/>
              </w:rPr>
              <w:t>40</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0" w:type="dxa"/>
            <w:vAlign w:val="bottom"/>
            <w:tcBorders>
              <w:right w:val="single" w:sz="8" w:color="0000FF"/>
            </w:tcBorders>
            <w:gridSpan w:val="1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1"/>
        </w:trPr>
        <w:tc>
          <w:tcPr>
            <w:tcW w:w="3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1"/>
                <w:szCs w:val="21"/>
                <w:color w:val="0000FF"/>
                <w:w w:val="97"/>
              </w:rPr>
              <w:t>Article V Representations and Warranties</w:t>
            </w:r>
          </w:p>
        </w:tc>
        <w:tc>
          <w:tcPr>
            <w:tcW w:w="160" w:type="dxa"/>
            <w:vAlign w:val="bottom"/>
            <w:gridSpan w:val="2"/>
          </w:tcPr>
          <w:p>
            <w:pPr>
              <w:spacing w:after="0"/>
              <w:rPr>
                <w:sz w:val="24"/>
                <w:szCs w:val="24"/>
                <w:color w:val="auto"/>
              </w:rPr>
            </w:pP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1"/>
                <w:szCs w:val="21"/>
                <w:color w:val="auto"/>
                <w:w w:val="95"/>
              </w:rPr>
              <w:t>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5.01</w:t>
            </w:r>
          </w:p>
        </w:tc>
        <w:tc>
          <w:tcPr>
            <w:tcW w:w="200" w:type="dxa"/>
            <w:vAlign w:val="bottom"/>
          </w:tcPr>
          <w:p>
            <w:pPr>
              <w:spacing w:after="0"/>
              <w:rPr>
                <w:sz w:val="19"/>
                <w:szCs w:val="19"/>
                <w:color w:val="auto"/>
              </w:rPr>
            </w:pPr>
          </w:p>
        </w:tc>
        <w:tc>
          <w:tcPr>
            <w:tcW w:w="9400" w:type="dxa"/>
            <w:vAlign w:val="bottom"/>
            <w:gridSpan w:val="37"/>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Existence, Qualification and Power; Compliance with Laws  </w:t>
            </w:r>
            <w:r>
              <w:rPr>
                <w:rFonts w:ascii="Times New Roman" w:cs="Times New Roman" w:eastAsia="Times New Roman" w:hAnsi="Times New Roman"/>
                <w:sz w:val="21"/>
                <w:szCs w:val="21"/>
                <w:color w:val="000000"/>
              </w:rPr>
              <w:t>41</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40"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41"/>
        </w:trPr>
        <w:tc>
          <w:tcPr>
            <w:tcW w:w="6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1"/>
                <w:szCs w:val="21"/>
                <w:color w:val="0000FF"/>
                <w:w w:val="93"/>
              </w:rPr>
              <w:t>Section 5.02</w:t>
            </w:r>
          </w:p>
        </w:tc>
        <w:tc>
          <w:tcPr>
            <w:tcW w:w="220" w:type="dxa"/>
            <w:vAlign w:val="bottom"/>
          </w:tcPr>
          <w:p>
            <w:pPr>
              <w:spacing w:after="0"/>
              <w:rPr>
                <w:sz w:val="21"/>
                <w:szCs w:val="21"/>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21"/>
                <w:szCs w:val="21"/>
                <w:color w:val="0000FF"/>
              </w:rPr>
              <w:t>Solvency</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5.03</w:t>
            </w:r>
          </w:p>
        </w:tc>
        <w:tc>
          <w:tcPr>
            <w:tcW w:w="220" w:type="dxa"/>
            <w:vAlign w:val="bottom"/>
          </w:tcPr>
          <w:p>
            <w:pPr>
              <w:spacing w:after="0"/>
              <w:rPr>
                <w:sz w:val="20"/>
                <w:szCs w:val="20"/>
                <w:color w:val="auto"/>
              </w:rPr>
            </w:pPr>
          </w:p>
        </w:tc>
        <w:tc>
          <w:tcPr>
            <w:tcW w:w="316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Authorization; No Contravention  </w:t>
            </w:r>
            <w:r>
              <w:rPr>
                <w:rFonts w:ascii="Times New Roman" w:cs="Times New Roman" w:eastAsia="Times New Roman" w:hAnsi="Times New Roman"/>
                <w:sz w:val="21"/>
                <w:szCs w:val="21"/>
                <w:color w:val="000000"/>
              </w:rPr>
              <w:t>42</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5.04</w:t>
            </w:r>
          </w:p>
        </w:tc>
        <w:tc>
          <w:tcPr>
            <w:tcW w:w="220" w:type="dxa"/>
            <w:vAlign w:val="bottom"/>
          </w:tcPr>
          <w:p>
            <w:pPr>
              <w:spacing w:after="0"/>
              <w:rPr>
                <w:sz w:val="19"/>
                <w:szCs w:val="19"/>
                <w:color w:val="auto"/>
              </w:rPr>
            </w:pPr>
          </w:p>
        </w:tc>
        <w:tc>
          <w:tcPr>
            <w:tcW w:w="1240" w:type="dxa"/>
            <w:vAlign w:val="bottom"/>
            <w:gridSpan w:val="9"/>
          </w:tcPr>
          <w:p>
            <w:pPr>
              <w:spacing w:after="0" w:line="225" w:lineRule="exact"/>
              <w:rPr>
                <w:sz w:val="20"/>
                <w:szCs w:val="20"/>
                <w:color w:val="auto"/>
              </w:rPr>
            </w:pPr>
            <w:r>
              <w:rPr>
                <w:rFonts w:ascii="Times New Roman" w:cs="Times New Roman" w:eastAsia="Times New Roman" w:hAnsi="Times New Roman"/>
                <w:sz w:val="21"/>
                <w:szCs w:val="21"/>
                <w:color w:val="0000FF"/>
              </w:rPr>
              <w:t>Separateness</w:t>
            </w:r>
          </w:p>
        </w:tc>
        <w:tc>
          <w:tcPr>
            <w:tcW w:w="320" w:type="dxa"/>
            <w:vAlign w:val="bottom"/>
            <w:gridSpan w:val="3"/>
          </w:tcPr>
          <w:p>
            <w:pPr>
              <w:jc w:val="right"/>
              <w:ind w:right="100"/>
              <w:spacing w:after="0" w:line="225" w:lineRule="exact"/>
              <w:rPr>
                <w:sz w:val="20"/>
                <w:szCs w:val="20"/>
                <w:color w:val="auto"/>
              </w:rPr>
            </w:pPr>
            <w:r>
              <w:rPr>
                <w:rFonts w:ascii="Times New Roman" w:cs="Times New Roman" w:eastAsia="Times New Roman" w:hAnsi="Times New Roman"/>
                <w:sz w:val="21"/>
                <w:szCs w:val="21"/>
                <w:color w:val="auto"/>
                <w:w w:val="95"/>
              </w:rPr>
              <w:t>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5.05</w:t>
            </w:r>
          </w:p>
        </w:tc>
        <w:tc>
          <w:tcPr>
            <w:tcW w:w="220" w:type="dxa"/>
            <w:vAlign w:val="bottom"/>
          </w:tcPr>
          <w:p>
            <w:pPr>
              <w:spacing w:after="0"/>
              <w:rPr>
                <w:sz w:val="20"/>
                <w:szCs w:val="20"/>
                <w:color w:val="auto"/>
              </w:rPr>
            </w:pPr>
          </w:p>
        </w:tc>
        <w:tc>
          <w:tcPr>
            <w:tcW w:w="1240" w:type="dxa"/>
            <w:vAlign w:val="bottom"/>
            <w:gridSpan w:val="9"/>
          </w:tcPr>
          <w:p>
            <w:pPr>
              <w:spacing w:after="0" w:line="238" w:lineRule="exact"/>
              <w:rPr>
                <w:sz w:val="20"/>
                <w:szCs w:val="20"/>
                <w:color w:val="auto"/>
              </w:rPr>
            </w:pPr>
            <w:r>
              <w:rPr>
                <w:rFonts w:ascii="Times New Roman" w:cs="Times New Roman" w:eastAsia="Times New Roman" w:hAnsi="Times New Roman"/>
                <w:sz w:val="21"/>
                <w:szCs w:val="21"/>
                <w:color w:val="0000FF"/>
                <w:w w:val="98"/>
              </w:rPr>
              <w:t>Binding Effect</w:t>
            </w:r>
          </w:p>
        </w:tc>
        <w:tc>
          <w:tcPr>
            <w:tcW w:w="320" w:type="dxa"/>
            <w:vAlign w:val="bottom"/>
            <w:gridSpan w:val="3"/>
          </w:tcPr>
          <w:p>
            <w:pPr>
              <w:jc w:val="right"/>
              <w:spacing w:after="0" w:line="238" w:lineRule="exact"/>
              <w:rPr>
                <w:sz w:val="20"/>
                <w:szCs w:val="20"/>
                <w:color w:val="auto"/>
              </w:rPr>
            </w:pPr>
            <w:r>
              <w:rPr>
                <w:rFonts w:ascii="Times New Roman" w:cs="Times New Roman" w:eastAsia="Times New Roman" w:hAnsi="Times New Roman"/>
                <w:sz w:val="21"/>
                <w:szCs w:val="21"/>
                <w:color w:val="auto"/>
              </w:rPr>
              <w:t>42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5.06</w:t>
            </w:r>
          </w:p>
        </w:tc>
        <w:tc>
          <w:tcPr>
            <w:tcW w:w="220" w:type="dxa"/>
            <w:vAlign w:val="bottom"/>
          </w:tcPr>
          <w:p>
            <w:pPr>
              <w:spacing w:after="0"/>
              <w:rPr>
                <w:sz w:val="19"/>
                <w:szCs w:val="19"/>
                <w:color w:val="auto"/>
              </w:rPr>
            </w:pPr>
          </w:p>
        </w:tc>
        <w:tc>
          <w:tcPr>
            <w:tcW w:w="254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rPr>
              <w:t>Governmental Authorization</w:t>
            </w:r>
          </w:p>
        </w:tc>
        <w:tc>
          <w:tcPr>
            <w:tcW w:w="42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1"/>
                <w:szCs w:val="21"/>
                <w:color w:val="auto"/>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5.07</w:t>
            </w:r>
          </w:p>
        </w:tc>
        <w:tc>
          <w:tcPr>
            <w:tcW w:w="220" w:type="dxa"/>
            <w:vAlign w:val="bottom"/>
          </w:tcPr>
          <w:p>
            <w:pPr>
              <w:spacing w:after="0"/>
              <w:rPr>
                <w:sz w:val="20"/>
                <w:szCs w:val="20"/>
                <w:color w:val="auto"/>
              </w:rPr>
            </w:pPr>
          </w:p>
        </w:tc>
        <w:tc>
          <w:tcPr>
            <w:tcW w:w="4280" w:type="dxa"/>
            <w:vAlign w:val="bottom"/>
            <w:gridSpan w:val="31"/>
          </w:tcPr>
          <w:p>
            <w:pPr>
              <w:spacing w:after="0" w:line="238" w:lineRule="exact"/>
              <w:rPr>
                <w:sz w:val="20"/>
                <w:szCs w:val="20"/>
                <w:color w:val="auto"/>
              </w:rPr>
            </w:pPr>
            <w:r>
              <w:rPr>
                <w:rFonts w:ascii="Times New Roman" w:cs="Times New Roman" w:eastAsia="Times New Roman" w:hAnsi="Times New Roman"/>
                <w:sz w:val="21"/>
                <w:szCs w:val="21"/>
                <w:color w:val="0000FF"/>
              </w:rPr>
              <w:t>Financial Statements; No Material Adverse Effect</w:t>
            </w:r>
          </w:p>
        </w:tc>
        <w:tc>
          <w:tcPr>
            <w:tcW w:w="24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43</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5.08</w:t>
            </w:r>
          </w:p>
        </w:tc>
        <w:tc>
          <w:tcPr>
            <w:tcW w:w="220" w:type="dxa"/>
            <w:vAlign w:val="bottom"/>
          </w:tcPr>
          <w:p>
            <w:pPr>
              <w:spacing w:after="0"/>
              <w:rPr>
                <w:sz w:val="20"/>
                <w:szCs w:val="20"/>
                <w:color w:val="auto"/>
              </w:rPr>
            </w:pPr>
          </w:p>
        </w:tc>
        <w:tc>
          <w:tcPr>
            <w:tcW w:w="2080" w:type="dxa"/>
            <w:vAlign w:val="bottom"/>
            <w:gridSpan w:val="17"/>
          </w:tcPr>
          <w:p>
            <w:pPr>
              <w:spacing w:after="0" w:line="238" w:lineRule="exact"/>
              <w:rPr>
                <w:sz w:val="20"/>
                <w:szCs w:val="20"/>
                <w:color w:val="auto"/>
              </w:rPr>
            </w:pPr>
            <w:r>
              <w:rPr>
                <w:rFonts w:ascii="Times New Roman" w:cs="Times New Roman" w:eastAsia="Times New Roman" w:hAnsi="Times New Roman"/>
                <w:sz w:val="21"/>
                <w:szCs w:val="21"/>
                <w:color w:val="0000FF"/>
              </w:rPr>
              <w:t>Environmental Matters</w:t>
            </w:r>
          </w:p>
        </w:tc>
        <w:tc>
          <w:tcPr>
            <w:tcW w:w="240" w:type="dxa"/>
            <w:vAlign w:val="bottom"/>
            <w:gridSpan w:val="4"/>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w w:val="95"/>
              </w:rPr>
              <w:t>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5.09</w:t>
            </w:r>
          </w:p>
        </w:tc>
        <w:tc>
          <w:tcPr>
            <w:tcW w:w="220" w:type="dxa"/>
            <w:vAlign w:val="bottom"/>
          </w:tcPr>
          <w:p>
            <w:pPr>
              <w:spacing w:after="0"/>
              <w:rPr>
                <w:sz w:val="19"/>
                <w:szCs w:val="19"/>
                <w:color w:val="auto"/>
              </w:rPr>
            </w:pPr>
          </w:p>
        </w:tc>
        <w:tc>
          <w:tcPr>
            <w:tcW w:w="920" w:type="dxa"/>
            <w:vAlign w:val="bottom"/>
            <w:gridSpan w:val="6"/>
          </w:tcPr>
          <w:p>
            <w:pPr>
              <w:spacing w:after="0" w:line="225" w:lineRule="exact"/>
              <w:rPr>
                <w:sz w:val="20"/>
                <w:szCs w:val="20"/>
                <w:color w:val="auto"/>
              </w:rPr>
            </w:pPr>
            <w:r>
              <w:rPr>
                <w:rFonts w:ascii="Times New Roman" w:cs="Times New Roman" w:eastAsia="Times New Roman" w:hAnsi="Times New Roman"/>
                <w:sz w:val="21"/>
                <w:szCs w:val="21"/>
                <w:color w:val="0000FF"/>
              </w:rPr>
              <w:t>Litigation</w:t>
            </w:r>
          </w:p>
        </w:tc>
        <w:tc>
          <w:tcPr>
            <w:tcW w:w="320" w:type="dxa"/>
            <w:vAlign w:val="bottom"/>
            <w:gridSpan w:val="3"/>
          </w:tcPr>
          <w:p>
            <w:pPr>
              <w:jc w:val="right"/>
              <w:ind w:right="40"/>
              <w:spacing w:after="0" w:line="225" w:lineRule="exact"/>
              <w:rPr>
                <w:sz w:val="20"/>
                <w:szCs w:val="20"/>
                <w:color w:val="auto"/>
              </w:rPr>
            </w:pPr>
            <w:r>
              <w:rPr>
                <w:rFonts w:ascii="Times New Roman" w:cs="Times New Roman" w:eastAsia="Times New Roman" w:hAnsi="Times New Roman"/>
                <w:sz w:val="21"/>
                <w:szCs w:val="21"/>
                <w:color w:val="auto"/>
              </w:rPr>
              <w:t>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5.10</w:t>
            </w:r>
          </w:p>
        </w:tc>
        <w:tc>
          <w:tcPr>
            <w:tcW w:w="220" w:type="dxa"/>
            <w:vAlign w:val="bottom"/>
          </w:tcPr>
          <w:p>
            <w:pPr>
              <w:spacing w:after="0"/>
              <w:rPr>
                <w:sz w:val="20"/>
                <w:szCs w:val="20"/>
                <w:color w:val="auto"/>
              </w:rPr>
            </w:pPr>
          </w:p>
        </w:tc>
        <w:tc>
          <w:tcPr>
            <w:tcW w:w="620" w:type="dxa"/>
            <w:vAlign w:val="bottom"/>
            <w:gridSpan w:val="2"/>
          </w:tcPr>
          <w:p>
            <w:pPr>
              <w:spacing w:after="0" w:line="238" w:lineRule="exact"/>
              <w:rPr>
                <w:sz w:val="20"/>
                <w:szCs w:val="20"/>
                <w:color w:val="auto"/>
              </w:rPr>
            </w:pPr>
            <w:r>
              <w:rPr>
                <w:rFonts w:ascii="Times New Roman" w:cs="Times New Roman" w:eastAsia="Times New Roman" w:hAnsi="Times New Roman"/>
                <w:sz w:val="21"/>
                <w:szCs w:val="21"/>
                <w:color w:val="0000FF"/>
              </w:rPr>
              <w:t>Taxes</w:t>
            </w:r>
          </w:p>
        </w:tc>
        <w:tc>
          <w:tcPr>
            <w:tcW w:w="300" w:type="dxa"/>
            <w:vAlign w:val="bottom"/>
            <w:gridSpan w:val="4"/>
          </w:tcPr>
          <w:p>
            <w:pPr>
              <w:jc w:val="right"/>
              <w:ind w:right="40"/>
              <w:spacing w:after="0" w:line="238" w:lineRule="exact"/>
              <w:rPr>
                <w:sz w:val="20"/>
                <w:szCs w:val="20"/>
                <w:color w:val="auto"/>
              </w:rPr>
            </w:pPr>
            <w:r>
              <w:rPr>
                <w:rFonts w:ascii="Times New Roman" w:cs="Times New Roman" w:eastAsia="Times New Roman" w:hAnsi="Times New Roman"/>
                <w:sz w:val="21"/>
                <w:szCs w:val="21"/>
                <w:color w:val="auto"/>
              </w:rPr>
              <w:t>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5.11</w:t>
            </w:r>
          </w:p>
        </w:tc>
        <w:tc>
          <w:tcPr>
            <w:tcW w:w="220" w:type="dxa"/>
            <w:vAlign w:val="bottom"/>
          </w:tcPr>
          <w:p>
            <w:pPr>
              <w:spacing w:after="0"/>
              <w:rPr>
                <w:sz w:val="19"/>
                <w:szCs w:val="19"/>
                <w:color w:val="auto"/>
              </w:rPr>
            </w:pPr>
          </w:p>
        </w:tc>
        <w:tc>
          <w:tcPr>
            <w:tcW w:w="4280" w:type="dxa"/>
            <w:vAlign w:val="bottom"/>
            <w:gridSpan w:val="31"/>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Margin Regulations; Investment Company Act  </w:t>
            </w:r>
            <w:r>
              <w:rPr>
                <w:rFonts w:ascii="Times New Roman" w:cs="Times New Roman" w:eastAsia="Times New Roman" w:hAnsi="Times New Roman"/>
                <w:sz w:val="21"/>
                <w:szCs w:val="21"/>
                <w:color w:val="000000"/>
              </w:rPr>
              <w:t>44</w:t>
            </w: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5.12</w:t>
            </w:r>
          </w:p>
        </w:tc>
        <w:tc>
          <w:tcPr>
            <w:tcW w:w="220" w:type="dxa"/>
            <w:vAlign w:val="bottom"/>
          </w:tcPr>
          <w:p>
            <w:pPr>
              <w:spacing w:after="0"/>
              <w:rPr>
                <w:sz w:val="20"/>
                <w:szCs w:val="20"/>
                <w:color w:val="auto"/>
              </w:rPr>
            </w:pPr>
          </w:p>
        </w:tc>
        <w:tc>
          <w:tcPr>
            <w:tcW w:w="2320" w:type="dxa"/>
            <w:vAlign w:val="bottom"/>
            <w:gridSpan w:val="21"/>
          </w:tcPr>
          <w:p>
            <w:pPr>
              <w:spacing w:after="0" w:line="238" w:lineRule="exact"/>
              <w:rPr>
                <w:sz w:val="20"/>
                <w:szCs w:val="20"/>
                <w:color w:val="auto"/>
              </w:rPr>
            </w:pPr>
            <w:r>
              <w:rPr>
                <w:rFonts w:ascii="Times New Roman" w:cs="Times New Roman" w:eastAsia="Times New Roman" w:hAnsi="Times New Roman"/>
                <w:sz w:val="21"/>
                <w:szCs w:val="21"/>
                <w:color w:val="0000FF"/>
              </w:rPr>
              <w:t>Energy Regulatory Matters</w:t>
            </w:r>
          </w:p>
        </w:tc>
        <w:tc>
          <w:tcPr>
            <w:tcW w:w="40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45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5.13</w:t>
            </w:r>
          </w:p>
        </w:tc>
        <w:tc>
          <w:tcPr>
            <w:tcW w:w="220" w:type="dxa"/>
            <w:vAlign w:val="bottom"/>
          </w:tcPr>
          <w:p>
            <w:pPr>
              <w:spacing w:after="0"/>
              <w:rPr>
                <w:sz w:val="20"/>
                <w:szCs w:val="20"/>
                <w:color w:val="auto"/>
              </w:rPr>
            </w:pPr>
          </w:p>
        </w:tc>
        <w:tc>
          <w:tcPr>
            <w:tcW w:w="2080" w:type="dxa"/>
            <w:vAlign w:val="bottom"/>
            <w:gridSpan w:val="17"/>
          </w:tcPr>
          <w:p>
            <w:pPr>
              <w:spacing w:after="0" w:line="238" w:lineRule="exact"/>
              <w:rPr>
                <w:sz w:val="20"/>
                <w:szCs w:val="20"/>
                <w:color w:val="auto"/>
              </w:rPr>
            </w:pPr>
            <w:r>
              <w:rPr>
                <w:rFonts w:ascii="Times New Roman" w:cs="Times New Roman" w:eastAsia="Times New Roman" w:hAnsi="Times New Roman"/>
                <w:sz w:val="21"/>
                <w:szCs w:val="21"/>
                <w:color w:val="0000FF"/>
              </w:rPr>
              <w:t>Ownership of Property</w:t>
            </w:r>
          </w:p>
        </w:tc>
        <w:tc>
          <w:tcPr>
            <w:tcW w:w="220" w:type="dxa"/>
            <w:vAlign w:val="bottom"/>
            <w:gridSpan w:val="3"/>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w w:val="85"/>
              </w:rPr>
              <w:t>45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5.14</w:t>
            </w:r>
          </w:p>
        </w:tc>
        <w:tc>
          <w:tcPr>
            <w:tcW w:w="220" w:type="dxa"/>
            <w:vAlign w:val="bottom"/>
          </w:tcPr>
          <w:p>
            <w:pPr>
              <w:spacing w:after="0"/>
              <w:rPr>
                <w:sz w:val="19"/>
                <w:szCs w:val="19"/>
                <w:color w:val="auto"/>
              </w:rPr>
            </w:pPr>
          </w:p>
        </w:tc>
        <w:tc>
          <w:tcPr>
            <w:tcW w:w="920" w:type="dxa"/>
            <w:vAlign w:val="bottom"/>
            <w:gridSpan w:val="6"/>
          </w:tcPr>
          <w:p>
            <w:pPr>
              <w:spacing w:after="0" w:line="225" w:lineRule="exact"/>
              <w:rPr>
                <w:sz w:val="20"/>
                <w:szCs w:val="20"/>
                <w:color w:val="auto"/>
              </w:rPr>
            </w:pPr>
            <w:r>
              <w:rPr>
                <w:rFonts w:ascii="Times New Roman" w:cs="Times New Roman" w:eastAsia="Times New Roman" w:hAnsi="Times New Roman"/>
                <w:sz w:val="21"/>
                <w:szCs w:val="21"/>
                <w:color w:val="0000FF"/>
              </w:rPr>
              <w:t>Disclosure</w:t>
            </w:r>
          </w:p>
        </w:tc>
        <w:tc>
          <w:tcPr>
            <w:tcW w:w="40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1"/>
                <w:szCs w:val="21"/>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5.15</w:t>
            </w:r>
          </w:p>
        </w:tc>
        <w:tc>
          <w:tcPr>
            <w:tcW w:w="220" w:type="dxa"/>
            <w:vAlign w:val="bottom"/>
          </w:tcPr>
          <w:p>
            <w:pPr>
              <w:spacing w:after="0"/>
              <w:rPr>
                <w:sz w:val="20"/>
                <w:szCs w:val="20"/>
                <w:color w:val="auto"/>
              </w:rPr>
            </w:pPr>
          </w:p>
        </w:tc>
        <w:tc>
          <w:tcPr>
            <w:tcW w:w="2540" w:type="dxa"/>
            <w:vAlign w:val="bottom"/>
            <w:gridSpan w:val="24"/>
          </w:tcPr>
          <w:p>
            <w:pPr>
              <w:spacing w:after="0" w:line="238" w:lineRule="exact"/>
              <w:rPr>
                <w:sz w:val="20"/>
                <w:szCs w:val="20"/>
                <w:color w:val="auto"/>
              </w:rPr>
            </w:pPr>
            <w:r>
              <w:rPr>
                <w:rFonts w:ascii="Times New Roman" w:cs="Times New Roman" w:eastAsia="Times New Roman" w:hAnsi="Times New Roman"/>
                <w:sz w:val="21"/>
                <w:szCs w:val="21"/>
                <w:color w:val="0000FF"/>
              </w:rPr>
              <w:t>Subsidiaries; Equity Interests</w:t>
            </w:r>
          </w:p>
        </w:tc>
        <w:tc>
          <w:tcPr>
            <w:tcW w:w="420" w:type="dxa"/>
            <w:vAlign w:val="bottom"/>
            <w:gridSpan w:val="2"/>
          </w:tcPr>
          <w:p>
            <w:pPr>
              <w:jc w:val="right"/>
              <w:ind w:right="140"/>
              <w:spacing w:after="0" w:line="238" w:lineRule="exact"/>
              <w:rPr>
                <w:sz w:val="20"/>
                <w:szCs w:val="20"/>
                <w:color w:val="auto"/>
              </w:rPr>
            </w:pPr>
            <w:r>
              <w:rPr>
                <w:rFonts w:ascii="Times New Roman" w:cs="Times New Roman" w:eastAsia="Times New Roman" w:hAnsi="Times New Roman"/>
                <w:sz w:val="21"/>
                <w:szCs w:val="21"/>
                <w:color w:val="auto"/>
              </w:rPr>
              <w:t>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5.16</w:t>
            </w:r>
          </w:p>
        </w:tc>
        <w:tc>
          <w:tcPr>
            <w:tcW w:w="220" w:type="dxa"/>
            <w:vAlign w:val="bottom"/>
          </w:tcPr>
          <w:p>
            <w:pPr>
              <w:spacing w:after="0"/>
              <w:rPr>
                <w:sz w:val="19"/>
                <w:szCs w:val="19"/>
                <w:color w:val="auto"/>
              </w:rPr>
            </w:pPr>
          </w:p>
        </w:tc>
        <w:tc>
          <w:tcPr>
            <w:tcW w:w="172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w w:val="98"/>
              </w:rPr>
              <w:t>Security Documents</w:t>
            </w:r>
          </w:p>
        </w:tc>
        <w:tc>
          <w:tcPr>
            <w:tcW w:w="3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1"/>
                <w:szCs w:val="21"/>
                <w:color w:val="auto"/>
              </w:rPr>
              <w:t>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5.17</w:t>
            </w:r>
          </w:p>
        </w:tc>
        <w:tc>
          <w:tcPr>
            <w:tcW w:w="220" w:type="dxa"/>
            <w:vAlign w:val="bottom"/>
          </w:tcPr>
          <w:p>
            <w:pPr>
              <w:spacing w:after="0"/>
              <w:rPr>
                <w:sz w:val="20"/>
                <w:szCs w:val="20"/>
                <w:color w:val="auto"/>
              </w:rPr>
            </w:pPr>
          </w:p>
        </w:tc>
        <w:tc>
          <w:tcPr>
            <w:tcW w:w="172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w w:val="93"/>
              </w:rPr>
              <w:t>Status as Senior Debt</w:t>
            </w:r>
          </w:p>
        </w:tc>
        <w:tc>
          <w:tcPr>
            <w:tcW w:w="44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46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5.18</w:t>
            </w:r>
          </w:p>
        </w:tc>
        <w:tc>
          <w:tcPr>
            <w:tcW w:w="220" w:type="dxa"/>
            <w:vAlign w:val="bottom"/>
          </w:tcPr>
          <w:p>
            <w:pPr>
              <w:spacing w:after="0"/>
              <w:rPr>
                <w:sz w:val="20"/>
                <w:szCs w:val="20"/>
                <w:color w:val="auto"/>
              </w:rPr>
            </w:pPr>
          </w:p>
        </w:tc>
        <w:tc>
          <w:tcPr>
            <w:tcW w:w="172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ERISA Compliance</w:t>
            </w:r>
          </w:p>
        </w:tc>
        <w:tc>
          <w:tcPr>
            <w:tcW w:w="360" w:type="dxa"/>
            <w:vAlign w:val="bottom"/>
            <w:gridSpan w:val="2"/>
          </w:tcPr>
          <w:p>
            <w:pPr>
              <w:jc w:val="right"/>
              <w:ind w:right="40"/>
              <w:spacing w:after="0" w:line="238" w:lineRule="exact"/>
              <w:rPr>
                <w:sz w:val="20"/>
                <w:szCs w:val="20"/>
                <w:color w:val="auto"/>
              </w:rPr>
            </w:pPr>
            <w:r>
              <w:rPr>
                <w:rFonts w:ascii="Times New Roman" w:cs="Times New Roman" w:eastAsia="Times New Roman" w:hAnsi="Times New Roman"/>
                <w:sz w:val="21"/>
                <w:szCs w:val="21"/>
                <w:color w:val="auto"/>
              </w:rPr>
              <w:t>46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5.19</w:t>
            </w:r>
          </w:p>
        </w:tc>
        <w:tc>
          <w:tcPr>
            <w:tcW w:w="220" w:type="dxa"/>
            <w:vAlign w:val="bottom"/>
          </w:tcPr>
          <w:p>
            <w:pPr>
              <w:spacing w:after="0"/>
              <w:rPr>
                <w:sz w:val="19"/>
                <w:szCs w:val="19"/>
                <w:color w:val="auto"/>
              </w:rPr>
            </w:pPr>
          </w:p>
        </w:tc>
        <w:tc>
          <w:tcPr>
            <w:tcW w:w="1560" w:type="dxa"/>
            <w:vAlign w:val="bottom"/>
            <w:gridSpan w:val="12"/>
          </w:tcPr>
          <w:p>
            <w:pPr>
              <w:spacing w:after="0" w:line="225" w:lineRule="exact"/>
              <w:rPr>
                <w:sz w:val="20"/>
                <w:szCs w:val="20"/>
                <w:color w:val="auto"/>
              </w:rPr>
            </w:pPr>
            <w:r>
              <w:rPr>
                <w:rFonts w:ascii="Times New Roman" w:cs="Times New Roman" w:eastAsia="Times New Roman" w:hAnsi="Times New Roman"/>
                <w:sz w:val="21"/>
                <w:szCs w:val="21"/>
                <w:color w:val="0000FF"/>
              </w:rPr>
              <w:t>Use of Proceeds</w:t>
            </w:r>
          </w:p>
        </w:tc>
        <w:tc>
          <w:tcPr>
            <w:tcW w:w="16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1"/>
                <w:szCs w:val="21"/>
                <w:color w:val="auto"/>
                <w:w w:val="75"/>
              </w:rPr>
              <w:t>47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5.20</w:t>
            </w:r>
          </w:p>
        </w:tc>
        <w:tc>
          <w:tcPr>
            <w:tcW w:w="220" w:type="dxa"/>
            <w:vAlign w:val="bottom"/>
          </w:tcPr>
          <w:p>
            <w:pPr>
              <w:spacing w:after="0"/>
              <w:rPr>
                <w:sz w:val="20"/>
                <w:szCs w:val="20"/>
                <w:color w:val="auto"/>
              </w:rPr>
            </w:pPr>
          </w:p>
        </w:tc>
        <w:tc>
          <w:tcPr>
            <w:tcW w:w="4280" w:type="dxa"/>
            <w:vAlign w:val="bottom"/>
            <w:gridSpan w:val="31"/>
          </w:tcPr>
          <w:p>
            <w:pPr>
              <w:spacing w:after="0" w:line="238" w:lineRule="exact"/>
              <w:rPr>
                <w:sz w:val="20"/>
                <w:szCs w:val="20"/>
                <w:color w:val="auto"/>
              </w:rPr>
            </w:pPr>
            <w:r>
              <w:rPr>
                <w:rFonts w:ascii="Times New Roman" w:cs="Times New Roman" w:eastAsia="Times New Roman" w:hAnsi="Times New Roman"/>
                <w:sz w:val="21"/>
                <w:szCs w:val="21"/>
                <w:color w:val="0000FF"/>
              </w:rPr>
              <w:t>FCPA; USA PATRIOT Act; Anti-Terrorism Laws</w:t>
            </w:r>
          </w:p>
        </w:tc>
        <w:tc>
          <w:tcPr>
            <w:tcW w:w="24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w w:val="95"/>
              </w:rPr>
              <w:t>47</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5.21</w:t>
            </w:r>
          </w:p>
        </w:tc>
        <w:tc>
          <w:tcPr>
            <w:tcW w:w="220" w:type="dxa"/>
            <w:vAlign w:val="bottom"/>
          </w:tcPr>
          <w:p>
            <w:pPr>
              <w:spacing w:after="0"/>
              <w:rPr>
                <w:sz w:val="19"/>
                <w:szCs w:val="19"/>
                <w:color w:val="auto"/>
              </w:rPr>
            </w:pPr>
          </w:p>
        </w:tc>
        <w:tc>
          <w:tcPr>
            <w:tcW w:w="254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w w:val="95"/>
              </w:rPr>
              <w:t>No Default or Event of Default</w:t>
            </w:r>
          </w:p>
        </w:tc>
        <w:tc>
          <w:tcPr>
            <w:tcW w:w="520" w:type="dxa"/>
            <w:vAlign w:val="bottom"/>
            <w:gridSpan w:val="3"/>
          </w:tcPr>
          <w:p>
            <w:pPr>
              <w:jc w:val="right"/>
              <w:ind w:right="100"/>
              <w:spacing w:after="0" w:line="225" w:lineRule="exact"/>
              <w:rPr>
                <w:sz w:val="20"/>
                <w:szCs w:val="20"/>
                <w:color w:val="auto"/>
              </w:rPr>
            </w:pPr>
            <w:r>
              <w:rPr>
                <w:rFonts w:ascii="Times New Roman" w:cs="Times New Roman" w:eastAsia="Times New Roman" w:hAnsi="Times New Roman"/>
                <w:sz w:val="21"/>
                <w:szCs w:val="21"/>
                <w:color w:val="auto"/>
              </w:rPr>
              <w:t>48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5.22</w:t>
            </w:r>
          </w:p>
        </w:tc>
        <w:tc>
          <w:tcPr>
            <w:tcW w:w="220" w:type="dxa"/>
            <w:vAlign w:val="bottom"/>
          </w:tcPr>
          <w:p>
            <w:pPr>
              <w:spacing w:after="0"/>
              <w:rPr>
                <w:sz w:val="20"/>
                <w:szCs w:val="20"/>
                <w:color w:val="auto"/>
              </w:rPr>
            </w:pPr>
          </w:p>
        </w:tc>
        <w:tc>
          <w:tcPr>
            <w:tcW w:w="172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Nature of Business</w:t>
            </w:r>
          </w:p>
        </w:tc>
        <w:tc>
          <w:tcPr>
            <w:tcW w:w="360" w:type="dxa"/>
            <w:vAlign w:val="bottom"/>
            <w:gridSpan w:val="2"/>
          </w:tcPr>
          <w:p>
            <w:pPr>
              <w:jc w:val="right"/>
              <w:ind w:right="120"/>
              <w:spacing w:after="0" w:line="238" w:lineRule="exact"/>
              <w:rPr>
                <w:sz w:val="20"/>
                <w:szCs w:val="20"/>
                <w:color w:val="auto"/>
              </w:rPr>
            </w:pPr>
            <w:r>
              <w:rPr>
                <w:rFonts w:ascii="Times New Roman" w:cs="Times New Roman" w:eastAsia="Times New Roman" w:hAnsi="Times New Roman"/>
                <w:sz w:val="21"/>
                <w:szCs w:val="21"/>
                <w:color w:val="auto"/>
              </w:rPr>
              <w:t>48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5.23</w:t>
            </w:r>
          </w:p>
        </w:tc>
        <w:tc>
          <w:tcPr>
            <w:tcW w:w="220" w:type="dxa"/>
            <w:vAlign w:val="bottom"/>
          </w:tcPr>
          <w:p>
            <w:pPr>
              <w:spacing w:after="0"/>
              <w:rPr>
                <w:sz w:val="19"/>
                <w:szCs w:val="19"/>
                <w:color w:val="auto"/>
              </w:rPr>
            </w:pPr>
          </w:p>
        </w:tc>
        <w:tc>
          <w:tcPr>
            <w:tcW w:w="920" w:type="dxa"/>
            <w:vAlign w:val="bottom"/>
            <w:gridSpan w:val="6"/>
          </w:tcPr>
          <w:p>
            <w:pPr>
              <w:spacing w:after="0" w:line="225" w:lineRule="exact"/>
              <w:rPr>
                <w:sz w:val="20"/>
                <w:szCs w:val="20"/>
                <w:color w:val="auto"/>
              </w:rPr>
            </w:pPr>
            <w:r>
              <w:rPr>
                <w:rFonts w:ascii="Times New Roman" w:cs="Times New Roman" w:eastAsia="Times New Roman" w:hAnsi="Times New Roman"/>
                <w:sz w:val="21"/>
                <w:szCs w:val="21"/>
                <w:color w:val="0000FF"/>
              </w:rPr>
              <w:t>Accounts</w:t>
            </w:r>
          </w:p>
        </w:tc>
        <w:tc>
          <w:tcPr>
            <w:tcW w:w="2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rPr>
              <w:t>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44"/>
        </w:trPr>
        <w:tc>
          <w:tcPr>
            <w:tcW w:w="2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1"/>
                <w:szCs w:val="21"/>
                <w:color w:val="0000FF"/>
                <w:w w:val="97"/>
              </w:rPr>
              <w:t>Article VI Affirmative Covenants</w:t>
            </w:r>
          </w:p>
        </w:tc>
        <w:tc>
          <w:tcPr>
            <w:tcW w:w="520" w:type="dxa"/>
            <w:vAlign w:val="bottom"/>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6.01</w:t>
            </w:r>
          </w:p>
        </w:tc>
        <w:tc>
          <w:tcPr>
            <w:tcW w:w="220" w:type="dxa"/>
            <w:vAlign w:val="bottom"/>
          </w:tcPr>
          <w:p>
            <w:pPr>
              <w:spacing w:after="0"/>
              <w:rPr>
                <w:sz w:val="19"/>
                <w:szCs w:val="19"/>
                <w:color w:val="auto"/>
              </w:rPr>
            </w:pPr>
          </w:p>
        </w:tc>
        <w:tc>
          <w:tcPr>
            <w:tcW w:w="172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w w:val="95"/>
              </w:rPr>
              <w:t>Financial Statements</w:t>
            </w:r>
          </w:p>
        </w:tc>
        <w:tc>
          <w:tcPr>
            <w:tcW w:w="4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1"/>
                <w:szCs w:val="21"/>
                <w:color w:val="auto"/>
              </w:rPr>
              <w:t>48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6.02</w:t>
            </w:r>
          </w:p>
        </w:tc>
        <w:tc>
          <w:tcPr>
            <w:tcW w:w="220" w:type="dxa"/>
            <w:vAlign w:val="bottom"/>
          </w:tcPr>
          <w:p>
            <w:pPr>
              <w:spacing w:after="0"/>
              <w:rPr>
                <w:sz w:val="20"/>
                <w:szCs w:val="20"/>
                <w:color w:val="auto"/>
              </w:rPr>
            </w:pPr>
          </w:p>
        </w:tc>
        <w:tc>
          <w:tcPr>
            <w:tcW w:w="2320" w:type="dxa"/>
            <w:vAlign w:val="bottom"/>
            <w:gridSpan w:val="21"/>
          </w:tcPr>
          <w:p>
            <w:pPr>
              <w:spacing w:after="0" w:line="238" w:lineRule="exact"/>
              <w:rPr>
                <w:sz w:val="20"/>
                <w:szCs w:val="20"/>
                <w:color w:val="auto"/>
              </w:rPr>
            </w:pPr>
            <w:r>
              <w:rPr>
                <w:rFonts w:ascii="Times New Roman" w:cs="Times New Roman" w:eastAsia="Times New Roman" w:hAnsi="Times New Roman"/>
                <w:sz w:val="21"/>
                <w:szCs w:val="21"/>
                <w:color w:val="0000FF"/>
              </w:rPr>
              <w:t>Maintenance of Insurance</w:t>
            </w:r>
          </w:p>
        </w:tc>
        <w:tc>
          <w:tcPr>
            <w:tcW w:w="220" w:type="dxa"/>
            <w:vAlign w:val="bottom"/>
            <w:gridSpan w:val="3"/>
          </w:tcPr>
          <w:p>
            <w:pPr>
              <w:jc w:val="right"/>
              <w:spacing w:after="0" w:line="238" w:lineRule="exact"/>
              <w:rPr>
                <w:sz w:val="20"/>
                <w:szCs w:val="20"/>
                <w:color w:val="auto"/>
              </w:rPr>
            </w:pPr>
            <w:r>
              <w:rPr>
                <w:rFonts w:ascii="Times New Roman" w:cs="Times New Roman" w:eastAsia="Times New Roman" w:hAnsi="Times New Roman"/>
                <w:sz w:val="21"/>
                <w:szCs w:val="21"/>
                <w:color w:val="auto"/>
                <w:w w:val="95"/>
              </w:rPr>
              <w:t>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6.03</w:t>
            </w:r>
          </w:p>
        </w:tc>
        <w:tc>
          <w:tcPr>
            <w:tcW w:w="220" w:type="dxa"/>
            <w:vAlign w:val="bottom"/>
          </w:tcPr>
          <w:p>
            <w:pPr>
              <w:spacing w:after="0"/>
              <w:rPr>
                <w:sz w:val="19"/>
                <w:szCs w:val="19"/>
                <w:color w:val="auto"/>
              </w:rPr>
            </w:pPr>
          </w:p>
        </w:tc>
        <w:tc>
          <w:tcPr>
            <w:tcW w:w="2320" w:type="dxa"/>
            <w:vAlign w:val="bottom"/>
            <w:gridSpan w:val="21"/>
          </w:tcPr>
          <w:p>
            <w:pPr>
              <w:spacing w:after="0" w:line="225" w:lineRule="exact"/>
              <w:rPr>
                <w:sz w:val="20"/>
                <w:szCs w:val="20"/>
                <w:color w:val="auto"/>
              </w:rPr>
            </w:pPr>
            <w:r>
              <w:rPr>
                <w:rFonts w:ascii="Times New Roman" w:cs="Times New Roman" w:eastAsia="Times New Roman" w:hAnsi="Times New Roman"/>
                <w:sz w:val="21"/>
                <w:szCs w:val="21"/>
                <w:color w:val="0000FF"/>
              </w:rPr>
              <w:t>Energy Regulatory Matters</w:t>
            </w:r>
          </w:p>
        </w:tc>
        <w:tc>
          <w:tcPr>
            <w:tcW w:w="40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1"/>
                <w:szCs w:val="21"/>
                <w:color w:val="auto"/>
              </w:rPr>
              <w:t>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6.04</w:t>
            </w:r>
          </w:p>
        </w:tc>
        <w:tc>
          <w:tcPr>
            <w:tcW w:w="220" w:type="dxa"/>
            <w:vAlign w:val="bottom"/>
          </w:tcPr>
          <w:p>
            <w:pPr>
              <w:spacing w:after="0"/>
              <w:rPr>
                <w:sz w:val="20"/>
                <w:szCs w:val="20"/>
                <w:color w:val="auto"/>
              </w:rPr>
            </w:pPr>
          </w:p>
        </w:tc>
        <w:tc>
          <w:tcPr>
            <w:tcW w:w="2540" w:type="dxa"/>
            <w:vAlign w:val="bottom"/>
            <w:gridSpan w:val="24"/>
          </w:tcPr>
          <w:p>
            <w:pPr>
              <w:spacing w:after="0" w:line="238" w:lineRule="exact"/>
              <w:rPr>
                <w:sz w:val="20"/>
                <w:szCs w:val="20"/>
                <w:color w:val="auto"/>
              </w:rPr>
            </w:pPr>
            <w:r>
              <w:rPr>
                <w:rFonts w:ascii="Times New Roman" w:cs="Times New Roman" w:eastAsia="Times New Roman" w:hAnsi="Times New Roman"/>
                <w:sz w:val="21"/>
                <w:szCs w:val="21"/>
                <w:color w:val="0000FF"/>
                <w:w w:val="95"/>
              </w:rPr>
              <w:t>Certificates; Other Information</w:t>
            </w:r>
          </w:p>
        </w:tc>
        <w:tc>
          <w:tcPr>
            <w:tcW w:w="420" w:type="dxa"/>
            <w:vAlign w:val="bottom"/>
            <w:gridSpan w:val="2"/>
          </w:tcPr>
          <w:p>
            <w:pPr>
              <w:jc w:val="right"/>
              <w:spacing w:after="0" w:line="238" w:lineRule="exact"/>
              <w:rPr>
                <w:sz w:val="20"/>
                <w:szCs w:val="20"/>
                <w:color w:val="auto"/>
              </w:rPr>
            </w:pPr>
            <w:r>
              <w:rPr>
                <w:rFonts w:ascii="Times New Roman" w:cs="Times New Roman" w:eastAsia="Times New Roman" w:hAnsi="Times New Roman"/>
                <w:sz w:val="21"/>
                <w:szCs w:val="21"/>
                <w:color w:val="auto"/>
              </w:rPr>
              <w:t>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6.05</w:t>
            </w:r>
          </w:p>
        </w:tc>
        <w:tc>
          <w:tcPr>
            <w:tcW w:w="220" w:type="dxa"/>
            <w:vAlign w:val="bottom"/>
          </w:tcPr>
          <w:p>
            <w:pPr>
              <w:spacing w:after="0"/>
              <w:rPr>
                <w:sz w:val="20"/>
                <w:szCs w:val="20"/>
                <w:color w:val="auto"/>
              </w:rPr>
            </w:pPr>
          </w:p>
        </w:tc>
        <w:tc>
          <w:tcPr>
            <w:tcW w:w="620" w:type="dxa"/>
            <w:vAlign w:val="bottom"/>
            <w:gridSpan w:val="2"/>
          </w:tcPr>
          <w:p>
            <w:pPr>
              <w:spacing w:after="0" w:line="238" w:lineRule="exact"/>
              <w:rPr>
                <w:sz w:val="20"/>
                <w:szCs w:val="20"/>
                <w:color w:val="auto"/>
              </w:rPr>
            </w:pPr>
            <w:r>
              <w:rPr>
                <w:rFonts w:ascii="Times New Roman" w:cs="Times New Roman" w:eastAsia="Times New Roman" w:hAnsi="Times New Roman"/>
                <w:sz w:val="21"/>
                <w:szCs w:val="21"/>
                <w:color w:val="0000FF"/>
                <w:w w:val="93"/>
              </w:rPr>
              <w:t>Notices</w:t>
            </w:r>
          </w:p>
        </w:tc>
        <w:tc>
          <w:tcPr>
            <w:tcW w:w="420" w:type="dxa"/>
            <w:vAlign w:val="bottom"/>
            <w:gridSpan w:val="5"/>
          </w:tcPr>
          <w:p>
            <w:pPr>
              <w:jc w:val="right"/>
              <w:spacing w:after="0" w:line="238" w:lineRule="exact"/>
              <w:rPr>
                <w:sz w:val="20"/>
                <w:szCs w:val="20"/>
                <w:color w:val="auto"/>
              </w:rPr>
            </w:pPr>
            <w:r>
              <w:rPr>
                <w:rFonts w:ascii="Times New Roman" w:cs="Times New Roman" w:eastAsia="Times New Roman" w:hAnsi="Times New Roman"/>
                <w:sz w:val="21"/>
                <w:szCs w:val="21"/>
                <w:color w:val="auto"/>
              </w:rPr>
              <w:t>51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6.06</w:t>
            </w:r>
          </w:p>
        </w:tc>
        <w:tc>
          <w:tcPr>
            <w:tcW w:w="220" w:type="dxa"/>
            <w:vAlign w:val="bottom"/>
          </w:tcPr>
          <w:p>
            <w:pPr>
              <w:spacing w:after="0"/>
              <w:rPr>
                <w:sz w:val="19"/>
                <w:szCs w:val="19"/>
                <w:color w:val="auto"/>
              </w:rPr>
            </w:pPr>
          </w:p>
        </w:tc>
        <w:tc>
          <w:tcPr>
            <w:tcW w:w="2320" w:type="dxa"/>
            <w:vAlign w:val="bottom"/>
            <w:gridSpan w:val="21"/>
          </w:tcPr>
          <w:p>
            <w:pPr>
              <w:spacing w:after="0" w:line="225" w:lineRule="exact"/>
              <w:rPr>
                <w:sz w:val="20"/>
                <w:szCs w:val="20"/>
                <w:color w:val="auto"/>
              </w:rPr>
            </w:pPr>
            <w:r>
              <w:rPr>
                <w:rFonts w:ascii="Times New Roman" w:cs="Times New Roman" w:eastAsia="Times New Roman" w:hAnsi="Times New Roman"/>
                <w:sz w:val="21"/>
                <w:szCs w:val="21"/>
                <w:color w:val="0000FF"/>
                <w:w w:val="96"/>
              </w:rPr>
              <w:t>Payment of Tax Obligations</w:t>
            </w:r>
          </w:p>
        </w:tc>
        <w:tc>
          <w:tcPr>
            <w:tcW w:w="40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1"/>
                <w:szCs w:val="21"/>
                <w:color w:val="auto"/>
              </w:rPr>
              <w:t>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6.07</w:t>
            </w:r>
          </w:p>
        </w:tc>
        <w:tc>
          <w:tcPr>
            <w:tcW w:w="220" w:type="dxa"/>
            <w:vAlign w:val="bottom"/>
          </w:tcPr>
          <w:p>
            <w:pPr>
              <w:spacing w:after="0"/>
              <w:rPr>
                <w:sz w:val="20"/>
                <w:szCs w:val="20"/>
                <w:color w:val="auto"/>
              </w:rPr>
            </w:pPr>
          </w:p>
        </w:tc>
        <w:tc>
          <w:tcPr>
            <w:tcW w:w="2540" w:type="dxa"/>
            <w:vAlign w:val="bottom"/>
            <w:gridSpan w:val="24"/>
          </w:tcPr>
          <w:p>
            <w:pPr>
              <w:spacing w:after="0" w:line="238" w:lineRule="exact"/>
              <w:rPr>
                <w:sz w:val="20"/>
                <w:szCs w:val="20"/>
                <w:color w:val="auto"/>
              </w:rPr>
            </w:pPr>
            <w:r>
              <w:rPr>
                <w:rFonts w:ascii="Times New Roman" w:cs="Times New Roman" w:eastAsia="Times New Roman" w:hAnsi="Times New Roman"/>
                <w:sz w:val="21"/>
                <w:szCs w:val="21"/>
                <w:color w:val="0000FF"/>
                <w:w w:val="98"/>
              </w:rPr>
              <w:t>Preservation of Existence, Etc</w:t>
            </w:r>
          </w:p>
        </w:tc>
        <w:tc>
          <w:tcPr>
            <w:tcW w:w="420" w:type="dxa"/>
            <w:vAlign w:val="bottom"/>
            <w:gridSpan w:val="2"/>
          </w:tcPr>
          <w:p>
            <w:pPr>
              <w:jc w:val="right"/>
              <w:ind w:right="80"/>
              <w:spacing w:after="0" w:line="238" w:lineRule="exact"/>
              <w:rPr>
                <w:sz w:val="20"/>
                <w:szCs w:val="20"/>
                <w:color w:val="auto"/>
              </w:rPr>
            </w:pPr>
            <w:r>
              <w:rPr>
                <w:rFonts w:ascii="Times New Roman" w:cs="Times New Roman" w:eastAsia="Times New Roman" w:hAnsi="Times New Roman"/>
                <w:sz w:val="21"/>
                <w:szCs w:val="21"/>
                <w:color w:val="auto"/>
              </w:rPr>
              <w:t>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6.08</w:t>
            </w:r>
          </w:p>
        </w:tc>
        <w:tc>
          <w:tcPr>
            <w:tcW w:w="220" w:type="dxa"/>
            <w:vAlign w:val="bottom"/>
          </w:tcPr>
          <w:p>
            <w:pPr>
              <w:spacing w:after="0"/>
              <w:rPr>
                <w:sz w:val="19"/>
                <w:szCs w:val="19"/>
                <w:color w:val="auto"/>
              </w:rPr>
            </w:pPr>
          </w:p>
        </w:tc>
        <w:tc>
          <w:tcPr>
            <w:tcW w:w="2080" w:type="dxa"/>
            <w:vAlign w:val="bottom"/>
            <w:gridSpan w:val="17"/>
          </w:tcPr>
          <w:p>
            <w:pPr>
              <w:spacing w:after="0" w:line="225" w:lineRule="exact"/>
              <w:rPr>
                <w:sz w:val="20"/>
                <w:szCs w:val="20"/>
                <w:color w:val="auto"/>
              </w:rPr>
            </w:pPr>
            <w:r>
              <w:rPr>
                <w:rFonts w:ascii="Times New Roman" w:cs="Times New Roman" w:eastAsia="Times New Roman" w:hAnsi="Times New Roman"/>
                <w:sz w:val="21"/>
                <w:szCs w:val="21"/>
                <w:color w:val="0000FF"/>
              </w:rPr>
              <w:t>Compliance with Laws</w:t>
            </w:r>
          </w:p>
        </w:tc>
        <w:tc>
          <w:tcPr>
            <w:tcW w:w="240" w:type="dxa"/>
            <w:vAlign w:val="bottom"/>
            <w:gridSpan w:val="4"/>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w w:val="95"/>
              </w:rPr>
              <w:t>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6.09</w:t>
            </w:r>
          </w:p>
        </w:tc>
        <w:tc>
          <w:tcPr>
            <w:tcW w:w="220" w:type="dxa"/>
            <w:vAlign w:val="bottom"/>
          </w:tcPr>
          <w:p>
            <w:pPr>
              <w:spacing w:after="0"/>
              <w:rPr>
                <w:sz w:val="20"/>
                <w:szCs w:val="20"/>
                <w:color w:val="auto"/>
              </w:rPr>
            </w:pPr>
          </w:p>
        </w:tc>
        <w:tc>
          <w:tcPr>
            <w:tcW w:w="172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Books and Records</w:t>
            </w:r>
          </w:p>
        </w:tc>
        <w:tc>
          <w:tcPr>
            <w:tcW w:w="360" w:type="dxa"/>
            <w:vAlign w:val="bottom"/>
            <w:gridSpan w:val="2"/>
          </w:tcPr>
          <w:p>
            <w:pPr>
              <w:jc w:val="right"/>
              <w:ind w:right="80"/>
              <w:spacing w:after="0" w:line="238" w:lineRule="exact"/>
              <w:rPr>
                <w:sz w:val="20"/>
                <w:szCs w:val="20"/>
                <w:color w:val="auto"/>
              </w:rPr>
            </w:pPr>
            <w:r>
              <w:rPr>
                <w:rFonts w:ascii="Times New Roman" w:cs="Times New Roman" w:eastAsia="Times New Roman" w:hAnsi="Times New Roman"/>
                <w:sz w:val="21"/>
                <w:szCs w:val="21"/>
                <w:color w:val="auto"/>
              </w:rPr>
              <w:t>53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6.10</w:t>
            </w:r>
          </w:p>
        </w:tc>
        <w:tc>
          <w:tcPr>
            <w:tcW w:w="220" w:type="dxa"/>
            <w:vAlign w:val="bottom"/>
          </w:tcPr>
          <w:p>
            <w:pPr>
              <w:spacing w:after="0"/>
              <w:rPr>
                <w:sz w:val="20"/>
                <w:szCs w:val="20"/>
                <w:color w:val="auto"/>
              </w:rPr>
            </w:pPr>
          </w:p>
        </w:tc>
        <w:tc>
          <w:tcPr>
            <w:tcW w:w="1560" w:type="dxa"/>
            <w:vAlign w:val="bottom"/>
            <w:gridSpan w:val="12"/>
          </w:tcPr>
          <w:p>
            <w:pPr>
              <w:spacing w:after="0" w:line="238" w:lineRule="exact"/>
              <w:rPr>
                <w:sz w:val="20"/>
                <w:szCs w:val="20"/>
                <w:color w:val="auto"/>
              </w:rPr>
            </w:pPr>
            <w:r>
              <w:rPr>
                <w:rFonts w:ascii="Times New Roman" w:cs="Times New Roman" w:eastAsia="Times New Roman" w:hAnsi="Times New Roman"/>
                <w:sz w:val="21"/>
                <w:szCs w:val="21"/>
                <w:color w:val="0000FF"/>
              </w:rPr>
              <w:t>Inspection Rights</w:t>
            </w:r>
          </w:p>
        </w:tc>
        <w:tc>
          <w:tcPr>
            <w:tcW w:w="32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53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6.11</w:t>
            </w:r>
          </w:p>
        </w:tc>
        <w:tc>
          <w:tcPr>
            <w:tcW w:w="220" w:type="dxa"/>
            <w:vAlign w:val="bottom"/>
          </w:tcPr>
          <w:p>
            <w:pPr>
              <w:spacing w:after="0"/>
              <w:rPr>
                <w:sz w:val="19"/>
                <w:szCs w:val="19"/>
                <w:color w:val="auto"/>
              </w:rPr>
            </w:pPr>
          </w:p>
        </w:tc>
        <w:tc>
          <w:tcPr>
            <w:tcW w:w="172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w w:val="94"/>
              </w:rPr>
              <w:t>Additional Collateral</w:t>
            </w:r>
          </w:p>
        </w:tc>
        <w:tc>
          <w:tcPr>
            <w:tcW w:w="440" w:type="dxa"/>
            <w:vAlign w:val="bottom"/>
            <w:gridSpan w:val="4"/>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rPr>
              <w:t>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6.12</w:t>
            </w:r>
          </w:p>
        </w:tc>
        <w:tc>
          <w:tcPr>
            <w:tcW w:w="220" w:type="dxa"/>
            <w:vAlign w:val="bottom"/>
          </w:tcPr>
          <w:p>
            <w:pPr>
              <w:spacing w:after="0"/>
              <w:rPr>
                <w:sz w:val="20"/>
                <w:szCs w:val="20"/>
                <w:color w:val="auto"/>
              </w:rPr>
            </w:pPr>
          </w:p>
        </w:tc>
        <w:tc>
          <w:tcPr>
            <w:tcW w:w="172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Further Assurances</w:t>
            </w:r>
          </w:p>
        </w:tc>
        <w:tc>
          <w:tcPr>
            <w:tcW w:w="360" w:type="dxa"/>
            <w:vAlign w:val="bottom"/>
            <w:gridSpan w:val="2"/>
          </w:tcPr>
          <w:p>
            <w:pPr>
              <w:jc w:val="right"/>
              <w:ind w:right="80"/>
              <w:spacing w:after="0" w:line="238" w:lineRule="exact"/>
              <w:rPr>
                <w:sz w:val="20"/>
                <w:szCs w:val="20"/>
                <w:color w:val="auto"/>
              </w:rPr>
            </w:pPr>
            <w:r>
              <w:rPr>
                <w:rFonts w:ascii="Times New Roman" w:cs="Times New Roman" w:eastAsia="Times New Roman" w:hAnsi="Times New Roman"/>
                <w:sz w:val="21"/>
                <w:szCs w:val="21"/>
                <w:color w:val="auto"/>
              </w:rPr>
              <w:t>54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6.13</w:t>
            </w:r>
          </w:p>
        </w:tc>
        <w:tc>
          <w:tcPr>
            <w:tcW w:w="220" w:type="dxa"/>
            <w:vAlign w:val="bottom"/>
          </w:tcPr>
          <w:p>
            <w:pPr>
              <w:spacing w:after="0"/>
              <w:rPr>
                <w:sz w:val="19"/>
                <w:szCs w:val="19"/>
                <w:color w:val="auto"/>
              </w:rPr>
            </w:pPr>
          </w:p>
        </w:tc>
        <w:tc>
          <w:tcPr>
            <w:tcW w:w="1240" w:type="dxa"/>
            <w:vAlign w:val="bottom"/>
            <w:gridSpan w:val="9"/>
          </w:tcPr>
          <w:p>
            <w:pPr>
              <w:spacing w:after="0" w:line="225" w:lineRule="exact"/>
              <w:rPr>
                <w:sz w:val="20"/>
                <w:szCs w:val="20"/>
                <w:color w:val="auto"/>
              </w:rPr>
            </w:pPr>
            <w:r>
              <w:rPr>
                <w:rFonts w:ascii="Times New Roman" w:cs="Times New Roman" w:eastAsia="Times New Roman" w:hAnsi="Times New Roman"/>
                <w:sz w:val="21"/>
                <w:szCs w:val="21"/>
                <w:color w:val="0000FF"/>
              </w:rPr>
              <w:t>Separateness</w:t>
            </w:r>
          </w:p>
        </w:tc>
        <w:tc>
          <w:tcPr>
            <w:tcW w:w="320" w:type="dxa"/>
            <w:vAlign w:val="bottom"/>
            <w:gridSpan w:val="3"/>
          </w:tcPr>
          <w:p>
            <w:pPr>
              <w:jc w:val="right"/>
              <w:ind w:right="100"/>
              <w:spacing w:after="0" w:line="225" w:lineRule="exact"/>
              <w:rPr>
                <w:sz w:val="20"/>
                <w:szCs w:val="20"/>
                <w:color w:val="auto"/>
              </w:rPr>
            </w:pPr>
            <w:r>
              <w:rPr>
                <w:rFonts w:ascii="Times New Roman" w:cs="Times New Roman" w:eastAsia="Times New Roman" w:hAnsi="Times New Roman"/>
                <w:sz w:val="21"/>
                <w:szCs w:val="21"/>
                <w:color w:val="auto"/>
                <w:w w:val="95"/>
              </w:rPr>
              <w:t>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6.14</w:t>
            </w:r>
          </w:p>
        </w:tc>
        <w:tc>
          <w:tcPr>
            <w:tcW w:w="220" w:type="dxa"/>
            <w:vAlign w:val="bottom"/>
          </w:tcPr>
          <w:p>
            <w:pPr>
              <w:spacing w:after="0"/>
              <w:rPr>
                <w:sz w:val="20"/>
                <w:szCs w:val="20"/>
                <w:color w:val="auto"/>
              </w:rPr>
            </w:pPr>
          </w:p>
        </w:tc>
        <w:tc>
          <w:tcPr>
            <w:tcW w:w="2320" w:type="dxa"/>
            <w:vAlign w:val="bottom"/>
            <w:gridSpan w:val="21"/>
          </w:tcPr>
          <w:p>
            <w:pPr>
              <w:spacing w:after="0" w:line="238" w:lineRule="exact"/>
              <w:rPr>
                <w:sz w:val="20"/>
                <w:szCs w:val="20"/>
                <w:color w:val="auto"/>
              </w:rPr>
            </w:pPr>
            <w:r>
              <w:rPr>
                <w:rFonts w:ascii="Times New Roman" w:cs="Times New Roman" w:eastAsia="Times New Roman" w:hAnsi="Times New Roman"/>
                <w:sz w:val="21"/>
                <w:szCs w:val="21"/>
                <w:color w:val="0000FF"/>
              </w:rPr>
              <w:t>Maintenance of Properties</w:t>
            </w:r>
          </w:p>
        </w:tc>
        <w:tc>
          <w:tcPr>
            <w:tcW w:w="400" w:type="dxa"/>
            <w:vAlign w:val="bottom"/>
            <w:gridSpan w:val="4"/>
          </w:tcPr>
          <w:p>
            <w:pPr>
              <w:jc w:val="right"/>
              <w:ind w:right="37"/>
              <w:spacing w:after="0" w:line="238" w:lineRule="exact"/>
              <w:rPr>
                <w:sz w:val="20"/>
                <w:szCs w:val="20"/>
                <w:color w:val="auto"/>
              </w:rPr>
            </w:pPr>
            <w:r>
              <w:rPr>
                <w:rFonts w:ascii="Times New Roman" w:cs="Times New Roman" w:eastAsia="Times New Roman" w:hAnsi="Times New Roman"/>
                <w:sz w:val="21"/>
                <w:szCs w:val="21"/>
                <w:color w:val="auto"/>
              </w:rPr>
              <w:t>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80" w:type="dxa"/>
            <w:vAlign w:val="bottom"/>
            <w:tcBorders>
              <w:left w:val="single" w:sz="8" w:color="0000FF"/>
            </w:tcBorders>
            <w:gridSpan w:val="11"/>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6.15</w:t>
            </w:r>
          </w:p>
        </w:tc>
        <w:tc>
          <w:tcPr>
            <w:tcW w:w="220" w:type="dxa"/>
            <w:vAlign w:val="bottom"/>
          </w:tcPr>
          <w:p>
            <w:pPr>
              <w:spacing w:after="0"/>
              <w:rPr>
                <w:sz w:val="20"/>
                <w:szCs w:val="20"/>
                <w:color w:val="auto"/>
              </w:rPr>
            </w:pPr>
          </w:p>
        </w:tc>
        <w:tc>
          <w:tcPr>
            <w:tcW w:w="316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rPr>
              <w:t>Maintenance of Collateral Accounts</w:t>
            </w:r>
          </w:p>
        </w:tc>
        <w:tc>
          <w:tcPr>
            <w:tcW w:w="680" w:type="dxa"/>
            <w:vAlign w:val="bottom"/>
          </w:tcPr>
          <w:p>
            <w:pPr>
              <w:jc w:val="right"/>
              <w:ind w:right="357"/>
              <w:spacing w:after="0" w:line="238" w:lineRule="exact"/>
              <w:rPr>
                <w:sz w:val="20"/>
                <w:szCs w:val="20"/>
                <w:color w:val="auto"/>
              </w:rPr>
            </w:pPr>
            <w:r>
              <w:rPr>
                <w:rFonts w:ascii="Times New Roman" w:cs="Times New Roman" w:eastAsia="Times New Roman" w:hAnsi="Times New Roman"/>
                <w:sz w:val="21"/>
                <w:szCs w:val="21"/>
                <w:color w:val="auto"/>
                <w:w w:val="95"/>
              </w:rPr>
              <w:t>54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20" w:type="dxa"/>
            <w:vAlign w:val="bottom"/>
            <w:tcBorders>
              <w:left w:val="single" w:sz="8" w:color="0000FF"/>
            </w:tcBorders>
            <w:gridSpan w:val="10"/>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6.16</w:t>
            </w:r>
          </w:p>
        </w:tc>
        <w:tc>
          <w:tcPr>
            <w:tcW w:w="220" w:type="dxa"/>
            <w:vAlign w:val="bottom"/>
          </w:tcPr>
          <w:p>
            <w:pPr>
              <w:spacing w:after="0"/>
              <w:rPr>
                <w:sz w:val="19"/>
                <w:szCs w:val="19"/>
                <w:color w:val="auto"/>
              </w:rPr>
            </w:pPr>
          </w:p>
        </w:tc>
        <w:tc>
          <w:tcPr>
            <w:tcW w:w="172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w w:val="95"/>
              </w:rPr>
              <w:t>Accounting Changes</w:t>
            </w:r>
          </w:p>
        </w:tc>
        <w:tc>
          <w:tcPr>
            <w:tcW w:w="4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1"/>
                <w:szCs w:val="21"/>
                <w:color w:val="auto"/>
              </w:rPr>
              <w:t>54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6.17</w:t>
            </w:r>
          </w:p>
        </w:tc>
        <w:tc>
          <w:tcPr>
            <w:tcW w:w="220" w:type="dxa"/>
            <w:vAlign w:val="bottom"/>
          </w:tcPr>
          <w:p>
            <w:pPr>
              <w:spacing w:after="0"/>
              <w:rPr>
                <w:sz w:val="20"/>
                <w:szCs w:val="20"/>
                <w:color w:val="auto"/>
              </w:rPr>
            </w:pPr>
          </w:p>
        </w:tc>
        <w:tc>
          <w:tcPr>
            <w:tcW w:w="316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rPr>
              <w:t>Preservation of Status as Senior Debt</w:t>
            </w:r>
          </w:p>
        </w:tc>
        <w:tc>
          <w:tcPr>
            <w:tcW w:w="680" w:type="dxa"/>
            <w:vAlign w:val="bottom"/>
          </w:tcPr>
          <w:p>
            <w:pPr>
              <w:jc w:val="right"/>
              <w:ind w:right="257"/>
              <w:spacing w:after="0" w:line="238" w:lineRule="exact"/>
              <w:rPr>
                <w:sz w:val="20"/>
                <w:szCs w:val="20"/>
                <w:color w:val="auto"/>
              </w:rPr>
            </w:pPr>
            <w:r>
              <w:rPr>
                <w:rFonts w:ascii="Times New Roman" w:cs="Times New Roman" w:eastAsia="Times New Roman" w:hAnsi="Times New Roman"/>
                <w:sz w:val="21"/>
                <w:szCs w:val="21"/>
                <w:color w:val="auto"/>
              </w:rPr>
              <w:t>55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80" w:type="dxa"/>
            <w:vAlign w:val="bottom"/>
            <w:tcBorders>
              <w:left w:val="single" w:sz="8" w:color="0000FF"/>
            </w:tcBorders>
            <w:gridSpan w:val="11"/>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6.18</w:t>
            </w:r>
          </w:p>
        </w:tc>
        <w:tc>
          <w:tcPr>
            <w:tcW w:w="220" w:type="dxa"/>
            <w:vAlign w:val="bottom"/>
          </w:tcPr>
          <w:p>
            <w:pPr>
              <w:spacing w:after="0"/>
              <w:rPr>
                <w:sz w:val="19"/>
                <w:szCs w:val="19"/>
                <w:color w:val="auto"/>
              </w:rPr>
            </w:pPr>
          </w:p>
        </w:tc>
        <w:tc>
          <w:tcPr>
            <w:tcW w:w="2080" w:type="dxa"/>
            <w:vAlign w:val="bottom"/>
            <w:gridSpan w:val="17"/>
          </w:tcPr>
          <w:p>
            <w:pPr>
              <w:spacing w:after="0" w:line="225" w:lineRule="exact"/>
              <w:rPr>
                <w:sz w:val="20"/>
                <w:szCs w:val="20"/>
                <w:color w:val="auto"/>
              </w:rPr>
            </w:pPr>
            <w:r>
              <w:rPr>
                <w:rFonts w:ascii="Times New Roman" w:cs="Times New Roman" w:eastAsia="Times New Roman" w:hAnsi="Times New Roman"/>
                <w:sz w:val="21"/>
                <w:szCs w:val="21"/>
                <w:color w:val="0000FF"/>
              </w:rPr>
              <w:t>Maintenance of Rating</w:t>
            </w:r>
          </w:p>
        </w:tc>
        <w:tc>
          <w:tcPr>
            <w:tcW w:w="220" w:type="dxa"/>
            <w:vAlign w:val="bottom"/>
            <w:gridSpan w:val="3"/>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w w:val="85"/>
              </w:rPr>
              <w:t>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44"/>
        </w:trPr>
        <w:tc>
          <w:tcPr>
            <w:tcW w:w="2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1"/>
                <w:szCs w:val="21"/>
                <w:color w:val="0000FF"/>
                <w:w w:val="97"/>
              </w:rPr>
              <w:t>Article VII Negative Covenants</w:t>
            </w:r>
          </w:p>
        </w:tc>
        <w:tc>
          <w:tcPr>
            <w:tcW w:w="12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55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7.01</w:t>
            </w:r>
          </w:p>
        </w:tc>
        <w:tc>
          <w:tcPr>
            <w:tcW w:w="220" w:type="dxa"/>
            <w:vAlign w:val="bottom"/>
          </w:tcPr>
          <w:p>
            <w:pPr>
              <w:spacing w:after="0"/>
              <w:rPr>
                <w:sz w:val="19"/>
                <w:szCs w:val="19"/>
                <w:color w:val="auto"/>
              </w:rPr>
            </w:pPr>
          </w:p>
        </w:tc>
        <w:tc>
          <w:tcPr>
            <w:tcW w:w="620" w:type="dxa"/>
            <w:vAlign w:val="bottom"/>
            <w:gridSpan w:val="2"/>
          </w:tcPr>
          <w:p>
            <w:pPr>
              <w:spacing w:after="0" w:line="225" w:lineRule="exact"/>
              <w:rPr>
                <w:sz w:val="20"/>
                <w:szCs w:val="20"/>
                <w:color w:val="auto"/>
              </w:rPr>
            </w:pPr>
            <w:r>
              <w:rPr>
                <w:rFonts w:ascii="Times New Roman" w:cs="Times New Roman" w:eastAsia="Times New Roman" w:hAnsi="Times New Roman"/>
                <w:sz w:val="21"/>
                <w:szCs w:val="21"/>
                <w:color w:val="0000FF"/>
              </w:rPr>
              <w:t>Liens</w:t>
            </w:r>
          </w:p>
        </w:tc>
        <w:tc>
          <w:tcPr>
            <w:tcW w:w="18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1"/>
                <w:szCs w:val="21"/>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42" w:right="1440"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41"/>
        </w:trPr>
        <w:tc>
          <w:tcPr>
            <w:tcW w:w="6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1"/>
                <w:szCs w:val="21"/>
                <w:color w:val="0000FF"/>
                <w:w w:val="93"/>
              </w:rPr>
              <w:t>Section 7.02</w:t>
            </w:r>
          </w:p>
        </w:tc>
        <w:tc>
          <w:tcPr>
            <w:tcW w:w="220" w:type="dxa"/>
            <w:vAlign w:val="bottom"/>
          </w:tcPr>
          <w:p>
            <w:pPr>
              <w:spacing w:after="0"/>
              <w:rPr>
                <w:sz w:val="21"/>
                <w:szCs w:val="21"/>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Indebtedness</w:t>
            </w: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7.03</w:t>
            </w:r>
          </w:p>
        </w:tc>
        <w:tc>
          <w:tcPr>
            <w:tcW w:w="220" w:type="dxa"/>
            <w:vAlign w:val="bottom"/>
          </w:tcPr>
          <w:p>
            <w:pPr>
              <w:spacing w:after="0"/>
              <w:rPr>
                <w:sz w:val="20"/>
                <w:szCs w:val="20"/>
                <w:color w:val="auto"/>
              </w:rPr>
            </w:pPr>
          </w:p>
        </w:tc>
        <w:tc>
          <w:tcPr>
            <w:tcW w:w="1180" w:type="dxa"/>
            <w:vAlign w:val="bottom"/>
            <w:gridSpan w:val="5"/>
          </w:tcPr>
          <w:p>
            <w:pPr>
              <w:spacing w:after="0" w:line="238" w:lineRule="exact"/>
              <w:rPr>
                <w:sz w:val="20"/>
                <w:szCs w:val="20"/>
                <w:color w:val="auto"/>
              </w:rPr>
            </w:pPr>
            <w:r>
              <w:rPr>
                <w:rFonts w:ascii="Times New Roman" w:cs="Times New Roman" w:eastAsia="Times New Roman" w:hAnsi="Times New Roman"/>
                <w:sz w:val="21"/>
                <w:szCs w:val="21"/>
                <w:color w:val="0000FF"/>
              </w:rPr>
              <w:t>Investments</w:t>
            </w:r>
          </w:p>
        </w:tc>
        <w:tc>
          <w:tcPr>
            <w:tcW w:w="240" w:type="dxa"/>
            <w:vAlign w:val="bottom"/>
            <w:gridSpan w:val="2"/>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w w:val="95"/>
              </w:rPr>
              <w:t>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7.04</w:t>
            </w:r>
          </w:p>
        </w:tc>
        <w:tc>
          <w:tcPr>
            <w:tcW w:w="220" w:type="dxa"/>
            <w:vAlign w:val="bottom"/>
          </w:tcPr>
          <w:p>
            <w:pPr>
              <w:spacing w:after="0"/>
              <w:rPr>
                <w:sz w:val="19"/>
                <w:szCs w:val="19"/>
                <w:color w:val="auto"/>
              </w:rPr>
            </w:pPr>
          </w:p>
        </w:tc>
        <w:tc>
          <w:tcPr>
            <w:tcW w:w="186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w w:val="98"/>
              </w:rPr>
              <w:t>Fundamental Changes</w:t>
            </w:r>
          </w:p>
        </w:tc>
        <w:tc>
          <w:tcPr>
            <w:tcW w:w="420" w:type="dxa"/>
            <w:vAlign w:val="bottom"/>
            <w:gridSpan w:val="2"/>
          </w:tcPr>
          <w:p>
            <w:pPr>
              <w:jc w:val="right"/>
              <w:ind w:right="40"/>
              <w:spacing w:after="0" w:line="225" w:lineRule="exact"/>
              <w:rPr>
                <w:sz w:val="20"/>
                <w:szCs w:val="20"/>
                <w:color w:val="auto"/>
              </w:rPr>
            </w:pPr>
            <w:r>
              <w:rPr>
                <w:rFonts w:ascii="Times New Roman" w:cs="Times New Roman" w:eastAsia="Times New Roman" w:hAnsi="Times New Roman"/>
                <w:sz w:val="21"/>
                <w:szCs w:val="21"/>
                <w:color w:val="auto"/>
              </w:rPr>
              <w:t>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7.05</w:t>
            </w:r>
          </w:p>
        </w:tc>
        <w:tc>
          <w:tcPr>
            <w:tcW w:w="220" w:type="dxa"/>
            <w:vAlign w:val="bottom"/>
          </w:tcPr>
          <w:p>
            <w:pPr>
              <w:spacing w:after="0"/>
              <w:rPr>
                <w:sz w:val="20"/>
                <w:szCs w:val="20"/>
                <w:color w:val="auto"/>
              </w:rPr>
            </w:pPr>
          </w:p>
        </w:tc>
        <w:tc>
          <w:tcPr>
            <w:tcW w:w="1180" w:type="dxa"/>
            <w:vAlign w:val="bottom"/>
            <w:gridSpan w:val="5"/>
          </w:tcPr>
          <w:p>
            <w:pPr>
              <w:spacing w:after="0" w:line="238" w:lineRule="exact"/>
              <w:rPr>
                <w:sz w:val="20"/>
                <w:szCs w:val="20"/>
                <w:color w:val="auto"/>
              </w:rPr>
            </w:pPr>
            <w:r>
              <w:rPr>
                <w:rFonts w:ascii="Times New Roman" w:cs="Times New Roman" w:eastAsia="Times New Roman" w:hAnsi="Times New Roman"/>
                <w:sz w:val="21"/>
                <w:szCs w:val="21"/>
                <w:color w:val="0000FF"/>
              </w:rPr>
              <w:t>Dispositions</w:t>
            </w:r>
          </w:p>
        </w:tc>
        <w:tc>
          <w:tcPr>
            <w:tcW w:w="240" w:type="dxa"/>
            <w:vAlign w:val="bottom"/>
            <w:gridSpan w:val="2"/>
          </w:tcPr>
          <w:p>
            <w:pPr>
              <w:jc w:val="right"/>
              <w:spacing w:after="0" w:line="238" w:lineRule="exact"/>
              <w:rPr>
                <w:sz w:val="20"/>
                <w:szCs w:val="20"/>
                <w:color w:val="auto"/>
              </w:rPr>
            </w:pPr>
            <w:r>
              <w:rPr>
                <w:rFonts w:ascii="Times New Roman" w:cs="Times New Roman" w:eastAsia="Times New Roman" w:hAnsi="Times New Roman"/>
                <w:sz w:val="21"/>
                <w:szCs w:val="21"/>
                <w:color w:val="auto"/>
              </w:rPr>
              <w:t>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7.06</w:t>
            </w:r>
          </w:p>
        </w:tc>
        <w:tc>
          <w:tcPr>
            <w:tcW w:w="220" w:type="dxa"/>
            <w:vAlign w:val="bottom"/>
          </w:tcPr>
          <w:p>
            <w:pPr>
              <w:spacing w:after="0"/>
              <w:rPr>
                <w:sz w:val="19"/>
                <w:szCs w:val="19"/>
                <w:color w:val="auto"/>
              </w:rPr>
            </w:pPr>
          </w:p>
        </w:tc>
        <w:tc>
          <w:tcPr>
            <w:tcW w:w="2460" w:type="dxa"/>
            <w:vAlign w:val="bottom"/>
            <w:gridSpan w:val="19"/>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Speculative Transactions  </w:t>
            </w:r>
            <w:r>
              <w:rPr>
                <w:rFonts w:ascii="Times New Roman" w:cs="Times New Roman" w:eastAsia="Times New Roman" w:hAnsi="Times New Roman"/>
                <w:sz w:val="21"/>
                <w:szCs w:val="21"/>
                <w:color w:val="000000"/>
              </w:rPr>
              <w:t>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7.07</w:t>
            </w:r>
          </w:p>
        </w:tc>
        <w:tc>
          <w:tcPr>
            <w:tcW w:w="220" w:type="dxa"/>
            <w:vAlign w:val="bottom"/>
          </w:tcPr>
          <w:p>
            <w:pPr>
              <w:spacing w:after="0"/>
              <w:rPr>
                <w:sz w:val="20"/>
                <w:szCs w:val="20"/>
                <w:color w:val="auto"/>
              </w:rPr>
            </w:pPr>
          </w:p>
        </w:tc>
        <w:tc>
          <w:tcPr>
            <w:tcW w:w="186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Restricted Payments</w:t>
            </w:r>
          </w:p>
        </w:tc>
        <w:tc>
          <w:tcPr>
            <w:tcW w:w="420" w:type="dxa"/>
            <w:vAlign w:val="bottom"/>
            <w:gridSpan w:val="2"/>
          </w:tcPr>
          <w:p>
            <w:pPr>
              <w:jc w:val="right"/>
              <w:ind w:right="200"/>
              <w:spacing w:after="0" w:line="238" w:lineRule="exact"/>
              <w:rPr>
                <w:sz w:val="20"/>
                <w:szCs w:val="20"/>
                <w:color w:val="auto"/>
              </w:rPr>
            </w:pPr>
            <w:r>
              <w:rPr>
                <w:rFonts w:ascii="Times New Roman" w:cs="Times New Roman" w:eastAsia="Times New Roman" w:hAnsi="Times New Roman"/>
                <w:sz w:val="21"/>
                <w:szCs w:val="21"/>
                <w:color w:val="auto"/>
                <w:w w:val="95"/>
              </w:rPr>
              <w:t>55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7.08</w:t>
            </w:r>
          </w:p>
        </w:tc>
        <w:tc>
          <w:tcPr>
            <w:tcW w:w="220" w:type="dxa"/>
            <w:vAlign w:val="bottom"/>
          </w:tcPr>
          <w:p>
            <w:pPr>
              <w:spacing w:after="0"/>
              <w:rPr>
                <w:sz w:val="20"/>
                <w:szCs w:val="20"/>
                <w:color w:val="auto"/>
              </w:rPr>
            </w:pPr>
          </w:p>
        </w:tc>
        <w:tc>
          <w:tcPr>
            <w:tcW w:w="2460" w:type="dxa"/>
            <w:vAlign w:val="bottom"/>
            <w:gridSpan w:val="19"/>
          </w:tcPr>
          <w:p>
            <w:pPr>
              <w:spacing w:after="0" w:line="238" w:lineRule="exact"/>
              <w:rPr>
                <w:sz w:val="20"/>
                <w:szCs w:val="20"/>
                <w:color w:val="auto"/>
              </w:rPr>
            </w:pPr>
            <w:r>
              <w:rPr>
                <w:rFonts w:ascii="Times New Roman" w:cs="Times New Roman" w:eastAsia="Times New Roman" w:hAnsi="Times New Roman"/>
                <w:sz w:val="21"/>
                <w:szCs w:val="21"/>
                <w:color w:val="0000FF"/>
              </w:rPr>
              <w:t>Transactions with Affiliates</w:t>
            </w:r>
          </w:p>
        </w:tc>
        <w:tc>
          <w:tcPr>
            <w:tcW w:w="28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w w:val="95"/>
              </w:rPr>
              <w:t>57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7.09</w:t>
            </w:r>
          </w:p>
        </w:tc>
        <w:tc>
          <w:tcPr>
            <w:tcW w:w="220" w:type="dxa"/>
            <w:vAlign w:val="bottom"/>
          </w:tcPr>
          <w:p>
            <w:pPr>
              <w:spacing w:after="0"/>
              <w:rPr>
                <w:sz w:val="19"/>
                <w:szCs w:val="19"/>
                <w:color w:val="auto"/>
              </w:rPr>
            </w:pPr>
          </w:p>
        </w:tc>
        <w:tc>
          <w:tcPr>
            <w:tcW w:w="1180" w:type="dxa"/>
            <w:vAlign w:val="bottom"/>
            <w:gridSpan w:val="5"/>
          </w:tcPr>
          <w:p>
            <w:pPr>
              <w:spacing w:after="0" w:line="225" w:lineRule="exact"/>
              <w:rPr>
                <w:sz w:val="20"/>
                <w:szCs w:val="20"/>
                <w:color w:val="auto"/>
              </w:rPr>
            </w:pPr>
            <w:r>
              <w:rPr>
                <w:rFonts w:ascii="Times New Roman" w:cs="Times New Roman" w:eastAsia="Times New Roman" w:hAnsi="Times New Roman"/>
                <w:sz w:val="21"/>
                <w:szCs w:val="21"/>
                <w:color w:val="0000FF"/>
              </w:rPr>
              <w:t>Subsidiaries</w:t>
            </w:r>
          </w:p>
        </w:tc>
        <w:tc>
          <w:tcPr>
            <w:tcW w:w="24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w w:val="95"/>
              </w:rPr>
              <w:t>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7.10</w:t>
            </w:r>
          </w:p>
        </w:tc>
        <w:tc>
          <w:tcPr>
            <w:tcW w:w="220" w:type="dxa"/>
            <w:vAlign w:val="bottom"/>
          </w:tcPr>
          <w:p>
            <w:pPr>
              <w:spacing w:after="0"/>
              <w:rPr>
                <w:sz w:val="20"/>
                <w:szCs w:val="20"/>
                <w:color w:val="auto"/>
              </w:rPr>
            </w:pPr>
          </w:p>
        </w:tc>
        <w:tc>
          <w:tcPr>
            <w:tcW w:w="452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w w:val="99"/>
              </w:rPr>
              <w:t>Amendments to Borrower’s Organization Documents</w:t>
            </w:r>
          </w:p>
        </w:tc>
        <w:tc>
          <w:tcPr>
            <w:tcW w:w="32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58</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7.11</w:t>
            </w:r>
          </w:p>
        </w:tc>
        <w:tc>
          <w:tcPr>
            <w:tcW w:w="220" w:type="dxa"/>
            <w:vAlign w:val="bottom"/>
          </w:tcPr>
          <w:p>
            <w:pPr>
              <w:spacing w:after="0"/>
              <w:rPr>
                <w:sz w:val="19"/>
                <w:szCs w:val="19"/>
                <w:color w:val="auto"/>
              </w:rPr>
            </w:pPr>
          </w:p>
        </w:tc>
        <w:tc>
          <w:tcPr>
            <w:tcW w:w="2460" w:type="dxa"/>
            <w:vAlign w:val="bottom"/>
            <w:gridSpan w:val="19"/>
          </w:tcPr>
          <w:p>
            <w:pPr>
              <w:spacing w:after="0" w:line="225" w:lineRule="exact"/>
              <w:rPr>
                <w:sz w:val="20"/>
                <w:szCs w:val="20"/>
                <w:color w:val="auto"/>
              </w:rPr>
            </w:pPr>
            <w:r>
              <w:rPr>
                <w:rFonts w:ascii="Times New Roman" w:cs="Times New Roman" w:eastAsia="Times New Roman" w:hAnsi="Times New Roman"/>
                <w:sz w:val="21"/>
                <w:szCs w:val="21"/>
                <w:color w:val="0000FF"/>
                <w:w w:val="97"/>
              </w:rPr>
              <w:t>Change in Nature of Business</w:t>
            </w:r>
          </w:p>
        </w:tc>
        <w:tc>
          <w:tcPr>
            <w:tcW w:w="640" w:type="dxa"/>
            <w:vAlign w:val="bottom"/>
            <w:gridSpan w:val="2"/>
          </w:tcPr>
          <w:p>
            <w:pPr>
              <w:jc w:val="right"/>
              <w:ind w:right="240"/>
              <w:spacing w:after="0" w:line="225" w:lineRule="exact"/>
              <w:rPr>
                <w:sz w:val="20"/>
                <w:szCs w:val="20"/>
                <w:color w:val="auto"/>
              </w:rPr>
            </w:pPr>
            <w:r>
              <w:rPr>
                <w:rFonts w:ascii="Times New Roman" w:cs="Times New Roman" w:eastAsia="Times New Roman" w:hAnsi="Times New Roman"/>
                <w:sz w:val="21"/>
                <w:szCs w:val="21"/>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7.12</w:t>
            </w:r>
          </w:p>
        </w:tc>
        <w:tc>
          <w:tcPr>
            <w:tcW w:w="220" w:type="dxa"/>
            <w:vAlign w:val="bottom"/>
          </w:tcPr>
          <w:p>
            <w:pPr>
              <w:spacing w:after="0"/>
              <w:rPr>
                <w:sz w:val="20"/>
                <w:szCs w:val="20"/>
                <w:color w:val="auto"/>
              </w:rPr>
            </w:pPr>
          </w:p>
        </w:tc>
        <w:tc>
          <w:tcPr>
            <w:tcW w:w="186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Capital Expenditures</w:t>
            </w:r>
          </w:p>
        </w:tc>
        <w:tc>
          <w:tcPr>
            <w:tcW w:w="420" w:type="dxa"/>
            <w:vAlign w:val="bottom"/>
            <w:gridSpan w:val="2"/>
          </w:tcPr>
          <w:p>
            <w:pPr>
              <w:jc w:val="right"/>
              <w:ind w:right="140"/>
              <w:spacing w:after="0" w:line="238" w:lineRule="exact"/>
              <w:rPr>
                <w:sz w:val="20"/>
                <w:szCs w:val="20"/>
                <w:color w:val="auto"/>
              </w:rPr>
            </w:pPr>
            <w:r>
              <w:rPr>
                <w:rFonts w:ascii="Times New Roman" w:cs="Times New Roman" w:eastAsia="Times New Roman" w:hAnsi="Times New Roman"/>
                <w:sz w:val="21"/>
                <w:szCs w:val="21"/>
                <w:color w:val="auto"/>
              </w:rPr>
              <w:t>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7.13</w:t>
            </w:r>
          </w:p>
        </w:tc>
        <w:tc>
          <w:tcPr>
            <w:tcW w:w="220" w:type="dxa"/>
            <w:vAlign w:val="bottom"/>
          </w:tcPr>
          <w:p>
            <w:pPr>
              <w:spacing w:after="0"/>
              <w:rPr>
                <w:sz w:val="20"/>
                <w:szCs w:val="20"/>
                <w:color w:val="auto"/>
              </w:rPr>
            </w:pPr>
          </w:p>
        </w:tc>
        <w:tc>
          <w:tcPr>
            <w:tcW w:w="3220" w:type="dxa"/>
            <w:vAlign w:val="bottom"/>
            <w:gridSpan w:val="22"/>
          </w:tcPr>
          <w:p>
            <w:pPr>
              <w:spacing w:after="0" w:line="238" w:lineRule="exact"/>
              <w:rPr>
                <w:sz w:val="20"/>
                <w:szCs w:val="20"/>
                <w:color w:val="auto"/>
              </w:rPr>
            </w:pPr>
            <w:r>
              <w:rPr>
                <w:rFonts w:ascii="Times New Roman" w:cs="Times New Roman" w:eastAsia="Times New Roman" w:hAnsi="Times New Roman"/>
                <w:sz w:val="21"/>
                <w:szCs w:val="21"/>
                <w:color w:val="0000FF"/>
                <w:w w:val="99"/>
              </w:rPr>
              <w:t>Actions under the JV LLC Agreement</w:t>
            </w:r>
          </w:p>
        </w:tc>
        <w:tc>
          <w:tcPr>
            <w:tcW w:w="400" w:type="dxa"/>
            <w:vAlign w:val="bottom"/>
            <w:gridSpan w:val="2"/>
          </w:tcPr>
          <w:p>
            <w:pPr>
              <w:jc w:val="right"/>
              <w:ind w:right="60"/>
              <w:spacing w:after="0" w:line="238" w:lineRule="exact"/>
              <w:rPr>
                <w:sz w:val="20"/>
                <w:szCs w:val="20"/>
                <w:color w:val="auto"/>
              </w:rPr>
            </w:pPr>
            <w:r>
              <w:rPr>
                <w:rFonts w:ascii="Times New Roman" w:cs="Times New Roman" w:eastAsia="Times New Roman" w:hAnsi="Times New Roman"/>
                <w:sz w:val="21"/>
                <w:szCs w:val="21"/>
                <w:color w:val="auto"/>
              </w:rPr>
              <w:t>59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7.14</w:t>
            </w:r>
          </w:p>
        </w:tc>
        <w:tc>
          <w:tcPr>
            <w:tcW w:w="220" w:type="dxa"/>
            <w:vAlign w:val="bottom"/>
          </w:tcPr>
          <w:p>
            <w:pPr>
              <w:spacing w:after="0"/>
              <w:rPr>
                <w:sz w:val="19"/>
                <w:szCs w:val="19"/>
                <w:color w:val="auto"/>
              </w:rPr>
            </w:pPr>
          </w:p>
        </w:tc>
        <w:tc>
          <w:tcPr>
            <w:tcW w:w="362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w w:val="95"/>
              </w:rPr>
              <w:t>Accounting Changes; Change in Fiscal Year</w:t>
            </w:r>
          </w:p>
        </w:tc>
        <w:tc>
          <w:tcPr>
            <w:tcW w:w="48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1"/>
                <w:szCs w:val="21"/>
                <w:color w:val="auto"/>
              </w:rPr>
              <w:t>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7.15</w:t>
            </w:r>
          </w:p>
        </w:tc>
        <w:tc>
          <w:tcPr>
            <w:tcW w:w="220" w:type="dxa"/>
            <w:vAlign w:val="bottom"/>
          </w:tcPr>
          <w:p>
            <w:pPr>
              <w:spacing w:after="0"/>
              <w:rPr>
                <w:sz w:val="20"/>
                <w:szCs w:val="20"/>
                <w:color w:val="auto"/>
              </w:rPr>
            </w:pPr>
          </w:p>
        </w:tc>
        <w:tc>
          <w:tcPr>
            <w:tcW w:w="880" w:type="dxa"/>
            <w:vAlign w:val="bottom"/>
            <w:gridSpan w:val="2"/>
          </w:tcPr>
          <w:p>
            <w:pPr>
              <w:spacing w:after="0" w:line="238" w:lineRule="exact"/>
              <w:rPr>
                <w:sz w:val="20"/>
                <w:szCs w:val="20"/>
                <w:color w:val="auto"/>
              </w:rPr>
            </w:pPr>
            <w:r>
              <w:rPr>
                <w:rFonts w:ascii="Times New Roman" w:cs="Times New Roman" w:eastAsia="Times New Roman" w:hAnsi="Times New Roman"/>
                <w:sz w:val="21"/>
                <w:szCs w:val="21"/>
                <w:color w:val="0000FF"/>
              </w:rPr>
              <w:t>Sanctions</w:t>
            </w:r>
          </w:p>
        </w:tc>
        <w:tc>
          <w:tcPr>
            <w:tcW w:w="38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60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7.16</w:t>
            </w:r>
          </w:p>
        </w:tc>
        <w:tc>
          <w:tcPr>
            <w:tcW w:w="220" w:type="dxa"/>
            <w:vAlign w:val="bottom"/>
          </w:tcPr>
          <w:p>
            <w:pPr>
              <w:spacing w:after="0"/>
              <w:rPr>
                <w:sz w:val="19"/>
                <w:szCs w:val="19"/>
                <w:color w:val="auto"/>
              </w:rPr>
            </w:pPr>
          </w:p>
        </w:tc>
        <w:tc>
          <w:tcPr>
            <w:tcW w:w="2460" w:type="dxa"/>
            <w:vAlign w:val="bottom"/>
            <w:gridSpan w:val="19"/>
          </w:tcPr>
          <w:p>
            <w:pPr>
              <w:spacing w:after="0" w:line="225" w:lineRule="exact"/>
              <w:rPr>
                <w:sz w:val="20"/>
                <w:szCs w:val="20"/>
                <w:color w:val="auto"/>
              </w:rPr>
            </w:pPr>
            <w:r>
              <w:rPr>
                <w:rFonts w:ascii="Times New Roman" w:cs="Times New Roman" w:eastAsia="Times New Roman" w:hAnsi="Times New Roman"/>
                <w:sz w:val="21"/>
                <w:szCs w:val="21"/>
                <w:color w:val="0000FF"/>
                <w:w w:val="99"/>
              </w:rPr>
              <w:t>Negative Pledge Agreements</w:t>
            </w:r>
          </w:p>
        </w:tc>
        <w:tc>
          <w:tcPr>
            <w:tcW w:w="640" w:type="dxa"/>
            <w:vAlign w:val="bottom"/>
            <w:gridSpan w:val="2"/>
          </w:tcPr>
          <w:p>
            <w:pPr>
              <w:jc w:val="right"/>
              <w:ind w:right="300"/>
              <w:spacing w:after="0" w:line="225" w:lineRule="exact"/>
              <w:rPr>
                <w:sz w:val="20"/>
                <w:szCs w:val="20"/>
                <w:color w:val="auto"/>
              </w:rPr>
            </w:pPr>
            <w:r>
              <w:rPr>
                <w:rFonts w:ascii="Times New Roman" w:cs="Times New Roman" w:eastAsia="Times New Roman" w:hAnsi="Times New Roman"/>
                <w:sz w:val="21"/>
                <w:szCs w:val="21"/>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7.17</w:t>
            </w:r>
          </w:p>
        </w:tc>
        <w:tc>
          <w:tcPr>
            <w:tcW w:w="220" w:type="dxa"/>
            <w:vAlign w:val="bottom"/>
          </w:tcPr>
          <w:p>
            <w:pPr>
              <w:spacing w:after="0"/>
              <w:rPr>
                <w:sz w:val="20"/>
                <w:szCs w:val="20"/>
                <w:color w:val="auto"/>
              </w:rPr>
            </w:pPr>
          </w:p>
        </w:tc>
        <w:tc>
          <w:tcPr>
            <w:tcW w:w="2460" w:type="dxa"/>
            <w:vAlign w:val="bottom"/>
            <w:gridSpan w:val="19"/>
          </w:tcPr>
          <w:p>
            <w:pPr>
              <w:spacing w:after="0" w:line="238" w:lineRule="exact"/>
              <w:rPr>
                <w:sz w:val="20"/>
                <w:szCs w:val="20"/>
                <w:color w:val="auto"/>
              </w:rPr>
            </w:pPr>
            <w:r>
              <w:rPr>
                <w:rFonts w:ascii="Times New Roman" w:cs="Times New Roman" w:eastAsia="Times New Roman" w:hAnsi="Times New Roman"/>
                <w:sz w:val="21"/>
                <w:szCs w:val="21"/>
                <w:color w:val="0000FF"/>
                <w:w w:val="99"/>
              </w:rPr>
              <w:t>Total Debt to EBITDA Ratio</w:t>
            </w:r>
          </w:p>
        </w:tc>
        <w:tc>
          <w:tcPr>
            <w:tcW w:w="640" w:type="dxa"/>
            <w:vAlign w:val="bottom"/>
            <w:gridSpan w:val="2"/>
          </w:tcPr>
          <w:p>
            <w:pPr>
              <w:jc w:val="right"/>
              <w:ind w:right="320"/>
              <w:spacing w:after="0" w:line="238" w:lineRule="exact"/>
              <w:rPr>
                <w:sz w:val="20"/>
                <w:szCs w:val="20"/>
                <w:color w:val="auto"/>
              </w:rPr>
            </w:pPr>
            <w:r>
              <w:rPr>
                <w:rFonts w:ascii="Times New Roman" w:cs="Times New Roman" w:eastAsia="Times New Roman" w:hAnsi="Times New Roman"/>
                <w:sz w:val="21"/>
                <w:szCs w:val="21"/>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7.18</w:t>
            </w:r>
          </w:p>
        </w:tc>
        <w:tc>
          <w:tcPr>
            <w:tcW w:w="220" w:type="dxa"/>
            <w:vAlign w:val="bottom"/>
          </w:tcPr>
          <w:p>
            <w:pPr>
              <w:spacing w:after="0"/>
              <w:rPr>
                <w:sz w:val="20"/>
                <w:szCs w:val="20"/>
                <w:color w:val="auto"/>
              </w:rPr>
            </w:pPr>
          </w:p>
        </w:tc>
        <w:tc>
          <w:tcPr>
            <w:tcW w:w="2460" w:type="dxa"/>
            <w:vAlign w:val="bottom"/>
            <w:gridSpan w:val="19"/>
          </w:tcPr>
          <w:p>
            <w:pPr>
              <w:spacing w:after="0" w:line="238" w:lineRule="exact"/>
              <w:rPr>
                <w:sz w:val="20"/>
                <w:szCs w:val="20"/>
                <w:color w:val="auto"/>
              </w:rPr>
            </w:pPr>
            <w:r>
              <w:rPr>
                <w:rFonts w:ascii="Times New Roman" w:cs="Times New Roman" w:eastAsia="Times New Roman" w:hAnsi="Times New Roman"/>
                <w:sz w:val="21"/>
                <w:szCs w:val="21"/>
                <w:color w:val="0000FF"/>
                <w:w w:val="99"/>
              </w:rPr>
              <w:t>Debt Service Coverage Ratio</w:t>
            </w:r>
          </w:p>
        </w:tc>
        <w:tc>
          <w:tcPr>
            <w:tcW w:w="640" w:type="dxa"/>
            <w:vAlign w:val="bottom"/>
            <w:gridSpan w:val="2"/>
          </w:tcPr>
          <w:p>
            <w:pPr>
              <w:jc w:val="right"/>
              <w:ind w:right="300"/>
              <w:spacing w:after="0" w:line="238" w:lineRule="exact"/>
              <w:rPr>
                <w:sz w:val="20"/>
                <w:szCs w:val="20"/>
                <w:color w:val="auto"/>
              </w:rPr>
            </w:pPr>
            <w:r>
              <w:rPr>
                <w:rFonts w:ascii="Times New Roman" w:cs="Times New Roman" w:eastAsia="Times New Roman" w:hAnsi="Times New Roman"/>
                <w:sz w:val="21"/>
                <w:szCs w:val="21"/>
                <w:color w:val="auto"/>
              </w:rPr>
              <w:t>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7.19</w:t>
            </w:r>
          </w:p>
        </w:tc>
        <w:tc>
          <w:tcPr>
            <w:tcW w:w="220" w:type="dxa"/>
            <w:vAlign w:val="bottom"/>
          </w:tcPr>
          <w:p>
            <w:pPr>
              <w:spacing w:after="0"/>
              <w:rPr>
                <w:sz w:val="19"/>
                <w:szCs w:val="19"/>
                <w:color w:val="auto"/>
              </w:rPr>
            </w:pPr>
          </w:p>
        </w:tc>
        <w:tc>
          <w:tcPr>
            <w:tcW w:w="880" w:type="dxa"/>
            <w:vAlign w:val="bottom"/>
            <w:gridSpan w:val="2"/>
          </w:tcPr>
          <w:p>
            <w:pPr>
              <w:spacing w:after="0" w:line="225" w:lineRule="exact"/>
              <w:rPr>
                <w:sz w:val="20"/>
                <w:szCs w:val="20"/>
                <w:color w:val="auto"/>
              </w:rPr>
            </w:pPr>
            <w:r>
              <w:rPr>
                <w:rFonts w:ascii="Times New Roman" w:cs="Times New Roman" w:eastAsia="Times New Roman" w:hAnsi="Times New Roman"/>
                <w:sz w:val="21"/>
                <w:szCs w:val="21"/>
                <w:color w:val="0000FF"/>
              </w:rPr>
              <w:t>Accounts</w:t>
            </w:r>
          </w:p>
        </w:tc>
        <w:tc>
          <w:tcPr>
            <w:tcW w:w="3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1"/>
                <w:szCs w:val="21"/>
                <w:color w:val="auto"/>
              </w:rPr>
              <w:t>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4"/>
        </w:trPr>
        <w:tc>
          <w:tcPr>
            <w:tcW w:w="3720" w:type="dxa"/>
            <w:vAlign w:val="bottom"/>
            <w:gridSpan w:val="18"/>
          </w:tcPr>
          <w:p>
            <w:pPr>
              <w:jc w:val="right"/>
              <w:ind w:right="20"/>
              <w:spacing w:after="0"/>
              <w:rPr>
                <w:sz w:val="20"/>
                <w:szCs w:val="20"/>
                <w:color w:val="auto"/>
              </w:rPr>
            </w:pPr>
            <w:r>
              <w:rPr>
                <w:rFonts w:ascii="Times New Roman" w:cs="Times New Roman" w:eastAsia="Times New Roman" w:hAnsi="Times New Roman"/>
                <w:sz w:val="21"/>
                <w:szCs w:val="21"/>
                <w:color w:val="0000FF"/>
                <w:w w:val="97"/>
              </w:rPr>
              <w:t>Article VIII Events of Default and Remedies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62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8.01</w:t>
            </w:r>
          </w:p>
        </w:tc>
        <w:tc>
          <w:tcPr>
            <w:tcW w:w="220" w:type="dxa"/>
            <w:vAlign w:val="bottom"/>
          </w:tcPr>
          <w:p>
            <w:pPr>
              <w:spacing w:after="0"/>
              <w:rPr>
                <w:sz w:val="19"/>
                <w:szCs w:val="19"/>
                <w:color w:val="auto"/>
              </w:rPr>
            </w:pPr>
          </w:p>
        </w:tc>
        <w:tc>
          <w:tcPr>
            <w:tcW w:w="1600" w:type="dxa"/>
            <w:vAlign w:val="bottom"/>
            <w:gridSpan w:val="10"/>
          </w:tcPr>
          <w:p>
            <w:pPr>
              <w:spacing w:after="0" w:line="225" w:lineRule="exact"/>
              <w:rPr>
                <w:sz w:val="20"/>
                <w:szCs w:val="20"/>
                <w:color w:val="auto"/>
              </w:rPr>
            </w:pPr>
            <w:r>
              <w:rPr>
                <w:rFonts w:ascii="Times New Roman" w:cs="Times New Roman" w:eastAsia="Times New Roman" w:hAnsi="Times New Roman"/>
                <w:sz w:val="21"/>
                <w:szCs w:val="21"/>
                <w:color w:val="0000FF"/>
              </w:rPr>
              <w:t>Events of Default</w:t>
            </w:r>
          </w:p>
        </w:tc>
        <w:tc>
          <w:tcPr>
            <w:tcW w:w="260" w:type="dxa"/>
            <w:vAlign w:val="bottom"/>
            <w:gridSpan w:val="5"/>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rPr>
              <w:t>62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8.02</w:t>
            </w:r>
          </w:p>
        </w:tc>
        <w:tc>
          <w:tcPr>
            <w:tcW w:w="220" w:type="dxa"/>
            <w:vAlign w:val="bottom"/>
          </w:tcPr>
          <w:p>
            <w:pPr>
              <w:spacing w:after="0"/>
              <w:rPr>
                <w:sz w:val="19"/>
                <w:szCs w:val="19"/>
                <w:color w:val="auto"/>
              </w:rPr>
            </w:pPr>
          </w:p>
        </w:tc>
        <w:tc>
          <w:tcPr>
            <w:tcW w:w="3220" w:type="dxa"/>
            <w:vAlign w:val="bottom"/>
            <w:gridSpan w:val="22"/>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Remedies Upon Event of Default  </w:t>
            </w:r>
            <w:r>
              <w:rPr>
                <w:rFonts w:ascii="Times New Roman" w:cs="Times New Roman" w:eastAsia="Times New Roman" w:hAnsi="Times New Roman"/>
                <w:sz w:val="21"/>
                <w:szCs w:val="21"/>
                <w:color w:val="000000"/>
              </w:rPr>
              <w:t>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8.03</w:t>
            </w:r>
          </w:p>
        </w:tc>
        <w:tc>
          <w:tcPr>
            <w:tcW w:w="220" w:type="dxa"/>
            <w:vAlign w:val="bottom"/>
          </w:tcPr>
          <w:p>
            <w:pPr>
              <w:spacing w:after="0"/>
              <w:rPr>
                <w:sz w:val="20"/>
                <w:szCs w:val="20"/>
                <w:color w:val="auto"/>
              </w:rPr>
            </w:pPr>
          </w:p>
        </w:tc>
        <w:tc>
          <w:tcPr>
            <w:tcW w:w="1860" w:type="dxa"/>
            <w:vAlign w:val="bottom"/>
            <w:gridSpan w:val="15"/>
          </w:tcPr>
          <w:p>
            <w:pPr>
              <w:spacing w:after="0" w:line="238" w:lineRule="exact"/>
              <w:rPr>
                <w:sz w:val="20"/>
                <w:szCs w:val="20"/>
                <w:color w:val="auto"/>
              </w:rPr>
            </w:pPr>
            <w:r>
              <w:rPr>
                <w:rFonts w:ascii="Times New Roman" w:cs="Times New Roman" w:eastAsia="Times New Roman" w:hAnsi="Times New Roman"/>
                <w:sz w:val="21"/>
                <w:szCs w:val="21"/>
                <w:color w:val="0000FF"/>
              </w:rPr>
              <w:t>Application of Funds</w:t>
            </w:r>
          </w:p>
        </w:tc>
        <w:tc>
          <w:tcPr>
            <w:tcW w:w="420" w:type="dxa"/>
            <w:vAlign w:val="bottom"/>
            <w:gridSpan w:val="2"/>
          </w:tcPr>
          <w:p>
            <w:pPr>
              <w:jc w:val="right"/>
              <w:ind w:right="140"/>
              <w:spacing w:after="0" w:line="238" w:lineRule="exact"/>
              <w:rPr>
                <w:sz w:val="20"/>
                <w:szCs w:val="20"/>
                <w:color w:val="auto"/>
              </w:rPr>
            </w:pPr>
            <w:r>
              <w:rPr>
                <w:rFonts w:ascii="Times New Roman" w:cs="Times New Roman" w:eastAsia="Times New Roman" w:hAnsi="Times New Roman"/>
                <w:sz w:val="21"/>
                <w:szCs w:val="21"/>
                <w:color w:val="auto"/>
              </w:rPr>
              <w:t>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44"/>
        </w:trPr>
        <w:tc>
          <w:tcPr>
            <w:tcW w:w="42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1"/>
                <w:szCs w:val="21"/>
                <w:color w:val="0000FF"/>
                <w:w w:val="98"/>
              </w:rPr>
              <w:t>Article IX Administrative Agent and Other Agents</w:t>
            </w:r>
          </w:p>
        </w:tc>
        <w:tc>
          <w:tcPr>
            <w:tcW w:w="80" w:type="dxa"/>
            <w:vAlign w:val="bottom"/>
          </w:tcPr>
          <w:p>
            <w:pPr>
              <w:spacing w:after="0"/>
              <w:rPr>
                <w:sz w:val="24"/>
                <w:szCs w:val="24"/>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21"/>
                <w:szCs w:val="21"/>
                <w:color w:val="auto"/>
              </w:rPr>
              <w:t>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9.01</w:t>
            </w:r>
          </w:p>
        </w:tc>
        <w:tc>
          <w:tcPr>
            <w:tcW w:w="220" w:type="dxa"/>
            <w:vAlign w:val="bottom"/>
          </w:tcPr>
          <w:p>
            <w:pPr>
              <w:spacing w:after="0"/>
              <w:rPr>
                <w:sz w:val="19"/>
                <w:szCs w:val="19"/>
                <w:color w:val="auto"/>
              </w:rPr>
            </w:pPr>
          </w:p>
        </w:tc>
        <w:tc>
          <w:tcPr>
            <w:tcW w:w="362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rPr>
              <w:t>Appointment and Authorization of Agents</w:t>
            </w:r>
          </w:p>
        </w:tc>
        <w:tc>
          <w:tcPr>
            <w:tcW w:w="3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9.02</w:t>
            </w:r>
          </w:p>
        </w:tc>
        <w:tc>
          <w:tcPr>
            <w:tcW w:w="220" w:type="dxa"/>
            <w:vAlign w:val="bottom"/>
          </w:tcPr>
          <w:p>
            <w:pPr>
              <w:spacing w:after="0"/>
              <w:rPr>
                <w:sz w:val="19"/>
                <w:szCs w:val="19"/>
                <w:color w:val="auto"/>
              </w:rPr>
            </w:pPr>
          </w:p>
        </w:tc>
        <w:tc>
          <w:tcPr>
            <w:tcW w:w="186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rPr>
              <w:t>Delegation of Duties</w:t>
            </w:r>
          </w:p>
        </w:tc>
        <w:tc>
          <w:tcPr>
            <w:tcW w:w="420" w:type="dxa"/>
            <w:vAlign w:val="bottom"/>
            <w:gridSpan w:val="2"/>
          </w:tcPr>
          <w:p>
            <w:pPr>
              <w:jc w:val="right"/>
              <w:ind w:right="160"/>
              <w:spacing w:after="0" w:line="225" w:lineRule="exact"/>
              <w:rPr>
                <w:sz w:val="20"/>
                <w:szCs w:val="20"/>
                <w:color w:val="auto"/>
              </w:rPr>
            </w:pPr>
            <w:r>
              <w:rPr>
                <w:rFonts w:ascii="Times New Roman" w:cs="Times New Roman" w:eastAsia="Times New Roman" w:hAnsi="Times New Roman"/>
                <w:sz w:val="21"/>
                <w:szCs w:val="21"/>
                <w:color w:val="auto"/>
              </w:rPr>
              <w:t>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9.03</w:t>
            </w:r>
          </w:p>
        </w:tc>
        <w:tc>
          <w:tcPr>
            <w:tcW w:w="220" w:type="dxa"/>
            <w:vAlign w:val="bottom"/>
          </w:tcPr>
          <w:p>
            <w:pPr>
              <w:spacing w:after="0"/>
              <w:rPr>
                <w:sz w:val="20"/>
                <w:szCs w:val="20"/>
                <w:color w:val="auto"/>
              </w:rPr>
            </w:pPr>
          </w:p>
        </w:tc>
        <w:tc>
          <w:tcPr>
            <w:tcW w:w="1600" w:type="dxa"/>
            <w:vAlign w:val="bottom"/>
            <w:gridSpan w:val="10"/>
          </w:tcPr>
          <w:p>
            <w:pPr>
              <w:spacing w:after="0" w:line="238" w:lineRule="exact"/>
              <w:rPr>
                <w:sz w:val="20"/>
                <w:szCs w:val="20"/>
                <w:color w:val="auto"/>
              </w:rPr>
            </w:pPr>
            <w:r>
              <w:rPr>
                <w:rFonts w:ascii="Times New Roman" w:cs="Times New Roman" w:eastAsia="Times New Roman" w:hAnsi="Times New Roman"/>
                <w:sz w:val="21"/>
                <w:szCs w:val="21"/>
                <w:color w:val="0000FF"/>
                <w:w w:val="98"/>
              </w:rPr>
              <w:t>Liability of Agents</w:t>
            </w:r>
          </w:p>
        </w:tc>
        <w:tc>
          <w:tcPr>
            <w:tcW w:w="440" w:type="dxa"/>
            <w:vAlign w:val="bottom"/>
            <w:gridSpan w:val="6"/>
          </w:tcPr>
          <w:p>
            <w:pPr>
              <w:jc w:val="right"/>
              <w:spacing w:after="0" w:line="238" w:lineRule="exact"/>
              <w:rPr>
                <w:sz w:val="20"/>
                <w:szCs w:val="20"/>
                <w:color w:val="auto"/>
              </w:rPr>
            </w:pPr>
            <w:r>
              <w:rPr>
                <w:rFonts w:ascii="Times New Roman" w:cs="Times New Roman" w:eastAsia="Times New Roman" w:hAnsi="Times New Roman"/>
                <w:sz w:val="21"/>
                <w:szCs w:val="21"/>
                <w:color w:val="auto"/>
              </w:rPr>
              <w:t>69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9.04</w:t>
            </w:r>
          </w:p>
        </w:tc>
        <w:tc>
          <w:tcPr>
            <w:tcW w:w="220" w:type="dxa"/>
            <w:vAlign w:val="bottom"/>
          </w:tcPr>
          <w:p>
            <w:pPr>
              <w:spacing w:after="0"/>
              <w:rPr>
                <w:sz w:val="20"/>
                <w:szCs w:val="20"/>
                <w:color w:val="auto"/>
              </w:rPr>
            </w:pPr>
          </w:p>
        </w:tc>
        <w:tc>
          <w:tcPr>
            <w:tcW w:w="3220" w:type="dxa"/>
            <w:vAlign w:val="bottom"/>
            <w:gridSpan w:val="22"/>
          </w:tcPr>
          <w:p>
            <w:pPr>
              <w:spacing w:after="0" w:line="238" w:lineRule="exact"/>
              <w:rPr>
                <w:sz w:val="20"/>
                <w:szCs w:val="20"/>
                <w:color w:val="auto"/>
              </w:rPr>
            </w:pPr>
            <w:r>
              <w:rPr>
                <w:rFonts w:ascii="Times New Roman" w:cs="Times New Roman" w:eastAsia="Times New Roman" w:hAnsi="Times New Roman"/>
                <w:sz w:val="21"/>
                <w:szCs w:val="21"/>
                <w:color w:val="0000FF"/>
              </w:rPr>
              <w:t>Reliance by the Administrative Agent</w:t>
            </w:r>
          </w:p>
        </w:tc>
        <w:tc>
          <w:tcPr>
            <w:tcW w:w="400" w:type="dxa"/>
            <w:vAlign w:val="bottom"/>
            <w:gridSpan w:val="2"/>
          </w:tcPr>
          <w:p>
            <w:pPr>
              <w:jc w:val="right"/>
              <w:ind w:right="100"/>
              <w:spacing w:after="0" w:line="238" w:lineRule="exact"/>
              <w:rPr>
                <w:sz w:val="20"/>
                <w:szCs w:val="20"/>
                <w:color w:val="auto"/>
              </w:rPr>
            </w:pPr>
            <w:r>
              <w:rPr>
                <w:rFonts w:ascii="Times New Roman" w:cs="Times New Roman" w:eastAsia="Times New Roman" w:hAnsi="Times New Roman"/>
                <w:sz w:val="21"/>
                <w:szCs w:val="21"/>
                <w:color w:val="auto"/>
              </w:rPr>
              <w:t>70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9.05</w:t>
            </w:r>
          </w:p>
        </w:tc>
        <w:tc>
          <w:tcPr>
            <w:tcW w:w="220" w:type="dxa"/>
            <w:vAlign w:val="bottom"/>
          </w:tcPr>
          <w:p>
            <w:pPr>
              <w:spacing w:after="0"/>
              <w:rPr>
                <w:sz w:val="19"/>
                <w:szCs w:val="19"/>
                <w:color w:val="auto"/>
              </w:rPr>
            </w:pPr>
          </w:p>
        </w:tc>
        <w:tc>
          <w:tcPr>
            <w:tcW w:w="1600" w:type="dxa"/>
            <w:vAlign w:val="bottom"/>
            <w:gridSpan w:val="10"/>
          </w:tcPr>
          <w:p>
            <w:pPr>
              <w:spacing w:after="0" w:line="225" w:lineRule="exact"/>
              <w:rPr>
                <w:sz w:val="20"/>
                <w:szCs w:val="20"/>
                <w:color w:val="auto"/>
              </w:rPr>
            </w:pPr>
            <w:r>
              <w:rPr>
                <w:rFonts w:ascii="Times New Roman" w:cs="Times New Roman" w:eastAsia="Times New Roman" w:hAnsi="Times New Roman"/>
                <w:sz w:val="21"/>
                <w:szCs w:val="21"/>
                <w:color w:val="0000FF"/>
              </w:rPr>
              <w:t>Notice of Default</w:t>
            </w:r>
          </w:p>
        </w:tc>
        <w:tc>
          <w:tcPr>
            <w:tcW w:w="24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1"/>
                <w:szCs w:val="21"/>
                <w:color w:val="auto"/>
              </w:rPr>
              <w:t>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9.06</w:t>
            </w:r>
          </w:p>
        </w:tc>
        <w:tc>
          <w:tcPr>
            <w:tcW w:w="220" w:type="dxa"/>
            <w:vAlign w:val="bottom"/>
          </w:tcPr>
          <w:p>
            <w:pPr>
              <w:spacing w:after="0"/>
              <w:rPr>
                <w:sz w:val="20"/>
                <w:szCs w:val="20"/>
                <w:color w:val="auto"/>
              </w:rPr>
            </w:pPr>
          </w:p>
        </w:tc>
        <w:tc>
          <w:tcPr>
            <w:tcW w:w="4520" w:type="dxa"/>
            <w:vAlign w:val="bottom"/>
            <w:gridSpan w:val="28"/>
          </w:tcPr>
          <w:p>
            <w:pPr>
              <w:spacing w:after="0" w:line="238" w:lineRule="exact"/>
              <w:rPr>
                <w:sz w:val="20"/>
                <w:szCs w:val="20"/>
                <w:color w:val="auto"/>
              </w:rPr>
            </w:pPr>
            <w:r>
              <w:rPr>
                <w:rFonts w:ascii="Times New Roman" w:cs="Times New Roman" w:eastAsia="Times New Roman" w:hAnsi="Times New Roman"/>
                <w:sz w:val="21"/>
                <w:szCs w:val="21"/>
                <w:color w:val="0000FF"/>
                <w:w w:val="99"/>
              </w:rPr>
              <w:t>Credit Decision; Disclosure of Information by Agents</w:t>
            </w:r>
          </w:p>
        </w:tc>
        <w:tc>
          <w:tcPr>
            <w:tcW w:w="32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71</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13"/>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9.07</w:t>
            </w:r>
          </w:p>
        </w:tc>
        <w:tc>
          <w:tcPr>
            <w:tcW w:w="220" w:type="dxa"/>
            <w:vAlign w:val="bottom"/>
          </w:tcPr>
          <w:p>
            <w:pPr>
              <w:spacing w:after="0"/>
              <w:rPr>
                <w:sz w:val="19"/>
                <w:szCs w:val="19"/>
                <w:color w:val="auto"/>
              </w:rPr>
            </w:pPr>
          </w:p>
        </w:tc>
        <w:tc>
          <w:tcPr>
            <w:tcW w:w="362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w w:val="95"/>
              </w:rPr>
              <w:t>Indemnification of the Administrative Agent</w:t>
            </w:r>
          </w:p>
        </w:tc>
        <w:tc>
          <w:tcPr>
            <w:tcW w:w="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1"/>
                <w:szCs w:val="21"/>
                <w:color w:val="auto"/>
              </w:rPr>
              <w:t>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13"/>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9.08</w:t>
            </w:r>
          </w:p>
        </w:tc>
        <w:tc>
          <w:tcPr>
            <w:tcW w:w="220" w:type="dxa"/>
            <w:vAlign w:val="bottom"/>
          </w:tcPr>
          <w:p>
            <w:pPr>
              <w:spacing w:after="0"/>
              <w:rPr>
                <w:sz w:val="20"/>
                <w:szCs w:val="20"/>
                <w:color w:val="auto"/>
              </w:rPr>
            </w:pPr>
          </w:p>
        </w:tc>
        <w:tc>
          <w:tcPr>
            <w:tcW w:w="4100" w:type="dxa"/>
            <w:vAlign w:val="bottom"/>
            <w:gridSpan w:val="26"/>
          </w:tcPr>
          <w:p>
            <w:pPr>
              <w:spacing w:after="0" w:line="238" w:lineRule="exact"/>
              <w:rPr>
                <w:sz w:val="20"/>
                <w:szCs w:val="20"/>
                <w:color w:val="auto"/>
              </w:rPr>
            </w:pPr>
            <w:r>
              <w:rPr>
                <w:rFonts w:ascii="Times New Roman" w:cs="Times New Roman" w:eastAsia="Times New Roman" w:hAnsi="Times New Roman"/>
                <w:sz w:val="21"/>
                <w:szCs w:val="21"/>
                <w:color w:val="0000FF"/>
              </w:rPr>
              <w:t>Administrative Agent in Its Individual Capacity</w:t>
            </w:r>
          </w:p>
        </w:tc>
        <w:tc>
          <w:tcPr>
            <w:tcW w:w="30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9.09</w:t>
            </w:r>
          </w:p>
        </w:tc>
        <w:tc>
          <w:tcPr>
            <w:tcW w:w="220" w:type="dxa"/>
            <w:vAlign w:val="bottom"/>
          </w:tcPr>
          <w:p>
            <w:pPr>
              <w:spacing w:after="0"/>
              <w:rPr>
                <w:sz w:val="20"/>
                <w:szCs w:val="20"/>
                <w:color w:val="auto"/>
              </w:rPr>
            </w:pPr>
          </w:p>
        </w:tc>
        <w:tc>
          <w:tcPr>
            <w:tcW w:w="1600" w:type="dxa"/>
            <w:vAlign w:val="bottom"/>
            <w:gridSpan w:val="10"/>
          </w:tcPr>
          <w:p>
            <w:pPr>
              <w:spacing w:after="0" w:line="238" w:lineRule="exact"/>
              <w:rPr>
                <w:sz w:val="20"/>
                <w:szCs w:val="20"/>
                <w:color w:val="auto"/>
              </w:rPr>
            </w:pPr>
            <w:r>
              <w:rPr>
                <w:rFonts w:ascii="Times New Roman" w:cs="Times New Roman" w:eastAsia="Times New Roman" w:hAnsi="Times New Roman"/>
                <w:sz w:val="21"/>
                <w:szCs w:val="21"/>
                <w:color w:val="0000FF"/>
              </w:rPr>
              <w:t>Successor Agents</w:t>
            </w:r>
          </w:p>
        </w:tc>
        <w:tc>
          <w:tcPr>
            <w:tcW w:w="260" w:type="dxa"/>
            <w:vAlign w:val="bottom"/>
            <w:gridSpan w:val="5"/>
          </w:tcPr>
          <w:p>
            <w:pPr>
              <w:jc w:val="right"/>
              <w:spacing w:after="0" w:line="238" w:lineRule="exact"/>
              <w:rPr>
                <w:sz w:val="20"/>
                <w:szCs w:val="20"/>
                <w:color w:val="auto"/>
              </w:rPr>
            </w:pPr>
            <w:r>
              <w:rPr>
                <w:rFonts w:ascii="Times New Roman" w:cs="Times New Roman" w:eastAsia="Times New Roman" w:hAnsi="Times New Roman"/>
                <w:sz w:val="21"/>
                <w:szCs w:val="21"/>
                <w:color w:val="auto"/>
              </w:rPr>
              <w:t>72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9.10</w:t>
            </w:r>
          </w:p>
        </w:tc>
        <w:tc>
          <w:tcPr>
            <w:tcW w:w="220" w:type="dxa"/>
            <w:vAlign w:val="bottom"/>
          </w:tcPr>
          <w:p>
            <w:pPr>
              <w:spacing w:after="0"/>
              <w:rPr>
                <w:sz w:val="19"/>
                <w:szCs w:val="19"/>
                <w:color w:val="auto"/>
              </w:rPr>
            </w:pPr>
          </w:p>
        </w:tc>
        <w:tc>
          <w:tcPr>
            <w:tcW w:w="4100" w:type="dxa"/>
            <w:vAlign w:val="bottom"/>
            <w:gridSpan w:val="26"/>
          </w:tcPr>
          <w:p>
            <w:pPr>
              <w:spacing w:after="0" w:line="225" w:lineRule="exact"/>
              <w:rPr>
                <w:sz w:val="20"/>
                <w:szCs w:val="20"/>
                <w:color w:val="auto"/>
              </w:rPr>
            </w:pPr>
            <w:r>
              <w:rPr>
                <w:rFonts w:ascii="Times New Roman" w:cs="Times New Roman" w:eastAsia="Times New Roman" w:hAnsi="Times New Roman"/>
                <w:sz w:val="21"/>
                <w:szCs w:val="21"/>
                <w:color w:val="0000FF"/>
              </w:rPr>
              <w:t>Administrative Agent May File Proofs of Claim</w:t>
            </w:r>
          </w:p>
        </w:tc>
        <w:tc>
          <w:tcPr>
            <w:tcW w:w="300" w:type="dxa"/>
            <w:vAlign w:val="bottom"/>
          </w:tcPr>
          <w:p>
            <w:pPr>
              <w:jc w:val="right"/>
              <w:spacing w:after="0" w:line="225" w:lineRule="exact"/>
              <w:rPr>
                <w:sz w:val="20"/>
                <w:szCs w:val="20"/>
                <w:color w:val="auto"/>
              </w:rPr>
            </w:pPr>
            <w:r>
              <w:rPr>
                <w:rFonts w:ascii="Times New Roman" w:cs="Times New Roman" w:eastAsia="Times New Roman" w:hAnsi="Times New Roman"/>
                <w:sz w:val="21"/>
                <w:szCs w:val="21"/>
                <w:color w:val="auto"/>
              </w:rPr>
              <w:t>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9.11</w:t>
            </w:r>
          </w:p>
        </w:tc>
        <w:tc>
          <w:tcPr>
            <w:tcW w:w="220" w:type="dxa"/>
            <w:vAlign w:val="bottom"/>
          </w:tcPr>
          <w:p>
            <w:pPr>
              <w:spacing w:after="0"/>
              <w:rPr>
                <w:sz w:val="20"/>
                <w:szCs w:val="20"/>
                <w:color w:val="auto"/>
              </w:rPr>
            </w:pPr>
          </w:p>
        </w:tc>
        <w:tc>
          <w:tcPr>
            <w:tcW w:w="1600" w:type="dxa"/>
            <w:vAlign w:val="bottom"/>
            <w:gridSpan w:val="10"/>
          </w:tcPr>
          <w:p>
            <w:pPr>
              <w:spacing w:after="0" w:line="238" w:lineRule="exact"/>
              <w:rPr>
                <w:sz w:val="20"/>
                <w:szCs w:val="20"/>
                <w:color w:val="auto"/>
              </w:rPr>
            </w:pPr>
            <w:r>
              <w:rPr>
                <w:rFonts w:ascii="Times New Roman" w:cs="Times New Roman" w:eastAsia="Times New Roman" w:hAnsi="Times New Roman"/>
                <w:sz w:val="21"/>
                <w:szCs w:val="21"/>
                <w:color w:val="0000FF"/>
              </w:rPr>
              <w:t>Collateral Matters</w:t>
            </w:r>
          </w:p>
        </w:tc>
        <w:tc>
          <w:tcPr>
            <w:tcW w:w="440" w:type="dxa"/>
            <w:vAlign w:val="bottom"/>
            <w:gridSpan w:val="6"/>
          </w:tcPr>
          <w:p>
            <w:pPr>
              <w:jc w:val="right"/>
              <w:ind w:right="57"/>
              <w:spacing w:after="0" w:line="238" w:lineRule="exact"/>
              <w:rPr>
                <w:sz w:val="20"/>
                <w:szCs w:val="20"/>
                <w:color w:val="auto"/>
              </w:rPr>
            </w:pPr>
            <w:r>
              <w:rPr>
                <w:rFonts w:ascii="Times New Roman" w:cs="Times New Roman" w:eastAsia="Times New Roman" w:hAnsi="Times New Roman"/>
                <w:sz w:val="21"/>
                <w:szCs w:val="21"/>
                <w:color w:val="auto"/>
              </w:rPr>
              <w:t>74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9.12</w:t>
            </w:r>
          </w:p>
        </w:tc>
        <w:tc>
          <w:tcPr>
            <w:tcW w:w="220" w:type="dxa"/>
            <w:vAlign w:val="bottom"/>
          </w:tcPr>
          <w:p>
            <w:pPr>
              <w:spacing w:after="0"/>
              <w:rPr>
                <w:sz w:val="19"/>
                <w:szCs w:val="19"/>
                <w:color w:val="auto"/>
              </w:rPr>
            </w:pPr>
          </w:p>
        </w:tc>
        <w:tc>
          <w:tcPr>
            <w:tcW w:w="3620" w:type="dxa"/>
            <w:vAlign w:val="bottom"/>
            <w:gridSpan w:val="24"/>
          </w:tcPr>
          <w:p>
            <w:pPr>
              <w:spacing w:after="0" w:line="225" w:lineRule="exact"/>
              <w:rPr>
                <w:sz w:val="20"/>
                <w:szCs w:val="20"/>
                <w:color w:val="auto"/>
              </w:rPr>
            </w:pPr>
            <w:r>
              <w:rPr>
                <w:rFonts w:ascii="Times New Roman" w:cs="Times New Roman" w:eastAsia="Times New Roman" w:hAnsi="Times New Roman"/>
                <w:sz w:val="21"/>
                <w:szCs w:val="21"/>
                <w:color w:val="0000FF"/>
                <w:w w:val="96"/>
              </w:rPr>
              <w:t>Other Agents; Lead Arranger and Managers</w:t>
            </w:r>
          </w:p>
        </w:tc>
        <w:tc>
          <w:tcPr>
            <w:tcW w:w="48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1"/>
                <w:szCs w:val="21"/>
                <w:color w:val="auto"/>
              </w:rPr>
              <w:t>75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840" w:type="dxa"/>
            <w:vAlign w:val="bottom"/>
            <w:gridSpan w:val="1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9.13</w:t>
            </w:r>
          </w:p>
        </w:tc>
        <w:tc>
          <w:tcPr>
            <w:tcW w:w="220" w:type="dxa"/>
            <w:vAlign w:val="bottom"/>
          </w:tcPr>
          <w:p>
            <w:pPr>
              <w:spacing w:after="0"/>
              <w:rPr>
                <w:sz w:val="20"/>
                <w:szCs w:val="20"/>
                <w:color w:val="auto"/>
              </w:rPr>
            </w:pPr>
          </w:p>
        </w:tc>
        <w:tc>
          <w:tcPr>
            <w:tcW w:w="3220" w:type="dxa"/>
            <w:vAlign w:val="bottom"/>
            <w:gridSpan w:val="22"/>
          </w:tcPr>
          <w:p>
            <w:pPr>
              <w:spacing w:after="0" w:line="238" w:lineRule="exact"/>
              <w:rPr>
                <w:sz w:val="20"/>
                <w:szCs w:val="20"/>
                <w:color w:val="auto"/>
              </w:rPr>
            </w:pPr>
            <w:r>
              <w:rPr>
                <w:rFonts w:ascii="Times New Roman" w:cs="Times New Roman" w:eastAsia="Times New Roman" w:hAnsi="Times New Roman"/>
                <w:sz w:val="21"/>
                <w:szCs w:val="21"/>
                <w:color w:val="0000FF"/>
              </w:rPr>
              <w:t>Appointment of Supplemental Agents</w:t>
            </w:r>
          </w:p>
        </w:tc>
        <w:tc>
          <w:tcPr>
            <w:tcW w:w="400" w:type="dxa"/>
            <w:vAlign w:val="bottom"/>
            <w:gridSpan w:val="2"/>
          </w:tcPr>
          <w:p>
            <w:pPr>
              <w:jc w:val="right"/>
              <w:ind w:right="100"/>
              <w:spacing w:after="0" w:line="238" w:lineRule="exact"/>
              <w:rPr>
                <w:sz w:val="20"/>
                <w:szCs w:val="20"/>
                <w:color w:val="auto"/>
              </w:rPr>
            </w:pPr>
            <w:r>
              <w:rPr>
                <w:rFonts w:ascii="Times New Roman" w:cs="Times New Roman" w:eastAsia="Times New Roman" w:hAnsi="Times New Roman"/>
                <w:sz w:val="21"/>
                <w:szCs w:val="21"/>
                <w:color w:val="auto"/>
              </w:rPr>
              <w:t>75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200" w:type="dxa"/>
            <w:vAlign w:val="bottom"/>
            <w:gridSpan w:val="1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8"/>
        </w:trPr>
        <w:tc>
          <w:tcPr>
            <w:tcW w:w="620" w:type="dxa"/>
            <w:vAlign w:val="bottom"/>
          </w:tcPr>
          <w:p>
            <w:pPr>
              <w:spacing w:after="0"/>
              <w:rPr>
                <w:sz w:val="20"/>
                <w:szCs w:val="20"/>
                <w:color w:val="auto"/>
              </w:rPr>
            </w:pPr>
          </w:p>
        </w:tc>
        <w:tc>
          <w:tcPr>
            <w:tcW w:w="10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9.14</w:t>
            </w:r>
          </w:p>
        </w:tc>
        <w:tc>
          <w:tcPr>
            <w:tcW w:w="220" w:type="dxa"/>
            <w:vAlign w:val="bottom"/>
          </w:tcPr>
          <w:p>
            <w:pPr>
              <w:spacing w:after="0"/>
              <w:rPr>
                <w:sz w:val="20"/>
                <w:szCs w:val="20"/>
                <w:color w:val="auto"/>
              </w:rPr>
            </w:pPr>
          </w:p>
        </w:tc>
        <w:tc>
          <w:tcPr>
            <w:tcW w:w="2460" w:type="dxa"/>
            <w:vAlign w:val="bottom"/>
            <w:gridSpan w:val="19"/>
          </w:tcPr>
          <w:p>
            <w:pPr>
              <w:spacing w:after="0" w:line="238" w:lineRule="exact"/>
              <w:rPr>
                <w:sz w:val="20"/>
                <w:szCs w:val="20"/>
                <w:color w:val="auto"/>
              </w:rPr>
            </w:pPr>
            <w:r>
              <w:rPr>
                <w:rFonts w:ascii="Times New Roman" w:cs="Times New Roman" w:eastAsia="Times New Roman" w:hAnsi="Times New Roman"/>
                <w:sz w:val="21"/>
                <w:szCs w:val="21"/>
                <w:color w:val="0000FF"/>
              </w:rPr>
              <w:t>Withholding Tax Indemnity</w:t>
            </w:r>
          </w:p>
        </w:tc>
        <w:tc>
          <w:tcPr>
            <w:tcW w:w="28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w w:val="95"/>
              </w:rPr>
              <w:t>75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600" w:type="dxa"/>
            <w:vAlign w:val="bottom"/>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5"/>
        </w:trPr>
        <w:tc>
          <w:tcPr>
            <w:tcW w:w="620" w:type="dxa"/>
            <w:vAlign w:val="bottom"/>
          </w:tcPr>
          <w:p>
            <w:pPr>
              <w:spacing w:after="0"/>
              <w:rPr>
                <w:sz w:val="19"/>
                <w:szCs w:val="19"/>
                <w:color w:val="auto"/>
              </w:rPr>
            </w:pPr>
          </w:p>
        </w:tc>
        <w:tc>
          <w:tcPr>
            <w:tcW w:w="10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9.15</w:t>
            </w:r>
          </w:p>
        </w:tc>
        <w:tc>
          <w:tcPr>
            <w:tcW w:w="220" w:type="dxa"/>
            <w:vAlign w:val="bottom"/>
          </w:tcPr>
          <w:p>
            <w:pPr>
              <w:spacing w:after="0"/>
              <w:rPr>
                <w:sz w:val="19"/>
                <w:szCs w:val="19"/>
                <w:color w:val="auto"/>
              </w:rPr>
            </w:pPr>
          </w:p>
        </w:tc>
        <w:tc>
          <w:tcPr>
            <w:tcW w:w="1860" w:type="dxa"/>
            <w:vAlign w:val="bottom"/>
            <w:gridSpan w:val="15"/>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ERISA Matters  </w:t>
            </w:r>
            <w:r>
              <w:rPr>
                <w:rFonts w:ascii="Times New Roman" w:cs="Times New Roman" w:eastAsia="Times New Roman" w:hAnsi="Times New Roman"/>
                <w:sz w:val="21"/>
                <w:szCs w:val="21"/>
                <w:color w:val="000000"/>
              </w:rPr>
              <w:t>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1"/>
          <w:szCs w:val="21"/>
          <w:u w:val="single" w:color="auto"/>
          <w:color w:val="0000FF"/>
        </w:rPr>
        <w:t>Article X Miscellaneous</w:t>
      </w:r>
      <w:r>
        <w:rPr>
          <w:sz w:val="20"/>
          <w:szCs w:val="20"/>
          <w:color w:val="auto"/>
        </w:rPr>
        <w:tab/>
      </w:r>
      <w:r>
        <w:rPr>
          <w:rFonts w:ascii="Times New Roman" w:cs="Times New Roman" w:eastAsia="Times New Roman" w:hAnsi="Times New Roman"/>
          <w:sz w:val="21"/>
          <w:szCs w:val="21"/>
          <w:color w:val="auto"/>
        </w:rPr>
        <w:t>77</w:t>
      </w:r>
    </w:p>
    <w:tbl>
      <w:tblPr>
        <w:tblLayout w:type="fixed"/>
        <w:tblInd w:w="620" w:type="dxa"/>
        <w:tblCellMar>
          <w:top w:w="0" w:type="dxa"/>
          <w:left w:w="0" w:type="dxa"/>
          <w:bottom w:w="0" w:type="dxa"/>
          <w:right w:w="0" w:type="dxa"/>
        </w:tblCellMar>
      </w:tblPr>
      <w:tr>
        <w:trPr>
          <w:trHeight w:val="222"/>
        </w:trPr>
        <w:tc>
          <w:tcPr>
            <w:tcW w:w="1140" w:type="dxa"/>
            <w:vAlign w:val="bottom"/>
          </w:tcPr>
          <w:p>
            <w:pPr>
              <w:spacing w:after="0" w:line="222" w:lineRule="exact"/>
              <w:rPr>
                <w:sz w:val="20"/>
                <w:szCs w:val="20"/>
                <w:color w:val="auto"/>
              </w:rPr>
            </w:pPr>
            <w:r>
              <w:rPr>
                <w:rFonts w:ascii="Times New Roman" w:cs="Times New Roman" w:eastAsia="Times New Roman" w:hAnsi="Times New Roman"/>
                <w:sz w:val="21"/>
                <w:szCs w:val="21"/>
                <w:color w:val="0000FF"/>
                <w:w w:val="96"/>
              </w:rPr>
              <w:t>Section 10.01</w:t>
            </w:r>
          </w:p>
        </w:tc>
        <w:tc>
          <w:tcPr>
            <w:tcW w:w="180" w:type="dxa"/>
            <w:vAlign w:val="bottom"/>
          </w:tcPr>
          <w:p>
            <w:pPr>
              <w:spacing w:after="0"/>
              <w:rPr>
                <w:sz w:val="19"/>
                <w:szCs w:val="19"/>
                <w:color w:val="auto"/>
              </w:rPr>
            </w:pPr>
          </w:p>
        </w:tc>
        <w:tc>
          <w:tcPr>
            <w:tcW w:w="4920" w:type="dxa"/>
            <w:vAlign w:val="bottom"/>
            <w:gridSpan w:val="4"/>
          </w:tcPr>
          <w:p>
            <w:pPr>
              <w:spacing w:after="0" w:line="222" w:lineRule="exact"/>
              <w:rPr>
                <w:sz w:val="20"/>
                <w:szCs w:val="20"/>
                <w:color w:val="auto"/>
              </w:rPr>
            </w:pPr>
            <w:r>
              <w:rPr>
                <w:rFonts w:ascii="Times New Roman" w:cs="Times New Roman" w:eastAsia="Times New Roman" w:hAnsi="Times New Roman"/>
                <w:sz w:val="21"/>
                <w:szCs w:val="21"/>
                <w:color w:val="0000FF"/>
              </w:rPr>
              <w:t xml:space="preserve">Amendments, Etc.  </w:t>
            </w:r>
            <w:r>
              <w:rPr>
                <w:rFonts w:ascii="Times New Roman" w:cs="Times New Roman" w:eastAsia="Times New Roman" w:hAnsi="Times New Roman"/>
                <w:sz w:val="21"/>
                <w:szCs w:val="21"/>
                <w:color w:val="000000"/>
              </w:rPr>
              <w:t>77</w:t>
            </w:r>
          </w:p>
        </w:tc>
      </w:tr>
      <w:tr>
        <w:trPr>
          <w:trHeight w:val="20"/>
        </w:trPr>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4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6"/>
              </w:rPr>
              <w:t>Section 10.02</w:t>
            </w:r>
          </w:p>
        </w:tc>
        <w:tc>
          <w:tcPr>
            <w:tcW w:w="180" w:type="dxa"/>
            <w:vAlign w:val="bottom"/>
          </w:tcPr>
          <w:p>
            <w:pPr>
              <w:spacing w:after="0"/>
              <w:rPr>
                <w:sz w:val="20"/>
                <w:szCs w:val="20"/>
                <w:color w:val="auto"/>
              </w:rPr>
            </w:pPr>
          </w:p>
        </w:tc>
        <w:tc>
          <w:tcPr>
            <w:tcW w:w="4920" w:type="dxa"/>
            <w:vAlign w:val="bottom"/>
            <w:gridSpan w:val="4"/>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Notices and Other Communications; Facsimile Copies  </w:t>
            </w:r>
            <w:r>
              <w:rPr>
                <w:rFonts w:ascii="Times New Roman" w:cs="Times New Roman" w:eastAsia="Times New Roman" w:hAnsi="Times New Roman"/>
                <w:sz w:val="21"/>
                <w:szCs w:val="21"/>
                <w:color w:val="000000"/>
              </w:rPr>
              <w:t>80</w:t>
            </w:r>
          </w:p>
        </w:tc>
      </w:tr>
      <w:tr>
        <w:trPr>
          <w:trHeight w:val="225"/>
        </w:trPr>
        <w:tc>
          <w:tcPr>
            <w:tcW w:w="1140" w:type="dxa"/>
            <w:vAlign w:val="bottom"/>
            <w:tcBorders>
              <w:top w:val="single" w:sz="8" w:color="0000FF"/>
            </w:tcBorders>
          </w:tcPr>
          <w:p>
            <w:pPr>
              <w:spacing w:after="0" w:line="225" w:lineRule="exact"/>
              <w:rPr>
                <w:sz w:val="20"/>
                <w:szCs w:val="20"/>
                <w:color w:val="auto"/>
              </w:rPr>
            </w:pPr>
            <w:r>
              <w:rPr>
                <w:rFonts w:ascii="Times New Roman" w:cs="Times New Roman" w:eastAsia="Times New Roman" w:hAnsi="Times New Roman"/>
                <w:sz w:val="21"/>
                <w:szCs w:val="21"/>
                <w:color w:val="0000FF"/>
                <w:w w:val="96"/>
              </w:rPr>
              <w:t>Section 10.03</w:t>
            </w:r>
          </w:p>
        </w:tc>
        <w:tc>
          <w:tcPr>
            <w:tcW w:w="180" w:type="dxa"/>
            <w:vAlign w:val="bottom"/>
          </w:tcPr>
          <w:p>
            <w:pPr>
              <w:spacing w:after="0"/>
              <w:rPr>
                <w:sz w:val="19"/>
                <w:szCs w:val="19"/>
                <w:color w:val="auto"/>
              </w:rPr>
            </w:pPr>
          </w:p>
        </w:tc>
        <w:tc>
          <w:tcPr>
            <w:tcW w:w="4500" w:type="dxa"/>
            <w:vAlign w:val="bottom"/>
            <w:tcBorders>
              <w:top w:val="single" w:sz="8" w:color="0000FF"/>
            </w:tcBorders>
            <w:gridSpan w:val="3"/>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No Waiver; Cumulative Remedies  </w:t>
            </w:r>
            <w:r>
              <w:rPr>
                <w:rFonts w:ascii="Times New Roman" w:cs="Times New Roman" w:eastAsia="Times New Roman" w:hAnsi="Times New Roman"/>
                <w:sz w:val="21"/>
                <w:szCs w:val="21"/>
                <w:color w:val="000000"/>
              </w:rPr>
              <w:t>81</w:t>
            </w:r>
          </w:p>
        </w:tc>
        <w:tc>
          <w:tcPr>
            <w:tcW w:w="420" w:type="dxa"/>
            <w:vAlign w:val="bottom"/>
          </w:tcPr>
          <w:p>
            <w:pPr>
              <w:spacing w:after="0"/>
              <w:rPr>
                <w:sz w:val="19"/>
                <w:szCs w:val="19"/>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42" w:right="1440"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21"/>
                <w:szCs w:val="21"/>
                <w:color w:val="0000FF"/>
                <w:w w:val="93"/>
              </w:rPr>
              <w:t>Section 10.04</w:t>
            </w:r>
          </w:p>
        </w:tc>
        <w:tc>
          <w:tcPr>
            <w:tcW w:w="200" w:type="dxa"/>
            <w:vAlign w:val="bottom"/>
          </w:tcPr>
          <w:p>
            <w:pPr>
              <w:spacing w:after="0"/>
              <w:rPr>
                <w:sz w:val="21"/>
                <w:szCs w:val="21"/>
                <w:color w:val="auto"/>
              </w:rPr>
            </w:pPr>
          </w:p>
        </w:tc>
        <w:tc>
          <w:tcPr>
            <w:tcW w:w="2560" w:type="dxa"/>
            <w:vAlign w:val="bottom"/>
            <w:gridSpan w:val="14"/>
          </w:tcPr>
          <w:p>
            <w:pPr>
              <w:spacing w:after="0"/>
              <w:rPr>
                <w:sz w:val="20"/>
                <w:szCs w:val="20"/>
                <w:color w:val="auto"/>
              </w:rPr>
            </w:pPr>
            <w:r>
              <w:rPr>
                <w:rFonts w:ascii="Times New Roman" w:cs="Times New Roman" w:eastAsia="Times New Roman" w:hAnsi="Times New Roman"/>
                <w:sz w:val="21"/>
                <w:szCs w:val="21"/>
                <w:color w:val="0000FF"/>
              </w:rPr>
              <w:t>Attorney Costs and Expenses</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21"/>
                <w:szCs w:val="21"/>
                <w:color w:val="auto"/>
              </w:rPr>
              <w:t>82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10.05</w:t>
            </w:r>
          </w:p>
        </w:tc>
        <w:tc>
          <w:tcPr>
            <w:tcW w:w="200" w:type="dxa"/>
            <w:vAlign w:val="bottom"/>
          </w:tcPr>
          <w:p>
            <w:pPr>
              <w:spacing w:after="0"/>
              <w:rPr>
                <w:sz w:val="20"/>
                <w:szCs w:val="20"/>
                <w:color w:val="auto"/>
              </w:rPr>
            </w:pPr>
          </w:p>
        </w:tc>
        <w:tc>
          <w:tcPr>
            <w:tcW w:w="3740" w:type="dxa"/>
            <w:vAlign w:val="bottom"/>
            <w:gridSpan w:val="19"/>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Indemnification by the Borrower  </w:t>
            </w:r>
            <w:r>
              <w:rPr>
                <w:rFonts w:ascii="Times New Roman" w:cs="Times New Roman" w:eastAsia="Times New Roman" w:hAnsi="Times New Roman"/>
                <w:sz w:val="21"/>
                <w:szCs w:val="21"/>
                <w:color w:val="000000"/>
              </w:rPr>
              <w:t>83</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5"/>
        </w:trPr>
        <w:tc>
          <w:tcPr>
            <w:tcW w:w="1120" w:type="dxa"/>
            <w:vAlign w:val="bottom"/>
            <w:tcBorders>
              <w:top w:val="single" w:sz="8" w:color="0000FF"/>
              <w:bottom w:val="single" w:sz="8" w:color="0000FF"/>
            </w:tcBorders>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10.06</w:t>
            </w:r>
          </w:p>
        </w:tc>
        <w:tc>
          <w:tcPr>
            <w:tcW w:w="200" w:type="dxa"/>
            <w:vAlign w:val="bottom"/>
          </w:tcPr>
          <w:p>
            <w:pPr>
              <w:spacing w:after="0"/>
              <w:rPr>
                <w:sz w:val="19"/>
                <w:szCs w:val="19"/>
                <w:color w:val="auto"/>
              </w:rPr>
            </w:pPr>
          </w:p>
        </w:tc>
        <w:tc>
          <w:tcPr>
            <w:tcW w:w="1660" w:type="dxa"/>
            <w:vAlign w:val="bottom"/>
            <w:tcBorders>
              <w:top w:val="single" w:sz="8" w:color="0000FF"/>
              <w:bottom w:val="single" w:sz="8" w:color="0000FF"/>
            </w:tcBorders>
            <w:gridSpan w:val="6"/>
          </w:tcPr>
          <w:p>
            <w:pPr>
              <w:spacing w:after="0" w:line="225" w:lineRule="exact"/>
              <w:rPr>
                <w:sz w:val="20"/>
                <w:szCs w:val="20"/>
                <w:color w:val="auto"/>
              </w:rPr>
            </w:pPr>
            <w:r>
              <w:rPr>
                <w:rFonts w:ascii="Times New Roman" w:cs="Times New Roman" w:eastAsia="Times New Roman" w:hAnsi="Times New Roman"/>
                <w:sz w:val="21"/>
                <w:szCs w:val="21"/>
                <w:color w:val="0000FF"/>
                <w:w w:val="97"/>
              </w:rPr>
              <w:t>Payments Set Aside</w:t>
            </w:r>
          </w:p>
        </w:tc>
        <w:tc>
          <w:tcPr>
            <w:tcW w:w="140" w:type="dxa"/>
            <w:vAlign w:val="bottom"/>
            <w:tcBorders>
              <w:top w:val="single" w:sz="8" w:color="0000FF"/>
            </w:tcBorders>
            <w:gridSpan w:val="2"/>
          </w:tcPr>
          <w:p>
            <w:pPr>
              <w:spacing w:after="0"/>
              <w:rPr>
                <w:sz w:val="19"/>
                <w:szCs w:val="19"/>
                <w:color w:val="auto"/>
              </w:rPr>
            </w:pPr>
          </w:p>
        </w:tc>
        <w:tc>
          <w:tcPr>
            <w:tcW w:w="360" w:type="dxa"/>
            <w:vAlign w:val="bottom"/>
            <w:tcBorders>
              <w:top w:val="single" w:sz="8" w:color="0000FF"/>
            </w:tcBorders>
            <w:gridSpan w:val="3"/>
          </w:tcPr>
          <w:p>
            <w:pPr>
              <w:jc w:val="right"/>
              <w:ind w:right="100"/>
              <w:spacing w:after="0" w:line="225" w:lineRule="exact"/>
              <w:rPr>
                <w:sz w:val="20"/>
                <w:szCs w:val="20"/>
                <w:color w:val="auto"/>
              </w:rPr>
            </w:pPr>
            <w:r>
              <w:rPr>
                <w:rFonts w:ascii="Times New Roman" w:cs="Times New Roman" w:eastAsia="Times New Roman" w:hAnsi="Times New Roman"/>
                <w:sz w:val="21"/>
                <w:szCs w:val="21"/>
                <w:color w:val="auto"/>
              </w:rPr>
              <w:t>84</w:t>
            </w: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10.07</w:t>
            </w:r>
          </w:p>
        </w:tc>
        <w:tc>
          <w:tcPr>
            <w:tcW w:w="200" w:type="dxa"/>
            <w:vAlign w:val="bottom"/>
          </w:tcPr>
          <w:p>
            <w:pPr>
              <w:spacing w:after="0"/>
              <w:rPr>
                <w:sz w:val="20"/>
                <w:szCs w:val="20"/>
                <w:color w:val="auto"/>
              </w:rPr>
            </w:pPr>
          </w:p>
        </w:tc>
        <w:tc>
          <w:tcPr>
            <w:tcW w:w="2160" w:type="dxa"/>
            <w:vAlign w:val="bottom"/>
            <w:gridSpan w:val="11"/>
          </w:tcPr>
          <w:p>
            <w:pPr>
              <w:spacing w:after="0" w:line="238" w:lineRule="exact"/>
              <w:rPr>
                <w:sz w:val="20"/>
                <w:szCs w:val="20"/>
                <w:color w:val="auto"/>
              </w:rPr>
            </w:pPr>
            <w:r>
              <w:rPr>
                <w:rFonts w:ascii="Times New Roman" w:cs="Times New Roman" w:eastAsia="Times New Roman" w:hAnsi="Times New Roman"/>
                <w:sz w:val="21"/>
                <w:szCs w:val="21"/>
                <w:color w:val="0000FF"/>
              </w:rPr>
              <w:t>Successors and Assigns</w:t>
            </w:r>
          </w:p>
        </w:tc>
        <w:tc>
          <w:tcPr>
            <w:tcW w:w="26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w w:val="95"/>
              </w:rPr>
              <w:t>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5"/>
        </w:trPr>
        <w:tc>
          <w:tcPr>
            <w:tcW w:w="1120" w:type="dxa"/>
            <w:vAlign w:val="bottom"/>
            <w:tcBorders>
              <w:top w:val="single" w:sz="8" w:color="0000FF"/>
              <w:bottom w:val="single" w:sz="8" w:color="0000FF"/>
            </w:tcBorders>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10.08</w:t>
            </w:r>
          </w:p>
        </w:tc>
        <w:tc>
          <w:tcPr>
            <w:tcW w:w="200" w:type="dxa"/>
            <w:vAlign w:val="bottom"/>
          </w:tcPr>
          <w:p>
            <w:pPr>
              <w:spacing w:after="0"/>
              <w:rPr>
                <w:sz w:val="19"/>
                <w:szCs w:val="19"/>
                <w:color w:val="auto"/>
              </w:rPr>
            </w:pPr>
          </w:p>
        </w:tc>
        <w:tc>
          <w:tcPr>
            <w:tcW w:w="1260" w:type="dxa"/>
            <w:vAlign w:val="bottom"/>
            <w:tcBorders>
              <w:top w:val="single" w:sz="8" w:color="0000FF"/>
              <w:bottom w:val="single" w:sz="8" w:color="0000FF"/>
            </w:tcBorders>
            <w:gridSpan w:val="4"/>
          </w:tcPr>
          <w:p>
            <w:pPr>
              <w:spacing w:after="0" w:line="225" w:lineRule="exact"/>
              <w:rPr>
                <w:sz w:val="20"/>
                <w:szCs w:val="20"/>
                <w:color w:val="auto"/>
              </w:rPr>
            </w:pPr>
            <w:r>
              <w:rPr>
                <w:rFonts w:ascii="Times New Roman" w:cs="Times New Roman" w:eastAsia="Times New Roman" w:hAnsi="Times New Roman"/>
                <w:sz w:val="21"/>
                <w:szCs w:val="21"/>
                <w:color w:val="0000FF"/>
                <w:w w:val="97"/>
              </w:rPr>
              <w:t>Confidentiality</w:t>
            </w:r>
          </w:p>
        </w:tc>
        <w:tc>
          <w:tcPr>
            <w:tcW w:w="480" w:type="dxa"/>
            <w:vAlign w:val="bottom"/>
            <w:tcBorders>
              <w:top w:val="single" w:sz="8" w:color="0000FF"/>
            </w:tcBorders>
            <w:gridSpan w:val="3"/>
          </w:tcPr>
          <w:p>
            <w:pPr>
              <w:jc w:val="right"/>
              <w:ind w:right="80"/>
              <w:spacing w:after="0" w:line="225" w:lineRule="exact"/>
              <w:rPr>
                <w:sz w:val="20"/>
                <w:szCs w:val="20"/>
                <w:color w:val="auto"/>
              </w:rPr>
            </w:pPr>
            <w:r>
              <w:rPr>
                <w:rFonts w:ascii="Times New Roman" w:cs="Times New Roman" w:eastAsia="Times New Roman" w:hAnsi="Times New Roman"/>
                <w:sz w:val="21"/>
                <w:szCs w:val="21"/>
                <w:color w:val="auto"/>
              </w:rPr>
              <w:t>91</w:t>
            </w: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10.09</w:t>
            </w:r>
          </w:p>
        </w:tc>
        <w:tc>
          <w:tcPr>
            <w:tcW w:w="200" w:type="dxa"/>
            <w:vAlign w:val="bottom"/>
          </w:tcPr>
          <w:p>
            <w:pPr>
              <w:spacing w:after="0"/>
              <w:rPr>
                <w:sz w:val="20"/>
                <w:szCs w:val="20"/>
                <w:color w:val="auto"/>
              </w:rPr>
            </w:pPr>
          </w:p>
        </w:tc>
        <w:tc>
          <w:tcPr>
            <w:tcW w:w="1260" w:type="dxa"/>
            <w:vAlign w:val="bottom"/>
            <w:gridSpan w:val="4"/>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Setoff  </w:t>
            </w:r>
            <w:r>
              <w:rPr>
                <w:rFonts w:ascii="Times New Roman" w:cs="Times New Roman" w:eastAsia="Times New Roman" w:hAnsi="Times New Roman"/>
                <w:sz w:val="21"/>
                <w:szCs w:val="21"/>
                <w:color w:val="000000"/>
              </w:rPr>
              <w:t>92</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10.10</w:t>
            </w:r>
          </w:p>
        </w:tc>
        <w:tc>
          <w:tcPr>
            <w:tcW w:w="200" w:type="dxa"/>
            <w:vAlign w:val="bottom"/>
          </w:tcPr>
          <w:p>
            <w:pPr>
              <w:spacing w:after="0"/>
              <w:rPr>
                <w:sz w:val="20"/>
                <w:szCs w:val="20"/>
                <w:color w:val="auto"/>
              </w:rPr>
            </w:pPr>
          </w:p>
        </w:tc>
        <w:tc>
          <w:tcPr>
            <w:tcW w:w="2160" w:type="dxa"/>
            <w:vAlign w:val="bottom"/>
            <w:gridSpan w:val="11"/>
          </w:tcPr>
          <w:p>
            <w:pPr>
              <w:spacing w:after="0" w:line="238" w:lineRule="exact"/>
              <w:rPr>
                <w:sz w:val="20"/>
                <w:szCs w:val="20"/>
                <w:color w:val="auto"/>
              </w:rPr>
            </w:pPr>
            <w:r>
              <w:rPr>
                <w:rFonts w:ascii="Times New Roman" w:cs="Times New Roman" w:eastAsia="Times New Roman" w:hAnsi="Times New Roman"/>
                <w:sz w:val="21"/>
                <w:szCs w:val="21"/>
                <w:color w:val="0000FF"/>
              </w:rPr>
              <w:t>Interest Rate Limitation</w:t>
            </w:r>
          </w:p>
        </w:tc>
        <w:tc>
          <w:tcPr>
            <w:tcW w:w="260" w:type="dxa"/>
            <w:vAlign w:val="bottom"/>
          </w:tcPr>
          <w:p>
            <w:pPr>
              <w:jc w:val="right"/>
              <w:spacing w:after="0" w:line="238" w:lineRule="exact"/>
              <w:rPr>
                <w:sz w:val="20"/>
                <w:szCs w:val="20"/>
                <w:color w:val="auto"/>
              </w:rPr>
            </w:pPr>
            <w:r>
              <w:rPr>
                <w:rFonts w:ascii="Times New Roman" w:cs="Times New Roman" w:eastAsia="Times New Roman" w:hAnsi="Times New Roman"/>
                <w:sz w:val="21"/>
                <w:szCs w:val="21"/>
                <w:color w:val="auto"/>
                <w:w w:val="95"/>
              </w:rPr>
              <w:t>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5"/>
        </w:trPr>
        <w:tc>
          <w:tcPr>
            <w:tcW w:w="1120" w:type="dxa"/>
            <w:vAlign w:val="bottom"/>
            <w:tcBorders>
              <w:top w:val="single" w:sz="8" w:color="0000FF"/>
            </w:tcBorders>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10.11</w:t>
            </w:r>
          </w:p>
        </w:tc>
        <w:tc>
          <w:tcPr>
            <w:tcW w:w="200" w:type="dxa"/>
            <w:vAlign w:val="bottom"/>
          </w:tcPr>
          <w:p>
            <w:pPr>
              <w:spacing w:after="0"/>
              <w:rPr>
                <w:sz w:val="19"/>
                <w:szCs w:val="19"/>
                <w:color w:val="auto"/>
              </w:rPr>
            </w:pPr>
          </w:p>
        </w:tc>
        <w:tc>
          <w:tcPr>
            <w:tcW w:w="1260" w:type="dxa"/>
            <w:vAlign w:val="bottom"/>
            <w:tcBorders>
              <w:top w:val="single" w:sz="8" w:color="0000FF"/>
            </w:tcBorders>
            <w:gridSpan w:val="4"/>
          </w:tcPr>
          <w:p>
            <w:pPr>
              <w:spacing w:after="0" w:line="225" w:lineRule="exact"/>
              <w:rPr>
                <w:sz w:val="20"/>
                <w:szCs w:val="20"/>
                <w:color w:val="auto"/>
              </w:rPr>
            </w:pPr>
            <w:r>
              <w:rPr>
                <w:rFonts w:ascii="Times New Roman" w:cs="Times New Roman" w:eastAsia="Times New Roman" w:hAnsi="Times New Roman"/>
                <w:sz w:val="21"/>
                <w:szCs w:val="21"/>
                <w:color w:val="0000FF"/>
              </w:rPr>
              <w:t>Counterparts</w:t>
            </w:r>
          </w:p>
        </w:tc>
        <w:tc>
          <w:tcPr>
            <w:tcW w:w="380" w:type="dxa"/>
            <w:vAlign w:val="bottom"/>
            <w:tcBorders>
              <w:top w:val="single" w:sz="8" w:color="0000FF"/>
            </w:tcBorders>
          </w:tcPr>
          <w:p>
            <w:pPr>
              <w:jc w:val="right"/>
              <w:ind w:right="57"/>
              <w:spacing w:after="0" w:line="225" w:lineRule="exact"/>
              <w:rPr>
                <w:sz w:val="20"/>
                <w:szCs w:val="20"/>
                <w:color w:val="auto"/>
              </w:rPr>
            </w:pPr>
            <w:r>
              <w:rPr>
                <w:rFonts w:ascii="Times New Roman" w:cs="Times New Roman" w:eastAsia="Times New Roman" w:hAnsi="Times New Roman"/>
                <w:sz w:val="21"/>
                <w:szCs w:val="21"/>
                <w:color w:val="auto"/>
                <w:w w:val="95"/>
              </w:rPr>
              <w:t>93</w:t>
            </w: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10.12</w:t>
            </w:r>
          </w:p>
        </w:tc>
        <w:tc>
          <w:tcPr>
            <w:tcW w:w="200" w:type="dxa"/>
            <w:vAlign w:val="bottom"/>
          </w:tcPr>
          <w:p>
            <w:pPr>
              <w:spacing w:after="0"/>
              <w:rPr>
                <w:sz w:val="20"/>
                <w:szCs w:val="20"/>
                <w:color w:val="auto"/>
              </w:rPr>
            </w:pPr>
          </w:p>
        </w:tc>
        <w:tc>
          <w:tcPr>
            <w:tcW w:w="2160" w:type="dxa"/>
            <w:vAlign w:val="bottom"/>
            <w:gridSpan w:val="11"/>
          </w:tcPr>
          <w:p>
            <w:pPr>
              <w:spacing w:after="0" w:line="238" w:lineRule="exact"/>
              <w:rPr>
                <w:sz w:val="20"/>
                <w:szCs w:val="20"/>
                <w:color w:val="auto"/>
              </w:rPr>
            </w:pPr>
            <w:r>
              <w:rPr>
                <w:rFonts w:ascii="Times New Roman" w:cs="Times New Roman" w:eastAsia="Times New Roman" w:hAnsi="Times New Roman"/>
                <w:sz w:val="21"/>
                <w:szCs w:val="21"/>
                <w:color w:val="0000FF"/>
              </w:rPr>
              <w:t>Integration; Termination</w:t>
            </w:r>
          </w:p>
        </w:tc>
        <w:tc>
          <w:tcPr>
            <w:tcW w:w="300" w:type="dxa"/>
            <w:vAlign w:val="bottom"/>
            <w:gridSpan w:val="2"/>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rPr>
              <w:t>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1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10.13</w:t>
            </w:r>
          </w:p>
        </w:tc>
        <w:tc>
          <w:tcPr>
            <w:tcW w:w="200" w:type="dxa"/>
            <w:vAlign w:val="bottom"/>
          </w:tcPr>
          <w:p>
            <w:pPr>
              <w:spacing w:after="0"/>
              <w:rPr>
                <w:sz w:val="19"/>
                <w:szCs w:val="19"/>
                <w:color w:val="auto"/>
              </w:rPr>
            </w:pPr>
          </w:p>
        </w:tc>
        <w:tc>
          <w:tcPr>
            <w:tcW w:w="3740" w:type="dxa"/>
            <w:vAlign w:val="bottom"/>
            <w:gridSpan w:val="19"/>
          </w:tcPr>
          <w:p>
            <w:pPr>
              <w:spacing w:after="0" w:line="225" w:lineRule="exact"/>
              <w:rPr>
                <w:sz w:val="20"/>
                <w:szCs w:val="20"/>
                <w:color w:val="auto"/>
              </w:rPr>
            </w:pPr>
            <w:r>
              <w:rPr>
                <w:rFonts w:ascii="Times New Roman" w:cs="Times New Roman" w:eastAsia="Times New Roman" w:hAnsi="Times New Roman"/>
                <w:sz w:val="21"/>
                <w:szCs w:val="21"/>
                <w:color w:val="0000FF"/>
              </w:rPr>
              <w:t>Survival of Representations and Warranties</w:t>
            </w:r>
          </w:p>
        </w:tc>
        <w:tc>
          <w:tcPr>
            <w:tcW w:w="580" w:type="dxa"/>
            <w:vAlign w:val="bottom"/>
          </w:tcPr>
          <w:p>
            <w:pPr>
              <w:jc w:val="right"/>
              <w:ind w:right="217"/>
              <w:spacing w:after="0" w:line="225" w:lineRule="exact"/>
              <w:rPr>
                <w:sz w:val="20"/>
                <w:szCs w:val="20"/>
                <w:color w:val="auto"/>
              </w:rPr>
            </w:pPr>
            <w:r>
              <w:rPr>
                <w:rFonts w:ascii="Times New Roman" w:cs="Times New Roman" w:eastAsia="Times New Roman" w:hAnsi="Times New Roman"/>
                <w:sz w:val="21"/>
                <w:szCs w:val="21"/>
                <w:color w:val="auto"/>
              </w:rPr>
              <w:t>94</w:t>
            </w: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8"/>
        </w:trPr>
        <w:tc>
          <w:tcPr>
            <w:tcW w:w="1120" w:type="dxa"/>
            <w:vAlign w:val="bottom"/>
            <w:tcBorders>
              <w:top w:val="single" w:sz="8" w:color="0000FF"/>
            </w:tcBorders>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10.14</w:t>
            </w:r>
          </w:p>
        </w:tc>
        <w:tc>
          <w:tcPr>
            <w:tcW w:w="200" w:type="dxa"/>
            <w:vAlign w:val="bottom"/>
          </w:tcPr>
          <w:p>
            <w:pPr>
              <w:spacing w:after="0"/>
              <w:rPr>
                <w:sz w:val="20"/>
                <w:szCs w:val="20"/>
                <w:color w:val="auto"/>
              </w:rPr>
            </w:pPr>
          </w:p>
        </w:tc>
        <w:tc>
          <w:tcPr>
            <w:tcW w:w="1800" w:type="dxa"/>
            <w:vAlign w:val="bottom"/>
            <w:tcBorders>
              <w:top w:val="single" w:sz="8" w:color="0000FF"/>
            </w:tcBorders>
            <w:gridSpan w:val="8"/>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Severability  </w:t>
            </w:r>
            <w:r>
              <w:rPr>
                <w:rFonts w:ascii="Times New Roman" w:cs="Times New Roman" w:eastAsia="Times New Roman" w:hAnsi="Times New Roman"/>
                <w:sz w:val="21"/>
                <w:szCs w:val="21"/>
                <w:color w:val="000000"/>
              </w:rPr>
              <w:t>94</w:t>
            </w: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20" w:type="dxa"/>
            <w:vAlign w:val="bottom"/>
            <w:tcBorders>
              <w:bottom w:val="single" w:sz="8" w:color="0000FF"/>
            </w:tcBorders>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10.15</w:t>
            </w:r>
          </w:p>
        </w:tc>
        <w:tc>
          <w:tcPr>
            <w:tcW w:w="200" w:type="dxa"/>
            <w:vAlign w:val="bottom"/>
          </w:tcPr>
          <w:p>
            <w:pPr>
              <w:spacing w:after="0"/>
              <w:rPr>
                <w:sz w:val="20"/>
                <w:szCs w:val="20"/>
                <w:color w:val="auto"/>
              </w:rPr>
            </w:pPr>
          </w:p>
        </w:tc>
        <w:tc>
          <w:tcPr>
            <w:tcW w:w="1740" w:type="dxa"/>
            <w:vAlign w:val="bottom"/>
            <w:tcBorders>
              <w:bottom w:val="single" w:sz="8" w:color="0000FF"/>
            </w:tcBorders>
            <w:gridSpan w:val="7"/>
          </w:tcPr>
          <w:p>
            <w:pPr>
              <w:spacing w:after="0" w:line="238" w:lineRule="exact"/>
              <w:rPr>
                <w:sz w:val="20"/>
                <w:szCs w:val="20"/>
                <w:color w:val="auto"/>
              </w:rPr>
            </w:pPr>
            <w:r>
              <w:rPr>
                <w:rFonts w:ascii="Times New Roman" w:cs="Times New Roman" w:eastAsia="Times New Roman" w:hAnsi="Times New Roman"/>
                <w:sz w:val="21"/>
                <w:szCs w:val="21"/>
                <w:color w:val="0000FF"/>
                <w:w w:val="96"/>
              </w:rPr>
              <w:t>GOVERNING LAW</w:t>
            </w:r>
          </w:p>
        </w:tc>
        <w:tc>
          <w:tcPr>
            <w:tcW w:w="60" w:type="dxa"/>
            <w:vAlign w:val="bottom"/>
          </w:tcPr>
          <w:p>
            <w:pPr>
              <w:spacing w:after="0"/>
              <w:rPr>
                <w:sz w:val="20"/>
                <w:szCs w:val="20"/>
                <w:color w:val="auto"/>
              </w:rPr>
            </w:pPr>
          </w:p>
        </w:tc>
        <w:tc>
          <w:tcPr>
            <w:tcW w:w="360" w:type="dxa"/>
            <w:vAlign w:val="bottom"/>
            <w:gridSpan w:val="3"/>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rPr>
              <w:t>94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5"/>
        </w:trPr>
        <w:tc>
          <w:tcPr>
            <w:tcW w:w="11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10.16</w:t>
            </w:r>
          </w:p>
        </w:tc>
        <w:tc>
          <w:tcPr>
            <w:tcW w:w="200" w:type="dxa"/>
            <w:vAlign w:val="bottom"/>
          </w:tcPr>
          <w:p>
            <w:pPr>
              <w:spacing w:after="0"/>
              <w:rPr>
                <w:sz w:val="19"/>
                <w:szCs w:val="19"/>
                <w:color w:val="auto"/>
              </w:rPr>
            </w:pPr>
          </w:p>
        </w:tc>
        <w:tc>
          <w:tcPr>
            <w:tcW w:w="3740" w:type="dxa"/>
            <w:vAlign w:val="bottom"/>
            <w:gridSpan w:val="19"/>
          </w:tcPr>
          <w:p>
            <w:pPr>
              <w:spacing w:after="0" w:line="225" w:lineRule="exact"/>
              <w:rPr>
                <w:sz w:val="20"/>
                <w:szCs w:val="20"/>
                <w:color w:val="auto"/>
              </w:rPr>
            </w:pPr>
            <w:r>
              <w:rPr>
                <w:rFonts w:ascii="Times New Roman" w:cs="Times New Roman" w:eastAsia="Times New Roman" w:hAnsi="Times New Roman"/>
                <w:sz w:val="21"/>
                <w:szCs w:val="21"/>
                <w:color w:val="0000FF"/>
                <w:w w:val="98"/>
              </w:rPr>
              <w:t>WAIVER OF RIGHT TO TRIAL BY JURY</w:t>
            </w:r>
          </w:p>
        </w:tc>
        <w:tc>
          <w:tcPr>
            <w:tcW w:w="580" w:type="dxa"/>
            <w:vAlign w:val="bottom"/>
          </w:tcPr>
          <w:p>
            <w:pPr>
              <w:jc w:val="right"/>
              <w:ind w:right="117"/>
              <w:spacing w:after="0" w:line="225" w:lineRule="exact"/>
              <w:rPr>
                <w:sz w:val="20"/>
                <w:szCs w:val="20"/>
                <w:color w:val="auto"/>
              </w:rPr>
            </w:pPr>
            <w:r>
              <w:rPr>
                <w:rFonts w:ascii="Times New Roman" w:cs="Times New Roman" w:eastAsia="Times New Roman" w:hAnsi="Times New Roman"/>
                <w:sz w:val="21"/>
                <w:szCs w:val="21"/>
                <w:color w:val="auto"/>
              </w:rPr>
              <w:t>95</w:t>
            </w: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8"/>
        </w:trPr>
        <w:tc>
          <w:tcPr>
            <w:tcW w:w="1120" w:type="dxa"/>
            <w:vAlign w:val="bottom"/>
            <w:tcBorders>
              <w:top w:val="single" w:sz="8" w:color="0000FF"/>
            </w:tcBorders>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10.17</w:t>
            </w:r>
          </w:p>
        </w:tc>
        <w:tc>
          <w:tcPr>
            <w:tcW w:w="200" w:type="dxa"/>
            <w:vAlign w:val="bottom"/>
          </w:tcPr>
          <w:p>
            <w:pPr>
              <w:spacing w:after="0"/>
              <w:rPr>
                <w:sz w:val="20"/>
                <w:szCs w:val="20"/>
                <w:color w:val="auto"/>
              </w:rPr>
            </w:pPr>
          </w:p>
        </w:tc>
        <w:tc>
          <w:tcPr>
            <w:tcW w:w="1260" w:type="dxa"/>
            <w:vAlign w:val="bottom"/>
            <w:tcBorders>
              <w:top w:val="single" w:sz="8" w:color="0000FF"/>
            </w:tcBorders>
            <w:gridSpan w:val="4"/>
          </w:tcPr>
          <w:p>
            <w:pPr>
              <w:spacing w:after="0" w:line="238" w:lineRule="exact"/>
              <w:rPr>
                <w:sz w:val="20"/>
                <w:szCs w:val="20"/>
                <w:color w:val="auto"/>
              </w:rPr>
            </w:pPr>
            <w:r>
              <w:rPr>
                <w:rFonts w:ascii="Times New Roman" w:cs="Times New Roman" w:eastAsia="Times New Roman" w:hAnsi="Times New Roman"/>
                <w:sz w:val="21"/>
                <w:szCs w:val="21"/>
                <w:color w:val="0000FF"/>
                <w:w w:val="99"/>
              </w:rPr>
              <w:t>Binding Effect</w:t>
            </w:r>
          </w:p>
        </w:tc>
        <w:tc>
          <w:tcPr>
            <w:tcW w:w="380" w:type="dxa"/>
            <w:vAlign w:val="bottom"/>
            <w:tcBorders>
              <w:top w:val="single" w:sz="8" w:color="0000FF"/>
            </w:tcBorders>
          </w:tcPr>
          <w:p>
            <w:pPr>
              <w:jc w:val="right"/>
              <w:spacing w:after="0" w:line="238" w:lineRule="exact"/>
              <w:rPr>
                <w:sz w:val="20"/>
                <w:szCs w:val="20"/>
                <w:color w:val="auto"/>
              </w:rPr>
            </w:pPr>
            <w:r>
              <w:rPr>
                <w:rFonts w:ascii="Times New Roman" w:cs="Times New Roman" w:eastAsia="Times New Roman" w:hAnsi="Times New Roman"/>
                <w:sz w:val="21"/>
                <w:szCs w:val="21"/>
                <w:color w:val="auto"/>
              </w:rPr>
              <w:t>95</w:t>
            </w: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1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10.18</w:t>
            </w:r>
          </w:p>
        </w:tc>
        <w:tc>
          <w:tcPr>
            <w:tcW w:w="200" w:type="dxa"/>
            <w:vAlign w:val="bottom"/>
          </w:tcPr>
          <w:p>
            <w:pPr>
              <w:spacing w:after="0"/>
              <w:rPr>
                <w:sz w:val="19"/>
                <w:szCs w:val="19"/>
                <w:color w:val="auto"/>
              </w:rPr>
            </w:pPr>
          </w:p>
        </w:tc>
        <w:tc>
          <w:tcPr>
            <w:tcW w:w="1800" w:type="dxa"/>
            <w:vAlign w:val="bottom"/>
            <w:gridSpan w:val="8"/>
          </w:tcPr>
          <w:p>
            <w:pPr>
              <w:spacing w:after="0" w:line="225" w:lineRule="exact"/>
              <w:rPr>
                <w:sz w:val="20"/>
                <w:szCs w:val="20"/>
                <w:color w:val="auto"/>
              </w:rPr>
            </w:pPr>
            <w:r>
              <w:rPr>
                <w:rFonts w:ascii="Times New Roman" w:cs="Times New Roman" w:eastAsia="Times New Roman" w:hAnsi="Times New Roman"/>
                <w:sz w:val="21"/>
                <w:szCs w:val="21"/>
                <w:color w:val="0000FF"/>
              </w:rPr>
              <w:t>USA PATRIOT Act</w:t>
            </w:r>
          </w:p>
        </w:tc>
        <w:tc>
          <w:tcPr>
            <w:tcW w:w="360" w:type="dxa"/>
            <w:vAlign w:val="bottom"/>
            <w:gridSpan w:val="3"/>
          </w:tcPr>
          <w:p>
            <w:pPr>
              <w:jc w:val="right"/>
              <w:ind w:right="100"/>
              <w:spacing w:after="0" w:line="225" w:lineRule="exact"/>
              <w:rPr>
                <w:sz w:val="20"/>
                <w:szCs w:val="20"/>
                <w:color w:val="auto"/>
              </w:rPr>
            </w:pPr>
            <w:r>
              <w:rPr>
                <w:rFonts w:ascii="Times New Roman" w:cs="Times New Roman" w:eastAsia="Times New Roman" w:hAnsi="Times New Roman"/>
                <w:sz w:val="21"/>
                <w:szCs w:val="21"/>
                <w:color w:val="auto"/>
              </w:rPr>
              <w:t>95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10.19</w:t>
            </w:r>
          </w:p>
        </w:tc>
        <w:tc>
          <w:tcPr>
            <w:tcW w:w="200" w:type="dxa"/>
            <w:vAlign w:val="bottom"/>
          </w:tcPr>
          <w:p>
            <w:pPr>
              <w:spacing w:after="0"/>
              <w:rPr>
                <w:sz w:val="20"/>
                <w:szCs w:val="20"/>
                <w:color w:val="auto"/>
              </w:rPr>
            </w:pPr>
          </w:p>
        </w:tc>
        <w:tc>
          <w:tcPr>
            <w:tcW w:w="6700" w:type="dxa"/>
            <w:vAlign w:val="bottom"/>
            <w:gridSpan w:val="22"/>
          </w:tcPr>
          <w:p>
            <w:pPr>
              <w:spacing w:after="0" w:line="238" w:lineRule="exact"/>
              <w:rPr>
                <w:sz w:val="20"/>
                <w:szCs w:val="20"/>
                <w:color w:val="auto"/>
              </w:rPr>
            </w:pPr>
            <w:r>
              <w:rPr>
                <w:rFonts w:ascii="Times New Roman" w:cs="Times New Roman" w:eastAsia="Times New Roman" w:hAnsi="Times New Roman"/>
                <w:sz w:val="21"/>
                <w:szCs w:val="21"/>
                <w:color w:val="0000FF"/>
              </w:rPr>
              <w:t xml:space="preserve">No Advisory or Fiduciary Responsibility  </w:t>
            </w:r>
            <w:r>
              <w:rPr>
                <w:rFonts w:ascii="Times New Roman" w:cs="Times New Roman" w:eastAsia="Times New Roman" w:hAnsi="Times New Roman"/>
                <w:sz w:val="21"/>
                <w:szCs w:val="21"/>
                <w:color w:val="000000"/>
              </w:rPr>
              <w:t>96</w:t>
            </w:r>
          </w:p>
        </w:tc>
      </w:tr>
      <w:tr>
        <w:trPr>
          <w:trHeight w:val="238"/>
        </w:trPr>
        <w:tc>
          <w:tcPr>
            <w:tcW w:w="1120" w:type="dxa"/>
            <w:vAlign w:val="bottom"/>
            <w:tcBorders>
              <w:top w:val="single" w:sz="8" w:color="0000FF"/>
            </w:tcBorders>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10.20</w:t>
            </w:r>
          </w:p>
        </w:tc>
        <w:tc>
          <w:tcPr>
            <w:tcW w:w="200" w:type="dxa"/>
            <w:vAlign w:val="bottom"/>
          </w:tcPr>
          <w:p>
            <w:pPr>
              <w:spacing w:after="0"/>
              <w:rPr>
                <w:sz w:val="20"/>
                <w:szCs w:val="20"/>
                <w:color w:val="auto"/>
              </w:rPr>
            </w:pPr>
          </w:p>
        </w:tc>
        <w:tc>
          <w:tcPr>
            <w:tcW w:w="1800" w:type="dxa"/>
            <w:vAlign w:val="bottom"/>
            <w:tcBorders>
              <w:top w:val="single" w:sz="8" w:color="0000FF"/>
            </w:tcBorders>
            <w:gridSpan w:val="8"/>
          </w:tcPr>
          <w:p>
            <w:pPr>
              <w:spacing w:after="0" w:line="238" w:lineRule="exact"/>
              <w:rPr>
                <w:sz w:val="20"/>
                <w:szCs w:val="20"/>
                <w:color w:val="auto"/>
              </w:rPr>
            </w:pPr>
            <w:r>
              <w:rPr>
                <w:rFonts w:ascii="Times New Roman" w:cs="Times New Roman" w:eastAsia="Times New Roman" w:hAnsi="Times New Roman"/>
                <w:sz w:val="21"/>
                <w:szCs w:val="21"/>
                <w:color w:val="0000FF"/>
              </w:rPr>
              <w:t>Electronic Execution</w:t>
            </w:r>
          </w:p>
        </w:tc>
        <w:tc>
          <w:tcPr>
            <w:tcW w:w="360" w:type="dxa"/>
            <w:vAlign w:val="bottom"/>
            <w:tcBorders>
              <w:top w:val="single" w:sz="8" w:color="0000FF"/>
            </w:tcBorders>
            <w:gridSpan w:val="3"/>
          </w:tcPr>
          <w:p>
            <w:pPr>
              <w:jc w:val="right"/>
              <w:spacing w:after="0" w:line="238" w:lineRule="exact"/>
              <w:rPr>
                <w:sz w:val="20"/>
                <w:szCs w:val="20"/>
                <w:color w:val="auto"/>
              </w:rPr>
            </w:pPr>
            <w:r>
              <w:rPr>
                <w:rFonts w:ascii="Times New Roman" w:cs="Times New Roman" w:eastAsia="Times New Roman" w:hAnsi="Times New Roman"/>
                <w:sz w:val="21"/>
                <w:szCs w:val="21"/>
                <w:color w:val="auto"/>
              </w:rPr>
              <w:t>97</w:t>
            </w: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5"/>
        </w:trPr>
        <w:tc>
          <w:tcPr>
            <w:tcW w:w="1120" w:type="dxa"/>
            <w:vAlign w:val="bottom"/>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10.21</w:t>
            </w:r>
          </w:p>
        </w:tc>
        <w:tc>
          <w:tcPr>
            <w:tcW w:w="200" w:type="dxa"/>
            <w:vAlign w:val="bottom"/>
          </w:tcPr>
          <w:p>
            <w:pPr>
              <w:spacing w:after="0"/>
              <w:rPr>
                <w:sz w:val="19"/>
                <w:szCs w:val="19"/>
                <w:color w:val="auto"/>
              </w:rPr>
            </w:pPr>
          </w:p>
        </w:tc>
        <w:tc>
          <w:tcPr>
            <w:tcW w:w="2560" w:type="dxa"/>
            <w:vAlign w:val="bottom"/>
            <w:gridSpan w:val="14"/>
          </w:tcPr>
          <w:p>
            <w:pPr>
              <w:spacing w:after="0" w:line="225" w:lineRule="exact"/>
              <w:rPr>
                <w:sz w:val="20"/>
                <w:szCs w:val="20"/>
                <w:color w:val="auto"/>
              </w:rPr>
            </w:pPr>
            <w:r>
              <w:rPr>
                <w:rFonts w:ascii="Times New Roman" w:cs="Times New Roman" w:eastAsia="Times New Roman" w:hAnsi="Times New Roman"/>
                <w:sz w:val="21"/>
                <w:szCs w:val="21"/>
                <w:color w:val="0000FF"/>
              </w:rPr>
              <w:t>Effect of Certain Inaccuracies</w:t>
            </w:r>
          </w:p>
        </w:tc>
        <w:tc>
          <w:tcPr>
            <w:tcW w:w="820" w:type="dxa"/>
            <w:vAlign w:val="bottom"/>
            <w:gridSpan w:val="2"/>
          </w:tcPr>
          <w:p>
            <w:pPr>
              <w:jc w:val="right"/>
              <w:ind w:right="500"/>
              <w:spacing w:after="0" w:line="225" w:lineRule="exact"/>
              <w:rPr>
                <w:sz w:val="20"/>
                <w:szCs w:val="20"/>
                <w:color w:val="auto"/>
              </w:rPr>
            </w:pPr>
            <w:r>
              <w:rPr>
                <w:rFonts w:ascii="Times New Roman" w:cs="Times New Roman" w:eastAsia="Times New Roman" w:hAnsi="Times New Roman"/>
                <w:sz w:val="21"/>
                <w:szCs w:val="21"/>
                <w:color w:val="auto"/>
              </w:rPr>
              <w:t>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60" w:type="dxa"/>
            <w:vAlign w:val="bottom"/>
            <w:gridSpan w:val="13"/>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8"/>
        </w:trPr>
        <w:tc>
          <w:tcPr>
            <w:tcW w:w="11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0000FF"/>
                <w:w w:val="93"/>
              </w:rPr>
              <w:t>Section 10.22</w:t>
            </w:r>
          </w:p>
        </w:tc>
        <w:tc>
          <w:tcPr>
            <w:tcW w:w="200" w:type="dxa"/>
            <w:vAlign w:val="bottom"/>
          </w:tcPr>
          <w:p>
            <w:pPr>
              <w:spacing w:after="0"/>
              <w:rPr>
                <w:sz w:val="20"/>
                <w:szCs w:val="20"/>
                <w:color w:val="auto"/>
              </w:rPr>
            </w:pPr>
          </w:p>
        </w:tc>
        <w:tc>
          <w:tcPr>
            <w:tcW w:w="6700" w:type="dxa"/>
            <w:vAlign w:val="bottom"/>
            <w:gridSpan w:val="22"/>
          </w:tcPr>
          <w:p>
            <w:pPr>
              <w:spacing w:after="0" w:line="238" w:lineRule="exact"/>
              <w:rPr>
                <w:sz w:val="20"/>
                <w:szCs w:val="20"/>
                <w:color w:val="auto"/>
              </w:rPr>
            </w:pPr>
            <w:r>
              <w:rPr>
                <w:rFonts w:ascii="Times New Roman" w:cs="Times New Roman" w:eastAsia="Times New Roman" w:hAnsi="Times New Roman"/>
                <w:sz w:val="21"/>
                <w:szCs w:val="21"/>
                <w:color w:val="0000FF"/>
                <w:w w:val="99"/>
              </w:rPr>
              <w:t xml:space="preserve">Acknowledgement and Consent to Bail-In of Affected Financial Institutions  </w:t>
            </w:r>
            <w:r>
              <w:rPr>
                <w:rFonts w:ascii="Times New Roman" w:cs="Times New Roman" w:eastAsia="Times New Roman" w:hAnsi="Times New Roman"/>
                <w:sz w:val="21"/>
                <w:szCs w:val="21"/>
                <w:color w:val="000000"/>
                <w:w w:val="99"/>
              </w:rPr>
              <w:t>97</w:t>
            </w:r>
          </w:p>
        </w:tc>
      </w:tr>
      <w:tr>
        <w:trPr>
          <w:trHeight w:val="225"/>
        </w:trPr>
        <w:tc>
          <w:tcPr>
            <w:tcW w:w="1120" w:type="dxa"/>
            <w:vAlign w:val="bottom"/>
            <w:tcBorders>
              <w:top w:val="single" w:sz="8" w:color="0000FF"/>
            </w:tcBorders>
          </w:tcPr>
          <w:p>
            <w:pPr>
              <w:spacing w:after="0" w:line="225" w:lineRule="exact"/>
              <w:rPr>
                <w:sz w:val="20"/>
                <w:szCs w:val="20"/>
                <w:color w:val="auto"/>
              </w:rPr>
            </w:pPr>
            <w:r>
              <w:rPr>
                <w:rFonts w:ascii="Times New Roman" w:cs="Times New Roman" w:eastAsia="Times New Roman" w:hAnsi="Times New Roman"/>
                <w:sz w:val="21"/>
                <w:szCs w:val="21"/>
                <w:color w:val="0000FF"/>
                <w:w w:val="93"/>
              </w:rPr>
              <w:t>Section 10.23</w:t>
            </w:r>
          </w:p>
        </w:tc>
        <w:tc>
          <w:tcPr>
            <w:tcW w:w="200" w:type="dxa"/>
            <w:vAlign w:val="bottom"/>
          </w:tcPr>
          <w:p>
            <w:pPr>
              <w:spacing w:after="0"/>
              <w:rPr>
                <w:sz w:val="19"/>
                <w:szCs w:val="19"/>
                <w:color w:val="auto"/>
              </w:rPr>
            </w:pPr>
          </w:p>
        </w:tc>
        <w:tc>
          <w:tcPr>
            <w:tcW w:w="6280" w:type="dxa"/>
            <w:vAlign w:val="bottom"/>
            <w:tcBorders>
              <w:top w:val="single" w:sz="8" w:color="0000FF"/>
            </w:tcBorders>
            <w:gridSpan w:val="21"/>
          </w:tcPr>
          <w:p>
            <w:pPr>
              <w:spacing w:after="0" w:line="225" w:lineRule="exact"/>
              <w:rPr>
                <w:sz w:val="20"/>
                <w:szCs w:val="20"/>
                <w:color w:val="auto"/>
              </w:rPr>
            </w:pPr>
            <w:r>
              <w:rPr>
                <w:rFonts w:ascii="Times New Roman" w:cs="Times New Roman" w:eastAsia="Times New Roman" w:hAnsi="Times New Roman"/>
                <w:sz w:val="21"/>
                <w:szCs w:val="21"/>
                <w:color w:val="0000FF"/>
              </w:rPr>
              <w:t xml:space="preserve">Acknowledgement Regarding Any Supported QFCs  </w:t>
            </w:r>
            <w:r>
              <w:rPr>
                <w:rFonts w:ascii="Times New Roman" w:cs="Times New Roman" w:eastAsia="Times New Roman" w:hAnsi="Times New Roman"/>
                <w:sz w:val="21"/>
                <w:szCs w:val="21"/>
                <w:color w:val="000000"/>
              </w:rPr>
              <w:t>98</w:t>
            </w:r>
          </w:p>
        </w:tc>
        <w:tc>
          <w:tcPr>
            <w:tcW w:w="420" w:type="dxa"/>
            <w:vAlign w:val="bottom"/>
          </w:tcPr>
          <w:p>
            <w:pPr>
              <w:spacing w:after="0"/>
              <w:rPr>
                <w:sz w:val="19"/>
                <w:szCs w:val="19"/>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9519"/>
          </w:cols>
          <w:pgMar w:left="940" w:top="1342"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color w:val="auto"/>
        </w:rPr>
        <w:t>SCHEDULES</w:t>
      </w:r>
    </w:p>
    <w:p>
      <w:pPr>
        <w:spacing w:after="0" w:line="236" w:lineRule="exact"/>
        <w:rPr>
          <w:sz w:val="20"/>
          <w:szCs w:val="20"/>
          <w:color w:val="auto"/>
        </w:rPr>
      </w:pPr>
    </w:p>
    <w:p>
      <w:pPr>
        <w:ind w:left="480" w:hanging="477"/>
        <w:spacing w:after="0"/>
        <w:tabs>
          <w:tab w:leader="none" w:pos="4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Closing Date Base Case Model</w:t>
      </w:r>
    </w:p>
    <w:p>
      <w:pPr>
        <w:spacing w:after="0" w:line="25" w:lineRule="exact"/>
        <w:rPr>
          <w:rFonts w:ascii="Times New Roman" w:cs="Times New Roman" w:eastAsia="Times New Roman" w:hAnsi="Times New Roman"/>
          <w:sz w:val="21"/>
          <w:szCs w:val="21"/>
          <w:color w:val="auto"/>
        </w:rPr>
      </w:pPr>
    </w:p>
    <w:p>
      <w:pPr>
        <w:jc w:val="both"/>
        <w:ind w:right="8199"/>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II Material Permits 1.01A Commitments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1.01B  Selected Existing Material Contracts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5.08   Environmental Matters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5.09  Litigation</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5.15  Jurisdiction; Subsidiaries</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7.01  Existing Liens</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7.02  Existing Indebtedness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7.03  Closing Date Investments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7.05  Closing Date Dispositions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7.08  Transactions with Affiliates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10.02(a)  Administrative Agent’s Office, Certain Addresses for Notices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EXHIBITS</w:t>
      </w:r>
    </w:p>
    <w:p>
      <w:pPr>
        <w:spacing w:after="0" w:line="236" w:lineRule="exact"/>
        <w:rPr>
          <w:sz w:val="20"/>
          <w:szCs w:val="20"/>
          <w:color w:val="auto"/>
        </w:rPr>
      </w:pPr>
    </w:p>
    <w:p>
      <w:pPr>
        <w:ind w:right="6599" w:firstLine="3"/>
        <w:spacing w:after="0" w:line="261" w:lineRule="auto"/>
        <w:tabs>
          <w:tab w:leader="none" w:pos="3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and Rules of Interpretation B-1 Form of Committed Loan Notice B-2 Form of Interest Election Request C Form of Borrowing Certificate</w:t>
      </w:r>
    </w:p>
    <w:p>
      <w:pPr>
        <w:spacing w:after="0" w:line="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D-1  Form of Term Note</w:t>
      </w:r>
    </w:p>
    <w:p>
      <w:pPr>
        <w:spacing w:after="0" w:line="15" w:lineRule="exact"/>
        <w:rPr>
          <w:rFonts w:ascii="Times New Roman" w:cs="Times New Roman" w:eastAsia="Times New Roman" w:hAnsi="Times New Roman"/>
          <w:sz w:val="20"/>
          <w:szCs w:val="20"/>
          <w:color w:val="auto"/>
        </w:rPr>
      </w:pPr>
    </w:p>
    <w:p>
      <w:pPr>
        <w:ind w:right="6999"/>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D-2 Form of Delayed Draw Note E-1 Form of Compliance Certificate E-2 Form of Solvency Certificate</w:t>
      </w:r>
    </w:p>
    <w:p>
      <w:pPr>
        <w:spacing w:after="0" w:line="1" w:lineRule="exact"/>
        <w:rPr>
          <w:rFonts w:ascii="Times New Roman" w:cs="Times New Roman" w:eastAsia="Times New Roman" w:hAnsi="Times New Roman"/>
          <w:sz w:val="20"/>
          <w:szCs w:val="20"/>
          <w:color w:val="auto"/>
        </w:rPr>
      </w:pPr>
    </w:p>
    <w:p>
      <w:pPr>
        <w:ind w:right="6719"/>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F Form of Assignment and Assumption G Form of Security Agreement</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H  Form of Pledge Agreement</w:t>
      </w:r>
    </w:p>
    <w:p>
      <w:pPr>
        <w:spacing w:after="0" w:line="3" w:lineRule="exact"/>
        <w:rPr>
          <w:rFonts w:ascii="Times New Roman" w:cs="Times New Roman" w:eastAsia="Times New Roman" w:hAnsi="Times New Roman"/>
          <w:sz w:val="20"/>
          <w:szCs w:val="20"/>
          <w:color w:val="auto"/>
        </w:rPr>
      </w:pPr>
    </w:p>
    <w:p>
      <w:pPr>
        <w:ind w:right="3099"/>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I-1 Form of US Tax Compliance Certificate (Foreign Non-Partnership Lenders) I-2 Form of US Tax Compliance Certificate (Foreign Non-Partnership Participants) I-3 Form of US Tax Compliance Certificate (Foreign Partnership Lenders)</w:t>
      </w:r>
    </w:p>
    <w:p>
      <w:pPr>
        <w:spacing w:after="0" w:line="1" w:lineRule="exact"/>
        <w:rPr>
          <w:rFonts w:ascii="Times New Roman" w:cs="Times New Roman" w:eastAsia="Times New Roman" w:hAnsi="Times New Roman"/>
          <w:sz w:val="20"/>
          <w:szCs w:val="20"/>
          <w:color w:val="auto"/>
        </w:rPr>
      </w:pPr>
    </w:p>
    <w:p>
      <w:pPr>
        <w:ind w:right="3519"/>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I-4 Form of US Tax Compliance Certificate (Foreign Partnership Participants) J Form of Subordination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0139"/>
          </w:cols>
          <w:pgMar w:left="320" w:top="1365"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1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This CREDIT AGREEMENT (as the same may be amended, amended and restated, supplemented or otherwise modified from time to time,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March 16, 2026, among SUMMIT PERMIAN TRANSMISSION, LLC, a Delaware limited liability company (the “</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EPIC ADMINISTRATION, LLC, as Administrative Agent and as Collateral Agent, each lender from time to time party hereto (collectively, the “</w:t>
      </w:r>
      <w:r>
        <w:rPr>
          <w:rFonts w:ascii="Times New Roman" w:cs="Times New Roman" w:eastAsia="Times New Roman" w:hAnsi="Times New Roman"/>
          <w:sz w:val="21"/>
          <w:szCs w:val="21"/>
          <w:b w:val="1"/>
          <w:bCs w:val="1"/>
          <w:color w:val="auto"/>
        </w:rPr>
        <w:t>Lenders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and Nuveen Alternative Advisors LLC, as Sole Lead Arranger.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PRELIMINARY STATEMENTS</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WHEREAS, the Borrower has requested that (a) on the Closing Date, the Lenders make Initial Term Loans to the Borrower in an aggregate principal amount of $340,000,000, (b) on the Closing Date, the Lenders provide the Delayed Draw Loan Commitments in an aggregate amount of $50,000,000 and (c) the Lenders provide, on an uncommitted and fully discretionary basis, the Nuveen Incremental Term Facility in an aggregate amount not to exceed $50,000,000;</w:t>
      </w:r>
    </w:p>
    <w:p>
      <w:pPr>
        <w:spacing w:after="0" w:line="16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20"/>
          <w:szCs w:val="20"/>
          <w:color w:val="auto"/>
        </w:rPr>
        <w:t>WHEREAS, (a) the proceeds of the Initial Term Loans will be used by the Borrower to (a) (i) refinance or repay in full the indebtedness of the Borrower incurred pursuant to the Existing Credit Agreement, (ii) make distributions to the Pledgor, for purposes of repaying or redeeming in full the outstanding TPG Preferred Equity, (iii) fund capital expenditures and other costs with respect to the Project, (iv) make the Closing Date Distribution and (v) pay the fees and expenses incurred in connection with the Transactions, and (b) the proceeds of the Delayed Draw Term Loans will be used by the Borrower from time to time to (i) fund capital expenditures and other costs with respect to the Project, and (ii) pay the fees and expenses incurred in connection with the Transactions.</w:t>
      </w:r>
    </w:p>
    <w:p>
      <w:pPr>
        <w:spacing w:after="0" w:line="15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WHEREAS, the Lenders are willing to extend the Initial Term Commitment and the Delayed Draw Loan Commitments to the Borrower on the terms and subject to the conditions set forth herein.</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consideration of the mutual covenants and agreements herein contained, the parties hereto covenant and agree as follows:</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w:t>
      </w:r>
    </w:p>
    <w:p>
      <w:pPr>
        <w:ind w:left="3340"/>
        <w:spacing w:after="0"/>
        <w:rPr>
          <w:sz w:val="20"/>
          <w:szCs w:val="20"/>
          <w:color w:val="auto"/>
        </w:rPr>
      </w:pPr>
      <w:r>
        <w:rPr>
          <w:rFonts w:ascii="Times New Roman" w:cs="Times New Roman" w:eastAsia="Times New Roman" w:hAnsi="Times New Roman"/>
          <w:sz w:val="21"/>
          <w:szCs w:val="21"/>
          <w:color w:val="auto"/>
        </w:rPr>
        <w:t>DEFINITIONS AND RULES OF INTERPRETATION</w:t>
      </w:r>
    </w:p>
    <w:p>
      <w:pPr>
        <w:spacing w:after="0" w:line="149"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1.01 Defined Terms</w:t>
      </w:r>
      <w:r>
        <w:rPr>
          <w:rFonts w:ascii="Times New Roman" w:cs="Times New Roman" w:eastAsia="Times New Roman" w:hAnsi="Times New Roman"/>
          <w:sz w:val="21"/>
          <w:szCs w:val="21"/>
          <w:color w:val="auto"/>
        </w:rPr>
        <w:t xml:space="preserve">. Except as otherwise expressly provided herein, capitalized terms used in this Agreement (including its exhibits and schedules) shall have the meanings given to such terms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1.02 Rules of Interpretation</w:t>
      </w:r>
      <w:r>
        <w:rPr>
          <w:rFonts w:ascii="Times New Roman" w:cs="Times New Roman" w:eastAsia="Times New Roman" w:hAnsi="Times New Roman"/>
          <w:sz w:val="21"/>
          <w:szCs w:val="21"/>
          <w:color w:val="auto"/>
        </w:rPr>
        <w:t xml:space="preserve">. Except as otherwise expressly provided herein or therein, the rules of interpretation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shall apply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149" w:name="page150"/>
    <w:bookmarkEnd w:id="149"/>
    <w:p>
      <w:pPr>
        <w:ind w:left="4400"/>
        <w:spacing w:after="0"/>
        <w:rPr>
          <w:sz w:val="20"/>
          <w:szCs w:val="20"/>
          <w:color w:val="auto"/>
        </w:rPr>
      </w:pPr>
      <w:r>
        <w:rPr>
          <w:rFonts w:ascii="Times New Roman" w:cs="Times New Roman" w:eastAsia="Times New Roman" w:hAnsi="Times New Roman"/>
          <w:sz w:val="21"/>
          <w:szCs w:val="21"/>
          <w:color w:val="auto"/>
        </w:rPr>
        <w:t>Article II</w:t>
      </w:r>
    </w:p>
    <w:p>
      <w:pPr>
        <w:ind w:left="3040"/>
        <w:spacing w:after="0"/>
        <w:rPr>
          <w:sz w:val="20"/>
          <w:szCs w:val="20"/>
          <w:color w:val="auto"/>
        </w:rPr>
      </w:pPr>
      <w:r>
        <w:rPr>
          <w:rFonts w:ascii="Times New Roman" w:cs="Times New Roman" w:eastAsia="Times New Roman" w:hAnsi="Times New Roman"/>
          <w:sz w:val="21"/>
          <w:szCs w:val="21"/>
          <w:color w:val="auto"/>
        </w:rPr>
        <w:t>THE COMMITMENTS AND BORROWINGS</w:t>
      </w:r>
    </w:p>
    <w:p>
      <w:pPr>
        <w:spacing w:after="0" w:line="14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2.01</w:t>
      </w:r>
      <w:r>
        <w:rPr>
          <w:sz w:val="20"/>
          <w:szCs w:val="20"/>
          <w:color w:val="auto"/>
        </w:rPr>
        <w:tab/>
      </w:r>
      <w:r>
        <w:rPr>
          <w:rFonts w:ascii="Times New Roman" w:cs="Times New Roman" w:eastAsia="Times New Roman" w:hAnsi="Times New Roman"/>
          <w:sz w:val="20"/>
          <w:szCs w:val="20"/>
          <w:u w:val="single" w:color="auto"/>
          <w:color w:val="auto"/>
        </w:rPr>
        <w:t>Borrowings of Initial Term Loans; Delayed Draw Term Loans; Incremental Term Loans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15" w:lineRule="auto"/>
        <w:tabs>
          <w:tab w:leader="none" w:pos="123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Initial Term Loans</w:t>
      </w:r>
      <w:r>
        <w:rPr>
          <w:rFonts w:ascii="Times New Roman" w:cs="Times New Roman" w:eastAsia="Times New Roman" w:hAnsi="Times New Roman"/>
          <w:sz w:val="21"/>
          <w:szCs w:val="21"/>
          <w:color w:val="auto"/>
        </w:rPr>
        <w:t xml:space="preserve">. Subject to the terms and conditions set forth herein, each Lender severally agrees to make to the Borrower, on the Closing Date, Initial Term Loans denominated in Dollars in a principal amount equal to such Lender’s Pro Rata Share of all Initial Term Loans made by all Lenders. Initial Term Loans made by each Lender pursuant to this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shall be in an aggregate principal amount not to exceed the amount of such Lender’s Initial Term Commitment. Amounts borrowed under this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and repaid or prepaid may not be reborrowed. Initial Term Loans may be Base Rate Loans or SOFR Loans, as further provided herein.</w:t>
      </w:r>
    </w:p>
    <w:p>
      <w:pPr>
        <w:spacing w:after="0" w:line="145"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Delayed Draw Term Loans</w:t>
      </w:r>
      <w:r>
        <w:rPr>
          <w:rFonts w:ascii="Times New Roman" w:cs="Times New Roman" w:eastAsia="Times New Roman" w:hAnsi="Times New Roman"/>
          <w:sz w:val="21"/>
          <w:szCs w:val="21"/>
          <w:color w:val="auto"/>
        </w:rPr>
        <w:t>. Subject to the terms and conditions set forth herein, each Delayed Draw Lender party hereto agrees to make Delayed Draw Term Loans in Dollars to the Borrower on any Business Day during the Delayed Draw Availability Period, in an aggregate principal amount not to exceed its Delayed Draw Loan Commitment. Amounts repaid or prepaid in respect of Delayed Draw Term Loans may not be reborrowed. The Delayed Draw Term Loans shall be made available as Base Rate Loans or SOFR Loans, as further provided herein.</w:t>
      </w:r>
    </w:p>
    <w:p>
      <w:pPr>
        <w:spacing w:after="0" w:line="145" w:lineRule="exact"/>
        <w:rPr>
          <w:rFonts w:ascii="Times New Roman" w:cs="Times New Roman" w:eastAsia="Times New Roman" w:hAnsi="Times New Roman"/>
          <w:sz w:val="21"/>
          <w:szCs w:val="21"/>
          <w:color w:val="auto"/>
        </w:rPr>
      </w:pPr>
    </w:p>
    <w:p>
      <w:pPr>
        <w:jc w:val="both"/>
        <w:ind w:firstLine="621"/>
        <w:spacing w:after="0" w:line="215" w:lineRule="auto"/>
        <w:tabs>
          <w:tab w:leader="none" w:pos="123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Nuveen Incremental Term Loans</w:t>
      </w:r>
      <w:r>
        <w:rPr>
          <w:rFonts w:ascii="Times New Roman" w:cs="Times New Roman" w:eastAsia="Times New Roman" w:hAnsi="Times New Roman"/>
          <w:sz w:val="21"/>
          <w:szCs w:val="21"/>
          <w:color w:val="auto"/>
        </w:rPr>
        <w:t>. Subject to the terms and conditions set forth herein, each Lender severally agrees it may, on an uncommitted and fully discretionary basis, consider making Nuveen Incremental Term Loans denominated in Dollars to the Borrower, on any Business Day during the Nuveen Incremental Term Facility Availability Period, at any time and from time to time, in an aggregate principal amount not to exceed its Nuveen Incremental Term Commitment. Amounts repaid or prepaid in respect of Nuveen Incremental Term Loans may not be reborrowed. The Nuveen Incremental Term Loans shall be made available as Base Rate Loans or SOFR Loans, as further provided herein.</w:t>
      </w:r>
    </w:p>
    <w:p>
      <w:pPr>
        <w:spacing w:after="0" w:line="14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2.02</w:t>
      </w:r>
      <w:r>
        <w:rPr>
          <w:sz w:val="20"/>
          <w:szCs w:val="20"/>
          <w:color w:val="auto"/>
        </w:rPr>
        <w:tab/>
      </w:r>
      <w:r>
        <w:rPr>
          <w:rFonts w:ascii="Times New Roman" w:cs="Times New Roman" w:eastAsia="Times New Roman" w:hAnsi="Times New Roman"/>
          <w:sz w:val="20"/>
          <w:szCs w:val="20"/>
          <w:u w:val="single" w:color="auto"/>
          <w:color w:val="auto"/>
        </w:rPr>
        <w:t>Borrowings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17" w:lineRule="auto"/>
        <w:tabs>
          <w:tab w:leader="none" w:pos="123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Borrowings.</w:t>
      </w:r>
      <w:r>
        <w:rPr>
          <w:rFonts w:ascii="Times New Roman" w:cs="Times New Roman" w:eastAsia="Times New Roman" w:hAnsi="Times New Roman"/>
          <w:sz w:val="21"/>
          <w:szCs w:val="21"/>
          <w:color w:val="auto"/>
        </w:rPr>
        <w:t xml:space="preserve"> To request a Borrowing of Term Loans, the Borrower shall notify the Administrative Agent of such request by delivering to the Administrative Agent a Committed Loan Notice and signed by the Borrower not later than 12:00 noon, New York time, ten (10) Business Days (or for the Borrowing of the Initial Term Loans on the Closing Date, three (3) Business Days) before the date of the proposed Borrowing. Each such Committed Loan Notice shall specify the following information in compliance with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ind w:left="1840" w:hanging="600"/>
        <w:spacing w:after="0"/>
        <w:tabs>
          <w:tab w:leader="none" w:pos="184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consists of Initial Term Loans, Delayed Draw Term Loans, or Incremental Term</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Loans;</w:t>
      </w:r>
    </w:p>
    <w:p>
      <w:pPr>
        <w:spacing w:after="0" w:line="149" w:lineRule="exact"/>
        <w:rPr>
          <w:rFonts w:ascii="Times New Roman" w:cs="Times New Roman" w:eastAsia="Times New Roman" w:hAnsi="Times New Roman"/>
          <w:sz w:val="20"/>
          <w:szCs w:val="20"/>
          <w:color w:val="auto"/>
        </w:rPr>
      </w:pPr>
    </w:p>
    <w:p>
      <w:pPr>
        <w:jc w:val="both"/>
        <w:ind w:left="620" w:firstLine="620"/>
        <w:spacing w:after="0" w:line="220" w:lineRule="auto"/>
        <w:tabs>
          <w:tab w:leader="none" w:pos="1852"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the requested Borrowing, which must be in an aggregate principal amount that is not less than $10,000,000 and shall be in increments of $1,000,000 in excess thereof (or such other amount (a) representing the balance of the applicable Commitment or (b) necessary to finalize any specific project, but in the case of this clause (b) in an amount not less than $1,000,000);</w:t>
      </w:r>
    </w:p>
    <w:p>
      <w:pPr>
        <w:spacing w:after="0" w:line="145" w:lineRule="exact"/>
        <w:rPr>
          <w:rFonts w:ascii="Times New Roman" w:cs="Times New Roman" w:eastAsia="Times New Roman" w:hAnsi="Times New Roman"/>
          <w:sz w:val="21"/>
          <w:szCs w:val="21"/>
          <w:color w:val="auto"/>
        </w:rPr>
      </w:pPr>
    </w:p>
    <w:p>
      <w:pPr>
        <w:ind w:left="1860" w:hanging="620"/>
        <w:spacing w:after="0"/>
        <w:tabs>
          <w:tab w:leader="none" w:pos="186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20"/>
          </w:cols>
          <w:pgMar w:left="940" w:top="1326" w:right="339" w:bottom="1440" w:gutter="0" w:footer="0" w:header="0"/>
        </w:sectPr>
      </w:pPr>
    </w:p>
    <w:bookmarkStart w:id="150" w:name="page151"/>
    <w:bookmarkEnd w:id="150"/>
    <w:p>
      <w:pPr>
        <w:ind w:left="2460" w:hanging="600"/>
        <w:spacing w:after="0"/>
        <w:tabs>
          <w:tab w:leader="none" w:pos="24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such Borrowing is to be a Base Rate Borrowing or a SOFR Borrowing; and</w:t>
      </w:r>
    </w:p>
    <w:p>
      <w:pPr>
        <w:spacing w:after="0" w:line="171"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7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specifying the Collateral Account, if any, to which the proceeds of such Borrowing are to be disbursed or such other account that is otherwise provided in a customary funds flow memorandum provided to the Administrative Agent and reasonably approved thereby.</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If no election as to the Type of Borrowing is specified, then the requested Borrowing shall be a SOFR Borrowing. Promptly following receipt of a Committed Loan Notice in accordance with this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the Administrative Agent shall advise each Lender of the details thereof and of the amount of such Lender’s Loan to be made as part of the requested Borrowing.</w:t>
      </w:r>
    </w:p>
    <w:p>
      <w:pPr>
        <w:spacing w:after="0" w:line="155" w:lineRule="exact"/>
        <w:rPr>
          <w:sz w:val="20"/>
          <w:szCs w:val="20"/>
          <w:color w:val="auto"/>
        </w:rPr>
      </w:pPr>
    </w:p>
    <w:p>
      <w:pPr>
        <w:ind w:left="1860" w:hanging="619"/>
        <w:spacing w:after="0"/>
        <w:tabs>
          <w:tab w:leader="none" w:pos="18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1240" w:firstLine="620"/>
        <w:spacing w:after="0" w:line="217" w:lineRule="auto"/>
        <w:tabs>
          <w:tab w:leader="none" w:pos="246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shall make each Loan to be made by it to the Borrower hereunder on the proposed date thereof by wire transfer of immediately available funds, by 1:00 p.m., New York, New York time, to the account of the Administrative Agent most recently designated by it for such purpose by notice to the Lenders. The Administrative Agent will make such Loans available to the Borrower by promptly crediting the amounts so received, in like funds, to such Collateral Account or other account as is designated by the Borrower in accordance with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10" w:lineRule="auto"/>
        <w:tabs>
          <w:tab w:leader="none" w:pos="2472"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2.02(b)(i)</w:t>
      </w:r>
      <w:r>
        <w:rPr>
          <w:rFonts w:ascii="Times New Roman" w:cs="Times New Roman" w:eastAsia="Times New Roman" w:hAnsi="Times New Roman"/>
          <w:sz w:val="21"/>
          <w:szCs w:val="21"/>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Loan included in such Borrowing.</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2.03</w:t>
      </w:r>
      <w:r>
        <w:rPr>
          <w:sz w:val="20"/>
          <w:szCs w:val="20"/>
          <w:color w:val="auto"/>
        </w:rPr>
        <w:tab/>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17" w:lineRule="auto"/>
        <w:tabs>
          <w:tab w:leader="none" w:pos="185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each Borrowing initially shall be of the Type specified in the applicable Committed Loan Notice. Thereafter, the Borrower may on any Business Day, upon provision of an Interest Election Request by the Borrower to the Administrative Agent not later than 12:00 p.m., New York time, on (i) in the case of a conversion to Base Rate Loans, the Business Day prior to the date of the proposed conversion and (ii) in the case of a conversion to, or a continuation of, a SOFR Borrowing, the third (3rd) Business Day prior to the date of the proposed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39" w:right="339" w:bottom="1440" w:gutter="0" w:footer="0" w:header="0"/>
        </w:sectPr>
      </w:pPr>
    </w:p>
    <w:bookmarkStart w:id="151" w:name="page152"/>
    <w:bookmarkEnd w:id="151"/>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continuation, in either case, elect, in the case of a Borrowing to convert such Borrowing to a different Type or to continue such Borrowing, all as provided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46" w:lineRule="exact"/>
        <w:rPr>
          <w:sz w:val="20"/>
          <w:szCs w:val="20"/>
          <w:color w:val="auto"/>
        </w:rPr>
      </w:pPr>
    </w:p>
    <w:p>
      <w:pPr>
        <w:jc w:val="both"/>
        <w:ind w:firstLine="621"/>
        <w:spacing w:after="0" w:line="254" w:lineRule="auto"/>
        <w:tabs>
          <w:tab w:leader="none" w:pos="123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Borrower shall notify the Administrative Agent of such election by an Interest Election Request (or in another form approved by the Administrative Agent) and signed by the Borrower.</w:t>
      </w:r>
    </w:p>
    <w:p>
      <w:pPr>
        <w:spacing w:after="0" w:line="132" w:lineRule="exact"/>
        <w:rPr>
          <w:rFonts w:ascii="Times New Roman" w:cs="Times New Roman" w:eastAsia="Times New Roman" w:hAnsi="Times New Roman"/>
          <w:sz w:val="20"/>
          <w:szCs w:val="20"/>
          <w:color w:val="auto"/>
        </w:rPr>
      </w:pPr>
    </w:p>
    <w:p>
      <w:pPr>
        <w:ind w:left="1240" w:hanging="619"/>
        <w:spacing w:after="0"/>
        <w:tabs>
          <w:tab w:leader="none" w:pos="12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Interest Election Request shall specify the following information in compliance with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20" w:firstLine="620"/>
        <w:spacing w:after="0" w:line="236" w:lineRule="auto"/>
        <w:tabs>
          <w:tab w:leader="none" w:pos="1846"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below shall be specified for each resulting Borrowing);</w:t>
      </w:r>
    </w:p>
    <w:p>
      <w:pPr>
        <w:spacing w:after="0" w:line="146" w:lineRule="exact"/>
        <w:rPr>
          <w:rFonts w:ascii="Times New Roman" w:cs="Times New Roman" w:eastAsia="Times New Roman" w:hAnsi="Times New Roman"/>
          <w:sz w:val="20"/>
          <w:szCs w:val="20"/>
          <w:color w:val="auto"/>
        </w:rPr>
      </w:pPr>
    </w:p>
    <w:p>
      <w:pPr>
        <w:ind w:left="620" w:firstLine="620"/>
        <w:spacing w:after="0" w:line="235" w:lineRule="auto"/>
        <w:tabs>
          <w:tab w:leader="none" w:pos="1852"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 Day; and</w:t>
      </w:r>
    </w:p>
    <w:p>
      <w:pPr>
        <w:spacing w:after="0" w:line="145" w:lineRule="exact"/>
        <w:rPr>
          <w:rFonts w:ascii="Times New Roman" w:cs="Times New Roman" w:eastAsia="Times New Roman" w:hAnsi="Times New Roman"/>
          <w:sz w:val="21"/>
          <w:szCs w:val="21"/>
          <w:color w:val="auto"/>
        </w:rPr>
      </w:pPr>
    </w:p>
    <w:p>
      <w:pPr>
        <w:ind w:left="1860" w:hanging="620"/>
        <w:spacing w:after="0"/>
        <w:tabs>
          <w:tab w:leader="none" w:pos="186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resulting Borrowing is to be a Base Rate Borrowing or a SOFR Borrowing.</w:t>
      </w:r>
    </w:p>
    <w:p>
      <w:pPr>
        <w:spacing w:after="0" w:line="171" w:lineRule="exact"/>
        <w:rPr>
          <w:rFonts w:ascii="Times New Roman" w:cs="Times New Roman" w:eastAsia="Times New Roman" w:hAnsi="Times New Roman"/>
          <w:sz w:val="21"/>
          <w:szCs w:val="21"/>
          <w:color w:val="auto"/>
        </w:rPr>
      </w:pPr>
    </w:p>
    <w:p>
      <w:pPr>
        <w:ind w:firstLine="621"/>
        <w:spacing w:after="0" w:line="254" w:lineRule="auto"/>
        <w:tabs>
          <w:tab w:leader="none" w:pos="123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132" w:lineRule="exact"/>
        <w:rPr>
          <w:rFonts w:ascii="Times New Roman" w:cs="Times New Roman" w:eastAsia="Times New Roman" w:hAnsi="Times New Roman"/>
          <w:sz w:val="20"/>
          <w:szCs w:val="20"/>
          <w:color w:val="auto"/>
        </w:rPr>
      </w:pPr>
    </w:p>
    <w:p>
      <w:pPr>
        <w:jc w:val="both"/>
        <w:ind w:firstLine="621"/>
        <w:spacing w:after="0" w:line="212" w:lineRule="auto"/>
        <w:tabs>
          <w:tab w:leader="none" w:pos="123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fails to deliver a timely Interest Election Request with respect to one of its SOFR Borrowings prior to the end of the Interest Period applicable thereto, then, unless such Borrowing is repaid as provided herein, at the end of such Interest Period, the Borrower shall be deemed to have selected a SOFR Borrowing. Notwithstanding any contrary provision hereof, if a Payment or Bankruptcy Event of Default has occurred and is continuing, then the Administrative Agent may (or, at the written request (including a request through electronic means) of the Required Lenders, shall) by notice to the Borrower require that, so long as such Event of Default is continuing, (i) no outstanding Borrowing may be converted to or continued as a SOFR Borrowing and (ii) unless repaid, each SOFR Borrowing shall be converted to an Base Rate Borrowing at the end of the Interest Period applicable thereto.</w:t>
      </w:r>
    </w:p>
    <w:p>
      <w:pPr>
        <w:spacing w:after="0" w:line="149"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determination of Term SOFR by the Administrative Agent shall be conclusive in the absence of manifest error. At any time that Base Rate Loans are outstanding, the Administrative Agent shall notify the Borrower and the Lenders of any change in the Prime Rate used in determining the Base Rate promptly following the announcement of such change.</w:t>
      </w:r>
    </w:p>
    <w:p>
      <w:pPr>
        <w:spacing w:after="0" w:line="145"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or make any other payment obligation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20"/>
          </w:cols>
          <w:pgMar w:left="940" w:top="1339" w:right="339" w:bottom="1440" w:gutter="0" w:footer="0" w:header="0"/>
        </w:sectPr>
      </w:pPr>
    </w:p>
    <w:bookmarkStart w:id="152" w:name="page153"/>
    <w:bookmarkEnd w:id="152"/>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2.04</w:t>
      </w:r>
      <w:r>
        <w:rPr>
          <w:sz w:val="20"/>
          <w:szCs w:val="20"/>
          <w:color w:val="auto"/>
        </w:rPr>
        <w:tab/>
      </w:r>
      <w:r>
        <w:rPr>
          <w:rFonts w:ascii="Times New Roman" w:cs="Times New Roman" w:eastAsia="Times New Roman" w:hAnsi="Times New Roman"/>
          <w:sz w:val="20"/>
          <w:szCs w:val="20"/>
          <w:u w:val="single" w:color="auto"/>
          <w:color w:val="auto"/>
        </w:rPr>
        <w:t>Prepayments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19" w:lineRule="auto"/>
        <w:tabs>
          <w:tab w:leader="none" w:pos="123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(i) The Borrower may, upon, subject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 irrevocable written notice to the Administrative Agent by the Borrower, at any time or from time to time voluntarily prepay Loans of any Class in whole or in part, together with (A) all accrued and unpaid interest thereon to, but not including, the date of such prepayment, and (B) the Applicable Premium;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such notice must be received by the Administrative Agent not later than (A) 2:00 p.m. New York City time, three (3) U.S. Government Securities Business Days prior to any date of prepayment of SOFR Loans and</w:t>
      </w:r>
    </w:p>
    <w:p>
      <w:pPr>
        <w:spacing w:after="0" w:line="4" w:lineRule="exact"/>
        <w:rPr>
          <w:rFonts w:ascii="Times New Roman" w:cs="Times New Roman" w:eastAsia="Times New Roman" w:hAnsi="Times New Roman"/>
          <w:sz w:val="20"/>
          <w:szCs w:val="20"/>
          <w:color w:val="auto"/>
        </w:rPr>
      </w:pPr>
    </w:p>
    <w:p>
      <w:pPr>
        <w:jc w:val="both"/>
        <w:ind w:firstLine="2"/>
        <w:spacing w:after="0" w:line="208" w:lineRule="auto"/>
        <w:tabs>
          <w:tab w:leader="none" w:pos="35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2:00 p.m. New York City time, three (3) Business Days prior to any date of prepayment of Base Rate Loans; (2) any prepayment of SOFR Loans shall be in a minimum principal amount of $1,000,000, or a whole multiple of $100,000 in excess thereof; and (3) any prepayment of Base Rate Loans shall be in a minimum principal amount of $1,000,000 or a whole multiple of $100,000 in excess thereof or, in each case, if less, the entire principal amount thereof then outstanding. Each such notice shall specify the date and amount of such prepayment and the Class(es) and Type(s) of Loans and the order of Borrowing(s) to be prepaid. The Administrative Agent will promptly notify each Appropriate Lender of its receipt of each such notice, and of the amount of such Lender’s Pro Rata Share of such prepayment. If such notice is given by the Borrower, the Borrower shall make such prepayment and the payment amount specified in such notice shall be due and payable on the date specified therein. In the case of each prepayment of the Loans pursuant to this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such prepayment shall be applied in direct order of maturity and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each Facility.</w:t>
      </w:r>
    </w:p>
    <w:p>
      <w:pPr>
        <w:spacing w:after="0" w:line="154" w:lineRule="exact"/>
        <w:rPr>
          <w:rFonts w:ascii="Times New Roman" w:cs="Times New Roman" w:eastAsia="Times New Roman" w:hAnsi="Times New Roman"/>
          <w:sz w:val="21"/>
          <w:szCs w:val="21"/>
          <w:color w:val="auto"/>
        </w:rPr>
      </w:pPr>
    </w:p>
    <w:p>
      <w:pPr>
        <w:jc w:val="both"/>
        <w:ind w:left="620" w:firstLine="620"/>
        <w:spacing w:after="0" w:line="225" w:lineRule="auto"/>
        <w:tabs>
          <w:tab w:leader="none" w:pos="1846"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prepayments under this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shall be made together with (A) in the case of any such prepayment of a SOFR Loan on a date other than the Interest Payment Date therefor, any amounts owing in respect of such SOFR Loan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and (B) all Swap Termination Amounts (if any).</w:t>
      </w:r>
    </w:p>
    <w:p>
      <w:pPr>
        <w:spacing w:after="0" w:line="145" w:lineRule="exact"/>
        <w:rPr>
          <w:rFonts w:ascii="Times New Roman" w:cs="Times New Roman" w:eastAsia="Times New Roman" w:hAnsi="Times New Roman"/>
          <w:sz w:val="21"/>
          <w:szCs w:val="21"/>
          <w:color w:val="auto"/>
        </w:rPr>
      </w:pPr>
    </w:p>
    <w:p>
      <w:pPr>
        <w:jc w:val="both"/>
        <w:ind w:left="620" w:firstLine="620"/>
        <w:spacing w:after="0" w:line="213" w:lineRule="auto"/>
        <w:tabs>
          <w:tab w:leader="none" w:pos="1852"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payment of any amounts owing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the Borrower may rescind any notice of prepayment under </w:t>
      </w:r>
      <w:r>
        <w:rPr>
          <w:rFonts w:ascii="Times New Roman" w:cs="Times New Roman" w:eastAsia="Times New Roman" w:hAnsi="Times New Roman"/>
          <w:sz w:val="21"/>
          <w:szCs w:val="21"/>
          <w:u w:val="single" w:color="auto"/>
          <w:color w:val="auto"/>
        </w:rPr>
        <w:t>Section 2.04(a)(i)</w:t>
      </w:r>
      <w:r>
        <w:rPr>
          <w:rFonts w:ascii="Times New Roman" w:cs="Times New Roman" w:eastAsia="Times New Roman" w:hAnsi="Times New Roman"/>
          <w:sz w:val="21"/>
          <w:szCs w:val="21"/>
          <w:color w:val="auto"/>
        </w:rPr>
        <w:t xml:space="preserve"> if such prepayment would have resulted from a refinancing of all or a portion of the applicable Facility, which refinancing shall not be consummated or shall otherwise be delayed. Each prepayment of any Class of Term Loans pursuant to this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shall be applied in an order of priority to repayments thereof required pursuant to Section 2.06 as directed by the Borrower (which may be applied to any specific Class, tranche or Facility of Indebtedness) and, absent such direction, shall be applied in direct order of maturity to repayments thereof required pursuant to Section 2.06.</w:t>
      </w:r>
    </w:p>
    <w:p>
      <w:pPr>
        <w:spacing w:after="0" w:line="149"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left="620" w:firstLine="620"/>
        <w:spacing w:after="0" w:line="213" w:lineRule="auto"/>
        <w:tabs>
          <w:tab w:leader="none" w:pos="1846"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Prohibited Indebtedness</w:t>
      </w:r>
      <w:r>
        <w:rPr>
          <w:rFonts w:ascii="Times New Roman" w:cs="Times New Roman" w:eastAsia="Times New Roman" w:hAnsi="Times New Roman"/>
          <w:sz w:val="21"/>
          <w:szCs w:val="21"/>
          <w:color w:val="auto"/>
        </w:rPr>
        <w:t>. If the Borrower incurs or issues any Indebtedness after the Closing Date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than Indebtedness not prohibited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(excluding Indebtedness incurred pursuant to </w:t>
      </w:r>
      <w:r>
        <w:rPr>
          <w:rFonts w:ascii="Times New Roman" w:cs="Times New Roman" w:eastAsia="Times New Roman" w:hAnsi="Times New Roman"/>
          <w:sz w:val="21"/>
          <w:szCs w:val="21"/>
          <w:u w:val="single" w:color="auto"/>
          <w:color w:val="auto"/>
        </w:rPr>
        <w:t>clause (l)</w:t>
      </w:r>
      <w:r>
        <w:rPr>
          <w:rFonts w:ascii="Times New Roman" w:cs="Times New Roman" w:eastAsia="Times New Roman" w:hAnsi="Times New Roman"/>
          <w:sz w:val="21"/>
          <w:szCs w:val="21"/>
          <w:color w:val="auto"/>
        </w:rPr>
        <w:t xml:space="preserve"> of the definition of “Permitted Debt” and issued into the Extraordinary Proceeds Account for application to prepayment of Term Loans in accordance with the terms hereof)), which results in the receipt by the Borrower of any Net Proceeds, the Borrower shall prepay in accordance with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an aggregate principal amount of Term Loans, together with all Swap Termination Amounts (if any) then due and payable as a result of any such prepayment plus any Applicable Premium, in an amount equal to 100% of the Net Proceeds received therefrom, on or prior to the date which is three (3) Business Days after the receipt of such Net Proceeds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20"/>
          </w:cols>
          <w:pgMar w:left="940" w:top="1339" w:right="339" w:bottom="1440" w:gutter="0" w:footer="0" w:header="0"/>
        </w:sectPr>
      </w:pPr>
    </w:p>
    <w:bookmarkStart w:id="153" w:name="page154"/>
    <w:bookmarkEnd w:id="153"/>
    <w:p>
      <w:pPr>
        <w:jc w:val="both"/>
        <w:ind w:left="120" w:firstLine="620"/>
        <w:spacing w:after="0" w:line="217" w:lineRule="auto"/>
        <w:tabs>
          <w:tab w:leader="none" w:pos="1352"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Material Contract Payment</w:t>
      </w:r>
      <w:r>
        <w:rPr>
          <w:rFonts w:ascii="Times New Roman" w:cs="Times New Roman" w:eastAsia="Times New Roman" w:hAnsi="Times New Roman"/>
          <w:sz w:val="21"/>
          <w:szCs w:val="21"/>
          <w:color w:val="auto"/>
        </w:rPr>
        <w:t>. If the Borrower receives any Net Proceeds resulting from any Material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Contract Payment, the Borrower shall prepay in accordance with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on or prior to the date which is three</w:t>
      </w:r>
    </w:p>
    <w:p>
      <w:pPr>
        <w:spacing w:after="0" w:line="1" w:lineRule="exact"/>
        <w:rPr>
          <w:rFonts w:ascii="Times New Roman" w:cs="Times New Roman" w:eastAsia="Times New Roman" w:hAnsi="Times New Roman"/>
          <w:sz w:val="21"/>
          <w:szCs w:val="21"/>
          <w:color w:val="auto"/>
        </w:rPr>
      </w:pPr>
    </w:p>
    <w:p>
      <w:pPr>
        <w:jc w:val="both"/>
        <w:ind w:left="120" w:firstLine="1"/>
        <w:spacing w:after="0" w:line="218" w:lineRule="auto"/>
        <w:tabs>
          <w:tab w:leader="none" w:pos="417"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the receipt of such Net Proceeds by the Borrower, an aggregate principal amount of Term Loans equal to the applicable Prepayment Amount (but without premium or penalty) with respect to such Material Contract Payment.</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21" w:lineRule="auto"/>
        <w:tabs>
          <w:tab w:leader="none" w:pos="1357"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Casualty Event</w:t>
      </w:r>
      <w:r>
        <w:rPr>
          <w:rFonts w:ascii="Times New Roman" w:cs="Times New Roman" w:eastAsia="Times New Roman" w:hAnsi="Times New Roman"/>
          <w:sz w:val="21"/>
          <w:szCs w:val="21"/>
          <w:color w:val="auto"/>
        </w:rPr>
        <w:t>. If the Borrower receives any Net Proceeds resulting from any Casualty Event,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shall prepay in accordance with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on or prior to the date which is five (5) Business Days after the receipt of such Net Proceeds by the Borrower, an aggregate principal amount of Term Loans equal to the applicable Prepayment Amount (but without premium or penalty) with respect to such Casualty Event.</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21" w:lineRule="auto"/>
        <w:tabs>
          <w:tab w:leader="none" w:pos="1346"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Equity Sale</w:t>
      </w:r>
      <w:r>
        <w:rPr>
          <w:rFonts w:ascii="Times New Roman" w:cs="Times New Roman" w:eastAsia="Times New Roman" w:hAnsi="Times New Roman"/>
          <w:sz w:val="21"/>
          <w:szCs w:val="21"/>
          <w:color w:val="auto"/>
        </w:rPr>
        <w:t>. If the Borrower receives any Net Proceeds from an Equity Sale, the Borrower shall prepay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on or prior to the date which is three (3) Business Days after the receipt of such Net Proceeds by the Borrower, an aggregate principal amount of Term Loans in an amount equal to the applicable Prepayment Amount plus any Applicable Premium;</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24" w:lineRule="auto"/>
        <w:tabs>
          <w:tab w:leader="none" w:pos="1353"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Material Disposition</w:t>
      </w:r>
      <w:r>
        <w:rPr>
          <w:rFonts w:ascii="Times New Roman" w:cs="Times New Roman" w:eastAsia="Times New Roman" w:hAnsi="Times New Roman"/>
          <w:sz w:val="20"/>
          <w:szCs w:val="20"/>
          <w:color w:val="auto"/>
        </w:rPr>
        <w:t>. If the Borrower receives any Net Proceeds from a Material Disposition that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Permitted Disposition pursuant to </w:t>
      </w:r>
      <w:r>
        <w:rPr>
          <w:rFonts w:ascii="Times New Roman" w:cs="Times New Roman" w:eastAsia="Times New Roman" w:hAnsi="Times New Roman"/>
          <w:sz w:val="20"/>
          <w:szCs w:val="20"/>
          <w:u w:val="single" w:color="auto"/>
          <w:color w:val="auto"/>
        </w:rPr>
        <w:t>clauses (f)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the definition thereof, or from any other Disposition that is not a Permitted Disposition, the Borrower shall prepay in accordance with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on or prior to the date which is one</w:t>
      </w:r>
    </w:p>
    <w:p>
      <w:pPr>
        <w:jc w:val="both"/>
        <w:ind w:left="120" w:firstLine="1"/>
        <w:spacing w:after="0" w:line="214" w:lineRule="auto"/>
        <w:tabs>
          <w:tab w:leader="none" w:pos="421"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 after the receipt of such Net Proceeds by the Borrower, an aggregate principal amount of Term Loans in an amount equal to the applicable Prepayment Amount plus, solely with respect to a prepayment with Net Proceeds from a Material Disposition that is a Permitted Disposition pursuant to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of the definition thereof, any Applicable Premium.</w:t>
      </w:r>
    </w:p>
    <w:p>
      <w:pPr>
        <w:spacing w:after="0" w:line="144" w:lineRule="exact"/>
        <w:rPr>
          <w:rFonts w:ascii="Times New Roman" w:cs="Times New Roman" w:eastAsia="Times New Roman" w:hAnsi="Times New Roman"/>
          <w:sz w:val="21"/>
          <w:szCs w:val="21"/>
          <w:color w:val="auto"/>
        </w:rPr>
      </w:pPr>
    </w:p>
    <w:p>
      <w:pPr>
        <w:jc w:val="both"/>
        <w:ind w:left="120" w:firstLine="620"/>
        <w:spacing w:after="0" w:line="218" w:lineRule="auto"/>
        <w:tabs>
          <w:tab w:leader="none" w:pos="1346"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Excess Cash Flow</w:t>
      </w:r>
      <w:r>
        <w:rPr>
          <w:rFonts w:ascii="Times New Roman" w:cs="Times New Roman" w:eastAsia="Times New Roman" w:hAnsi="Times New Roman"/>
          <w:sz w:val="21"/>
          <w:szCs w:val="21"/>
          <w:color w:val="auto"/>
        </w:rPr>
        <w:t>. The Borrower shall repay (i) on the last Business Day of the first full fiscal quarter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ending after the second anniversary of the Closing Date, with Excess Cash Flow in an amount equal to 100% of the Excess Cash Flow and (ii) thereafter, on the last Business Day of each applicable fiscal quarter, with Excess Cash Flow in an amount equal to (for the avoidance of doubt, any calculation of the Total Debt to EBITDA Ratio for purposes of this subclause (vi) shall not reflect the Borrower EBITDA Adjustment):</w:t>
      </w:r>
    </w:p>
    <w:p>
      <w:pPr>
        <w:spacing w:after="0" w:line="144" w:lineRule="exact"/>
        <w:rPr>
          <w:rFonts w:ascii="Times New Roman" w:cs="Times New Roman" w:eastAsia="Times New Roman" w:hAnsi="Times New Roman"/>
          <w:sz w:val="21"/>
          <w:szCs w:val="21"/>
          <w:color w:val="auto"/>
        </w:rPr>
      </w:pPr>
    </w:p>
    <w:p>
      <w:pPr>
        <w:jc w:val="both"/>
        <w:ind w:left="740" w:firstLine="618"/>
        <w:spacing w:after="0" w:line="220" w:lineRule="auto"/>
        <w:tabs>
          <w:tab w:leader="none" w:pos="1967" w:val="left"/>
        </w:tabs>
        <w:numPr>
          <w:ilvl w:val="2"/>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100% of the Excess Cash Flow generated during such fiscal quarter if the Total Debt to EBITDA Ratio, calculated as of the end of the most recently ended fiscal quarter for which a Compliance Certificate has been delivered pursuant to </w:t>
      </w:r>
      <w:r>
        <w:rPr>
          <w:rFonts w:ascii="Times New Roman" w:cs="Times New Roman" w:eastAsia="Times New Roman" w:hAnsi="Times New Roman"/>
          <w:sz w:val="21"/>
          <w:szCs w:val="21"/>
          <w:u w:val="single" w:color="auto"/>
          <w:color w:val="auto"/>
        </w:rPr>
        <w:t>Section 6.04(a)</w:t>
      </w:r>
      <w:r>
        <w:rPr>
          <w:rFonts w:ascii="Times New Roman" w:cs="Times New Roman" w:eastAsia="Times New Roman" w:hAnsi="Times New Roman"/>
          <w:sz w:val="21"/>
          <w:szCs w:val="21"/>
          <w:color w:val="auto"/>
        </w:rPr>
        <w:t xml:space="preserve"> on a trailing four-quarter EBITDA basis, is equal to or greater than 6.00:1.00; or</w:t>
      </w:r>
    </w:p>
    <w:p>
      <w:pPr>
        <w:spacing w:after="0" w:line="145" w:lineRule="exact"/>
        <w:rPr>
          <w:rFonts w:ascii="Times New Roman" w:cs="Times New Roman" w:eastAsia="Times New Roman" w:hAnsi="Times New Roman"/>
          <w:sz w:val="21"/>
          <w:szCs w:val="21"/>
          <w:color w:val="auto"/>
        </w:rPr>
      </w:pPr>
    </w:p>
    <w:p>
      <w:pPr>
        <w:jc w:val="both"/>
        <w:ind w:left="740" w:firstLine="618"/>
        <w:spacing w:after="0" w:line="220" w:lineRule="auto"/>
        <w:tabs>
          <w:tab w:leader="none" w:pos="1969" w:val="left"/>
        </w:tabs>
        <w:numPr>
          <w:ilvl w:val="2"/>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67% of the Excess Cash Flow generated during such fiscal quarter if the Total Debt to EBITDA Ratio, calculated as of the end of the most recently ended fiscal quarter for which a Compliance Certificate has been delivered pursuant to </w:t>
      </w:r>
      <w:r>
        <w:rPr>
          <w:rFonts w:ascii="Times New Roman" w:cs="Times New Roman" w:eastAsia="Times New Roman" w:hAnsi="Times New Roman"/>
          <w:sz w:val="21"/>
          <w:szCs w:val="21"/>
          <w:u w:val="single" w:color="auto"/>
          <w:color w:val="auto"/>
        </w:rPr>
        <w:t>Section 6.04(a)</w:t>
      </w:r>
      <w:r>
        <w:rPr>
          <w:rFonts w:ascii="Times New Roman" w:cs="Times New Roman" w:eastAsia="Times New Roman" w:hAnsi="Times New Roman"/>
          <w:sz w:val="21"/>
          <w:szCs w:val="21"/>
          <w:color w:val="auto"/>
        </w:rPr>
        <w:t xml:space="preserve"> on a trailing four-quarter EBITDA basis, is less than 6.00:1.00 but equal to or greater than 4.50:1.00;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20"/>
          </w:cols>
          <w:pgMar w:left="1440" w:top="1335" w:right="339" w:bottom="1440" w:gutter="0" w:footer="0" w:header="0"/>
        </w:sectPr>
      </w:pPr>
    </w:p>
    <w:bookmarkStart w:id="154" w:name="page155"/>
    <w:bookmarkEnd w:id="154"/>
    <w:p>
      <w:pPr>
        <w:jc w:val="both"/>
        <w:ind w:left="740" w:firstLine="618"/>
        <w:spacing w:after="0" w:line="225" w:lineRule="auto"/>
        <w:tabs>
          <w:tab w:leader="none" w:pos="1969"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33% of the Excess Cash Flow generated during such fiscal quarter if the Total Debt to EBITDA Ratio, calculated as of the end of the most recently ended fiscal quarter for which a Compliance Certificate has been delivered pursuant to </w:t>
      </w:r>
      <w:r>
        <w:rPr>
          <w:rFonts w:ascii="Times New Roman" w:cs="Times New Roman" w:eastAsia="Times New Roman" w:hAnsi="Times New Roman"/>
          <w:sz w:val="21"/>
          <w:szCs w:val="21"/>
          <w:u w:val="single" w:color="auto"/>
          <w:color w:val="auto"/>
        </w:rPr>
        <w:t>Section 6.04(a)</w:t>
      </w:r>
      <w:r>
        <w:rPr>
          <w:rFonts w:ascii="Times New Roman" w:cs="Times New Roman" w:eastAsia="Times New Roman" w:hAnsi="Times New Roman"/>
          <w:sz w:val="21"/>
          <w:szCs w:val="21"/>
          <w:color w:val="auto"/>
        </w:rPr>
        <w:t xml:space="preserve"> on a trailing four-quarter EBITDA basis, is less than 4.50:1.00.</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15" w:lineRule="auto"/>
        <w:tabs>
          <w:tab w:leader="none" w:pos="1352"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Incremental Term Facilities</w:t>
      </w:r>
      <w:r>
        <w:rPr>
          <w:rFonts w:ascii="Times New Roman" w:cs="Times New Roman" w:eastAsia="Times New Roman" w:hAnsi="Times New Roman"/>
          <w:sz w:val="21"/>
          <w:szCs w:val="21"/>
          <w:color w:val="auto"/>
        </w:rPr>
        <w:t>. On each date that the Borrower incurs any Incremental Term Loans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Incremental Equivalent Debt, if the aggregate outstanding principal amount of the Incremental Term Facilities, including the Nuveen Incremental Term Facility, and Incremental Equivalent Debt, taken together, exceeds $50,000,000 (such excess amount, the “</w:t>
      </w:r>
      <w:r>
        <w:rPr>
          <w:rFonts w:ascii="Times New Roman" w:cs="Times New Roman" w:eastAsia="Times New Roman" w:hAnsi="Times New Roman"/>
          <w:sz w:val="21"/>
          <w:szCs w:val="21"/>
          <w:b w:val="1"/>
          <w:bCs w:val="1"/>
          <w:color w:val="auto"/>
        </w:rPr>
        <w:t>Incremental Excess Amount</w:t>
      </w:r>
      <w:r>
        <w:rPr>
          <w:rFonts w:ascii="Times New Roman" w:cs="Times New Roman" w:eastAsia="Times New Roman" w:hAnsi="Times New Roman"/>
          <w:sz w:val="21"/>
          <w:szCs w:val="21"/>
          <w:color w:val="auto"/>
        </w:rPr>
        <w:t xml:space="preserve">”), then on or prior to the date which is five (5) Business Days after such incurrence, the Borrower shall prepay in accordance with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an aggregate principal amount of Term Loans equal to such Incremental Excess Amount plus any Applicable Premium.</w:t>
      </w:r>
    </w:p>
    <w:p>
      <w:pPr>
        <w:spacing w:after="0" w:line="149" w:lineRule="exact"/>
        <w:rPr>
          <w:rFonts w:ascii="Times New Roman" w:cs="Times New Roman" w:eastAsia="Times New Roman" w:hAnsi="Times New Roman"/>
          <w:sz w:val="21"/>
          <w:szCs w:val="21"/>
          <w:color w:val="auto"/>
        </w:rPr>
      </w:pPr>
    </w:p>
    <w:p>
      <w:pPr>
        <w:jc w:val="both"/>
        <w:ind w:left="120" w:firstLine="620"/>
        <w:spacing w:after="0" w:line="211" w:lineRule="auto"/>
        <w:tabs>
          <w:tab w:leader="none" w:pos="1357"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w:t>
      </w:r>
      <w:r>
        <w:rPr>
          <w:rFonts w:ascii="Times New Roman" w:cs="Times New Roman" w:eastAsia="Times New Roman" w:hAnsi="Times New Roman"/>
          <w:sz w:val="21"/>
          <w:szCs w:val="21"/>
          <w:u w:val="single" w:color="auto"/>
          <w:color w:val="auto"/>
        </w:rPr>
        <w:t>Section 2.04(b)(i)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2.04(b)(vii)</w:t>
      </w:r>
      <w:r>
        <w:rPr>
          <w:rFonts w:ascii="Times New Roman" w:cs="Times New Roman" w:eastAsia="Times New Roman" w:hAnsi="Times New Roman"/>
          <w:sz w:val="21"/>
          <w:szCs w:val="21"/>
          <w:color w:val="auto"/>
        </w:rPr>
        <w:t xml:space="preserve">, if at the time of any such prepayment under any such subsection the Borrower is required to prepay or to offer to repurchase or make payment of any Additional Pari Passu Permitted Debt with the Net Proceeds received with respect to any such subsection, then the Borrower may apply such Net Proceeds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to the Term Loans and Additional Pari Passu Permitted Debt (determined with reference to the outstanding principal amount of each at such time) and the amount of prepayment of the Term Loans shall be reduced by such amount applied to repay such Additional Pari Passu Permitted Debt;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to the extent the holders of Additional Pari Passu Permitted Debt decline to have such indebtedness repurchased or prepaid, the Borrower shall promptly (and in any event within five (5) Business Days following such rejection) apply such declined amount of Net Proceeds to prepayment of the Term Loans in accordance with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740" w:hanging="619"/>
        <w:spacing w:after="0"/>
        <w:tabs>
          <w:tab w:leader="none" w:pos="74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to All Mandatory Prepayments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120" w:firstLine="620"/>
        <w:spacing w:after="0" w:line="222" w:lineRule="auto"/>
        <w:tabs>
          <w:tab w:leader="none" w:pos="1346"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with respect to Loans incurred in connection with any Incremental Amendment (which may be prepaid on a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in accordance with its terms), (A) each prepayment of the Loans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2.04(b)</w:t>
      </w:r>
      <w:r>
        <w:rPr>
          <w:rFonts w:ascii="Times New Roman" w:cs="Times New Roman" w:eastAsia="Times New Roman" w:hAnsi="Times New Roman"/>
          <w:sz w:val="20"/>
          <w:szCs w:val="20"/>
          <w:color w:val="auto"/>
        </w:rPr>
        <w:t xml:space="preserve"> shall be applied (1)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solely with respect to mandatory prepayments under </w:t>
      </w:r>
      <w:r>
        <w:rPr>
          <w:rFonts w:ascii="Times New Roman" w:cs="Times New Roman" w:eastAsia="Times New Roman" w:hAnsi="Times New Roman"/>
          <w:sz w:val="20"/>
          <w:szCs w:val="20"/>
          <w:u w:val="single" w:color="auto"/>
          <w:color w:val="auto"/>
        </w:rPr>
        <w:t>Section 2.04(b)(i)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w:t>
      </w:r>
    </w:p>
    <w:p>
      <w:pPr>
        <w:spacing w:after="0" w:line="2" w:lineRule="exact"/>
        <w:rPr>
          <w:rFonts w:ascii="Times New Roman" w:cs="Times New Roman" w:eastAsia="Times New Roman" w:hAnsi="Times New Roman"/>
          <w:sz w:val="20"/>
          <w:szCs w:val="20"/>
          <w:color w:val="auto"/>
        </w:rPr>
      </w:pPr>
    </w:p>
    <w:p>
      <w:pPr>
        <w:jc w:val="both"/>
        <w:ind w:left="120"/>
        <w:spacing w:after="0" w:line="21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2.04(b)(v)</w:t>
      </w:r>
      <w:r>
        <w:rPr>
          <w:rFonts w:ascii="Times New Roman" w:cs="Times New Roman" w:eastAsia="Times New Roman" w:hAnsi="Times New Roman"/>
          <w:sz w:val="20"/>
          <w:szCs w:val="20"/>
          <w:color w:val="auto"/>
        </w:rPr>
        <w:t xml:space="preserve">, to prepay interest, non-termination payments, principal and termination payments under any Super-Priority Permitted Indebtedness, (2)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solely with respect to mandatory prepayments under </w:t>
      </w:r>
      <w:r>
        <w:rPr>
          <w:rFonts w:ascii="Times New Roman" w:cs="Times New Roman" w:eastAsia="Times New Roman" w:hAnsi="Times New Roman"/>
          <w:sz w:val="20"/>
          <w:szCs w:val="20"/>
          <w:u w:val="single" w:color="auto"/>
          <w:color w:val="auto"/>
        </w:rPr>
        <w:t>Section 2.04(b)(i)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2.04(b)(iv)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2.04(b)(v)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2.04(b)(vii)</w:t>
      </w:r>
      <w:r>
        <w:rPr>
          <w:rFonts w:ascii="Times New Roman" w:cs="Times New Roman" w:eastAsia="Times New Roman" w:hAnsi="Times New Roman"/>
          <w:sz w:val="20"/>
          <w:szCs w:val="20"/>
          <w:color w:val="auto"/>
        </w:rPr>
        <w:t xml:space="preserve">, to the Applicable Premium on the applicable Term Loans, (3)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interest on the Term Loans together with any amounts owing in accordance with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ratably among the Secured Parties in proportion to the respective amounts described in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payable to them, (4)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Term Loans, ratably among the Secured Parties in proportion to the respective amounts described in this </w:t>
      </w:r>
      <w:r>
        <w:rPr>
          <w:rFonts w:ascii="Times New Roman" w:cs="Times New Roman" w:eastAsia="Times New Roman" w:hAnsi="Times New Roman"/>
          <w:sz w:val="20"/>
          <w:szCs w:val="20"/>
          <w:u w:val="single" w:color="auto"/>
          <w:color w:val="auto"/>
        </w:rPr>
        <w:t>clause (4)</w:t>
      </w:r>
      <w:r>
        <w:rPr>
          <w:rFonts w:ascii="Times New Roman" w:cs="Times New Roman" w:eastAsia="Times New Roman" w:hAnsi="Times New Roman"/>
          <w:sz w:val="20"/>
          <w:szCs w:val="20"/>
          <w:color w:val="auto"/>
        </w:rPr>
        <w:t xml:space="preserve"> held by them;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of the foregoing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for any specific Facility or Facilities (or Class or tranche within such Facility), such prepayments shall be applied ratably among the Lenders to that specific Facility or Facilities (or Class or tranche within such Facility);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to the extent any prepayment made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would result in breakage costs relating to the Interest Payment Date,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20"/>
          </w:cols>
          <w:pgMar w:left="1440" w:top="1339" w:right="339" w:bottom="1440" w:gutter="0" w:footer="0" w:header="0"/>
        </w:sectPr>
      </w:pPr>
    </w:p>
    <w:bookmarkStart w:id="155" w:name="page156"/>
    <w:bookmarkEnd w:id="155"/>
    <w:p>
      <w:pPr>
        <w:jc w:val="both"/>
        <w:ind w:left="120"/>
        <w:spacing w:after="0" w:line="213" w:lineRule="auto"/>
        <w:rPr>
          <w:sz w:val="20"/>
          <w:szCs w:val="20"/>
          <w:color w:val="auto"/>
        </w:rPr>
      </w:pPr>
      <w:r>
        <w:rPr>
          <w:rFonts w:ascii="Times New Roman" w:cs="Times New Roman" w:eastAsia="Times New Roman" w:hAnsi="Times New Roman"/>
          <w:sz w:val="21"/>
          <w:szCs w:val="21"/>
          <w:color w:val="auto"/>
        </w:rPr>
        <w:t xml:space="preserve">of such prepayment shall first be deposited into the Extraordinary Proceeds Account, where it shall be held in escrow until the relevant Interest Payment Date and thereupon applied to prepayment of the applicable Loans in accordance herewith. Each prepayment of Term Loans pursuant to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shall be applied on a pro rata basis; (B) with respect to each Class of Term Loans, each prepayment pursuant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shall be applied to the scheduled installments of principal thereof following the date of prepayment pursuant to Section 2.06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rata </w:t>
      </w:r>
      <w:r>
        <w:rPr>
          <w:rFonts w:ascii="Times New Roman" w:cs="Times New Roman" w:eastAsia="Times New Roman" w:hAnsi="Times New Roman"/>
          <w:sz w:val="21"/>
          <w:szCs w:val="21"/>
          <w:color w:val="auto"/>
        </w:rPr>
        <w:t>across all maturities (without premium or penalty); and (C) each such prepayment shall be paid to the Lenders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accordance with their respective Pro Rata Shares of such prepayment.</w:t>
      </w:r>
    </w:p>
    <w:p>
      <w:pPr>
        <w:spacing w:after="0" w:line="150" w:lineRule="exact"/>
        <w:rPr>
          <w:sz w:val="20"/>
          <w:szCs w:val="20"/>
          <w:color w:val="auto"/>
        </w:rPr>
      </w:pPr>
    </w:p>
    <w:p>
      <w:pPr>
        <w:jc w:val="both"/>
        <w:ind w:left="120" w:firstLine="620"/>
        <w:spacing w:after="0" w:line="215" w:lineRule="auto"/>
        <w:tabs>
          <w:tab w:leader="none" w:pos="1352"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notify the Administrative Agent in writing of any mandatory prepayment of Term Loans required to be made pursuant to this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at least three (3) Business Days prior to the date of such prepayment (or such shorter time as the Administrative Agent may agree).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Pro Rata Share of the prepayment.</w:t>
      </w:r>
    </w:p>
    <w:p>
      <w:pPr>
        <w:spacing w:after="0" w:line="145" w:lineRule="exact"/>
        <w:rPr>
          <w:rFonts w:ascii="Times New Roman" w:cs="Times New Roman" w:eastAsia="Times New Roman" w:hAnsi="Times New Roman"/>
          <w:sz w:val="21"/>
          <w:szCs w:val="21"/>
          <w:color w:val="auto"/>
        </w:rPr>
      </w:pPr>
    </w:p>
    <w:p>
      <w:pPr>
        <w:jc w:val="both"/>
        <w:ind w:left="120" w:firstLine="620"/>
        <w:spacing w:after="0" w:line="225" w:lineRule="auto"/>
        <w:tabs>
          <w:tab w:leader="none" w:pos="1357"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prepayments under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shall be made together with, in the case of any such prepayment of a SOFR Loan on a date other than the Interest Payment Date therefor, any amounts owing in respect of such SOFR Loan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left="120" w:firstLine="620"/>
        <w:spacing w:after="0" w:line="216" w:lineRule="auto"/>
        <w:tabs>
          <w:tab w:leader="none" w:pos="134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acknowledges and agrees that if the payment of the Obligations is accelerated or the principal on the Loans and other Obligations otherwise becomes due in whole or in part prior to, on, or after the Maturity Date, in each case, in respect of any Event of Default (including upon the occurrence of a bankruptcy or insolvency event (including the acceleration of claims by operation of law)), the amounts payable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will also be due and payable as though the events referred to therein had occurred and shall constitute part of the Obligations, in view of the impracticability and extreme difficulty of ascertaining actual damages and by mutual agreement of the parties as to a reasonable calculation of each Lender’s lost profits as a result thereof. Any amount payable above shall be presumed to be the liquidated damages sustained by each Lender as the result of the early prepayment and the Borrower agrees that it is reasonable under the circumstances currently existing. The amounts due under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also be payable in the event the Obligations are satisfied or released by foreclosure (whether by power of judicial proceeding), deed in lieu of foreclosure or by any other means. THE BORROWER EXPRESSLY WAIVES (TO THE FULLEST EXTENT IT MAY LAWFULLY DO SO) THE PROVISIONS OF ANY PRESENT OR FUTURE STATUTE OR LAW THAT PROHIBIT OR MAY PROHIBIT THE COLLECTION OF THE FOREGOING APPLICABLE PREMIUM (IF ANY) IN CONNECTION WITH ANY SUCH ACCELERATION OR FORECLOSURE OR DEED IN LIEU OF FORECLOSURE. The Borrower expressly agrees (to the fullest extent it may lawfully do so) that: (A) the Applicable Premium (if any) and payments due hereunder in respect thereof are reasonable and the product of an arm’s length transaction between sophisticated business people, ably represented by counsel;</w:t>
      </w:r>
    </w:p>
    <w:p>
      <w:pPr>
        <w:spacing w:after="0" w:line="9" w:lineRule="exact"/>
        <w:rPr>
          <w:rFonts w:ascii="Times New Roman" w:cs="Times New Roman" w:eastAsia="Times New Roman" w:hAnsi="Times New Roman"/>
          <w:sz w:val="20"/>
          <w:szCs w:val="20"/>
          <w:color w:val="auto"/>
        </w:rPr>
      </w:pPr>
    </w:p>
    <w:p>
      <w:pPr>
        <w:jc w:val="both"/>
        <w:ind w:left="120" w:firstLine="1"/>
        <w:spacing w:after="0" w:line="218" w:lineRule="auto"/>
        <w:tabs>
          <w:tab w:leader="none" w:pos="47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Applicable Premium (if any) shall be payable notwithstanding the then prevailing market rates at the time payment is made; (C) there has been a course of conduct between the Lenders and the Borrower giving specific consideration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120"/>
          </w:cols>
          <w:pgMar w:left="1440" w:top="1339" w:right="339" w:bottom="1440" w:gutter="0" w:footer="0" w:header="0"/>
        </w:sectPr>
      </w:pPr>
    </w:p>
    <w:bookmarkStart w:id="156" w:name="page157"/>
    <w:bookmarkEnd w:id="156"/>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 xml:space="preserve">this transaction for such agreement to pay such Applicable Premium (if any); and (D) the Sponsors, the Pledgor, the Borrower and its Subsidiaries shall be estopped hereafter from claiming differently than as agreed to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2.04(c)</w:t>
      </w:r>
      <w:r>
        <w:rPr>
          <w:rFonts w:ascii="Times New Roman" w:cs="Times New Roman" w:eastAsia="Times New Roman" w:hAnsi="Times New Roman"/>
          <w:sz w:val="21"/>
          <w:szCs w:val="21"/>
          <w:color w:val="auto"/>
        </w:rPr>
        <w:t xml:space="preserve">. The Borrower expressly acknowledges that its agreements in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as herein described is a material inducement to the Lenders in making the Loans as provided herein.</w:t>
      </w:r>
    </w:p>
    <w:p>
      <w:pPr>
        <w:spacing w:after="0" w:line="146" w:lineRule="exact"/>
        <w:rPr>
          <w:sz w:val="20"/>
          <w:szCs w:val="20"/>
          <w:color w:val="auto"/>
        </w:rPr>
      </w:pPr>
    </w:p>
    <w:p>
      <w:pPr>
        <w:jc w:val="both"/>
        <w:ind w:firstLine="621"/>
        <w:spacing w:after="0" w:line="215" w:lineRule="auto"/>
        <w:tabs>
          <w:tab w:leader="none" w:pos="123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mandatory prepayments by the Borrower of the Term Loans pursuant to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such prepayments shall be applied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to the then-outstanding Term Loans of the applicable Class or Classes being prepaid;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amount of such mandatory prepayment within any tranche of Term Loans shall be applied first to Term Loans of such tranche that are Base Rate Loans to the full extent thereof before application to Term Loans of such tranche that are SOFR Loans in a manner that minimizes the amount of any payments required to be made by the Borrower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2.05</w:t>
      </w:r>
      <w:r>
        <w:rPr>
          <w:sz w:val="20"/>
          <w:szCs w:val="20"/>
          <w:color w:val="auto"/>
        </w:rPr>
        <w:tab/>
      </w:r>
      <w:r>
        <w:rPr>
          <w:rFonts w:ascii="Times New Roman" w:cs="Times New Roman" w:eastAsia="Times New Roman" w:hAnsi="Times New Roman"/>
          <w:sz w:val="20"/>
          <w:szCs w:val="20"/>
          <w:u w:val="single" w:color="auto"/>
          <w:color w:val="auto"/>
        </w:rPr>
        <w:t>Termination or Reduction of Commitments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240" w:hanging="619"/>
        <w:spacing w:after="0"/>
        <w:tabs>
          <w:tab w:leader="none" w:pos="12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20" w:firstLine="620"/>
        <w:spacing w:after="0" w:line="222" w:lineRule="auto"/>
        <w:tabs>
          <w:tab w:leader="none" w:pos="184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irrevocable written notice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any such notice shall be received by the Administrative Agent three</w:t>
      </w:r>
    </w:p>
    <w:p>
      <w:pPr>
        <w:spacing w:after="0" w:line="2" w:lineRule="exact"/>
        <w:rPr>
          <w:rFonts w:ascii="Times New Roman" w:cs="Times New Roman" w:eastAsia="Times New Roman" w:hAnsi="Times New Roman"/>
          <w:sz w:val="20"/>
          <w:szCs w:val="20"/>
          <w:color w:val="auto"/>
        </w:rPr>
      </w:pPr>
    </w:p>
    <w:p>
      <w:pPr>
        <w:ind w:left="620"/>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 Business Days prior to the date of termination or reduction, and (B) any such partial reduction shall be in a minimum aggregate amount of $1,000,000, as applicable, or any whole multiple of $100,000, in excess thereof.</w:t>
      </w:r>
    </w:p>
    <w:p>
      <w:pPr>
        <w:spacing w:after="0" w:line="146" w:lineRule="exact"/>
        <w:rPr>
          <w:rFonts w:ascii="Times New Roman" w:cs="Times New Roman" w:eastAsia="Times New Roman" w:hAnsi="Times New Roman"/>
          <w:sz w:val="20"/>
          <w:szCs w:val="20"/>
          <w:color w:val="auto"/>
        </w:rPr>
      </w:pPr>
    </w:p>
    <w:p>
      <w:pPr>
        <w:jc w:val="both"/>
        <w:ind w:left="620" w:firstLine="620"/>
        <w:spacing w:after="0" w:line="220" w:lineRule="auto"/>
        <w:tabs>
          <w:tab w:leader="none" w:pos="185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Borrower may rescind or postpone any notice of termination of the Commitments no later than two (2) Business Days prior to the date of termination set forth in such notice, if such termination would have resulted from a refinancing of all of the applicable Facility, which refinancing shall not be consummated or otherwise shall be delayed.</w:t>
      </w:r>
    </w:p>
    <w:p>
      <w:pPr>
        <w:spacing w:after="0" w:line="145"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left="620" w:firstLine="620"/>
        <w:spacing w:after="0" w:line="237" w:lineRule="auto"/>
        <w:tabs>
          <w:tab w:leader="none" w:pos="184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Initial Term Loan Commitments</w:t>
      </w:r>
      <w:r>
        <w:rPr>
          <w:rFonts w:ascii="Times New Roman" w:cs="Times New Roman" w:eastAsia="Times New Roman" w:hAnsi="Times New Roman"/>
          <w:sz w:val="21"/>
          <w:szCs w:val="21"/>
          <w:color w:val="auto"/>
        </w:rPr>
        <w:t>. The Initial Term Commitment of each Lender shall be reduced to $0</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following funding of the Initial Term Commitments on the Closing Date.</w:t>
      </w:r>
    </w:p>
    <w:p>
      <w:pPr>
        <w:spacing w:after="0" w:line="141" w:lineRule="exact"/>
        <w:rPr>
          <w:rFonts w:ascii="Times New Roman" w:cs="Times New Roman" w:eastAsia="Times New Roman" w:hAnsi="Times New Roman"/>
          <w:sz w:val="21"/>
          <w:szCs w:val="21"/>
          <w:color w:val="auto"/>
        </w:rPr>
      </w:pPr>
    </w:p>
    <w:p>
      <w:pPr>
        <w:jc w:val="both"/>
        <w:ind w:left="620" w:firstLine="620"/>
        <w:spacing w:after="0" w:line="218" w:lineRule="auto"/>
        <w:tabs>
          <w:tab w:leader="none" w:pos="185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Delayed Draw Loan Commitments</w:t>
      </w:r>
      <w:r>
        <w:rPr>
          <w:rFonts w:ascii="Times New Roman" w:cs="Times New Roman" w:eastAsia="Times New Roman" w:hAnsi="Times New Roman"/>
          <w:sz w:val="21"/>
          <w:szCs w:val="21"/>
          <w:color w:val="auto"/>
        </w:rPr>
        <w:t>. Upon each Borrowing of Delayed Draw Term Loans, the Delayed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Draw Loan Commitments of each Delayed Draw Lender will be permanently reduced by an amount equal to the amount of Delayed Draw Term Loans made by such Delayed Draw Lender in connection with such Borrowing. The Delayed Draw Loan Commitment of each Delayed Draw Lender shall be reduced to $0 on the final day of the Delayed Draw Availability Period.</w:t>
      </w:r>
    </w:p>
    <w:p>
      <w:pPr>
        <w:spacing w:after="0" w:line="140" w:lineRule="exact"/>
        <w:rPr>
          <w:rFonts w:ascii="Times New Roman" w:cs="Times New Roman" w:eastAsia="Times New Roman" w:hAnsi="Times New Roman"/>
          <w:sz w:val="21"/>
          <w:szCs w:val="21"/>
          <w:color w:val="auto"/>
        </w:rPr>
      </w:pPr>
    </w:p>
    <w:p>
      <w:pPr>
        <w:jc w:val="both"/>
        <w:ind w:firstLine="621"/>
        <w:spacing w:after="0" w:line="226" w:lineRule="auto"/>
        <w:tabs>
          <w:tab w:leader="none" w:pos="123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Commitment Reductions; Payment of Fees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Administrative Agent will promptly notify the Appropriate Lenders of any termination or reduction of unused portions of the unused Commitments of any Class under this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Upon any reduction of unused Commitments of any Class, the Commitment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620"/>
          </w:cols>
          <w:pgMar w:left="940" w:top="1339" w:right="339" w:bottom="1440" w:gutter="0" w:footer="0" w:header="0"/>
        </w:sectPr>
      </w:pPr>
    </w:p>
    <w:bookmarkStart w:id="157" w:name="page158"/>
    <w:bookmarkEnd w:id="157"/>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 xml:space="preserve">Lender of such Class shall be reduced by such Lender’s Pro Rata Share of the amount by which such Commitments are reduced (other than the termination of the Commitment of any Lender as provided in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All commitment fees accrued until, but not including the effective date of any termination of the Commitments shall be paid on the effective date of such termination.</w:t>
      </w:r>
    </w:p>
    <w:p>
      <w:pPr>
        <w:spacing w:after="0" w:line="146"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2.06 Repayment of Loans</w:t>
      </w:r>
      <w:r>
        <w:rPr>
          <w:rFonts w:ascii="Times New Roman" w:cs="Times New Roman" w:eastAsia="Times New Roman" w:hAnsi="Times New Roman"/>
          <w:sz w:val="21"/>
          <w:szCs w:val="21"/>
          <w:color w:val="auto"/>
        </w:rPr>
        <w:t>. The Borrower shall repay to the Administrative Agent for the ratable account of the Appropriate Lenders (a) on each Quarterly Payment Date, beginning on the Initial Quarterly Payment Date, the principal amount of the Initial Term Loans and the Delayed Draw Term Loans, in an amount equal to 0.25% of the principal amount of such Initial Term Loans and the Delayed Draw Term Loans outstanding on each such Quarterly Payment Date and (b) on the Maturity Date, the aggregate principal amount of all outstanding Initial Term Loans and the Delayed Draw Term Loans. In the event any Incremental Term Loans are made, such Incremental Term Loans shall be repaid by the Borrower in the amounts and on the dates set forth in the Incremental Amendment with respect thereto and on the applicable Maturity Date thereof.</w:t>
      </w:r>
    </w:p>
    <w:p>
      <w:pPr>
        <w:spacing w:after="0" w:line="150"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2.07</w:t>
      </w:r>
      <w:r>
        <w:rPr>
          <w:sz w:val="20"/>
          <w:szCs w:val="20"/>
          <w:color w:val="auto"/>
        </w:rPr>
        <w:tab/>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17" w:lineRule="auto"/>
        <w:tabs>
          <w:tab w:leader="none" w:pos="185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 xml:space="preserve">, (i) each SOFR Loan shall bear interest on the outstanding principal amount thereof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three-month Term SOFR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Applicable Rate and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Applicable Rate. All interest hereunder on any Loan shall be computed on a daily basis based upon the outstanding principal amount of such Loan as of the applicable date of determination.</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7" w:lineRule="auto"/>
        <w:tabs>
          <w:tab w:leader="none" w:pos="185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continuance of an Event of Default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the Borrower shall pay interest on past due principal or interest owing by it hereunder at a fluctuating interest rate per annum at all times equal to the Default Rate to the fullest extent permitted by applicable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interest at the Default Rate shall accrue or be payable to a Defaulting Lender so long as such Lender shall be a Defaulting Lender. Accrued and unpaid interest on such amounts (including interest on past due interest) shall be due and payable upon demand.</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7" w:lineRule="auto"/>
        <w:tabs>
          <w:tab w:leader="none" w:pos="185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In the event of any conversion of any SOFR Loan other than on the Interest Payment Date therefor, accrued and unpaid interest on such SOFR Loan shall be payable on the effective date of such conversion.</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5" w:lineRule="auto"/>
        <w:tabs>
          <w:tab w:leader="none" w:pos="185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use or administration of Term SOFR, the Administrative Agent will have the right, after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39" w:right="339" w:bottom="1440" w:gutter="0" w:footer="0" w:header="0"/>
        </w:sectPr>
      </w:pPr>
    </w:p>
    <w:bookmarkStart w:id="158" w:name="page159"/>
    <w:bookmarkEnd w:id="158"/>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2.08</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In addition to certain fees described in</w:t>
      </w:r>
      <w:r>
        <w:rPr>
          <w:rFonts w:ascii="Times New Roman" w:cs="Times New Roman" w:eastAsia="Times New Roman" w:hAnsi="Times New Roman"/>
          <w:sz w:val="20"/>
          <w:szCs w:val="20"/>
          <w:u w:val="single" w:color="auto"/>
          <w:color w:val="auto"/>
        </w:rPr>
        <w:t xml:space="preserve"> Section 2.03(g)</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621"/>
        <w:spacing w:after="0" w:line="220" w:lineRule="auto"/>
        <w:tabs>
          <w:tab w:leader="none" w:pos="123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Delayed Draw Loan Commitment Fee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Borrower agrees to pay to the Administrative Agent, without duplication, for the account of each Delayed Draw Lender in accordance with its Pro Rata Share under the Delayed Draw Loan Facility, a commitment fee (the “</w:t>
      </w:r>
      <w:r>
        <w:rPr>
          <w:rFonts w:ascii="Times New Roman" w:cs="Times New Roman" w:eastAsia="Times New Roman" w:hAnsi="Times New Roman"/>
          <w:sz w:val="20"/>
          <w:szCs w:val="20"/>
          <w:b w:val="1"/>
          <w:bCs w:val="1"/>
          <w:i w:val="1"/>
          <w:iCs w:val="1"/>
          <w:color w:val="auto"/>
        </w:rPr>
        <w:t>Delayed Draw Loan Commitment Fee</w:t>
      </w:r>
      <w:r>
        <w:rPr>
          <w:rFonts w:ascii="Times New Roman" w:cs="Times New Roman" w:eastAsia="Times New Roman" w:hAnsi="Times New Roman"/>
          <w:sz w:val="20"/>
          <w:szCs w:val="20"/>
          <w:color w:val="auto"/>
        </w:rPr>
        <w:t xml:space="preserve">”) equal to the Commitment Fee Rate, multiplied by the actual daily amount of unused and available Delayed Draw Loan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Delayed Draw Loan Commitment Fee accrued with respect to any of the Delayed Draw Loan Commitments of a Defaulting Lender during the period prior to the time such Lender became a Defaulting Lender and unpaid at such time shall not be payable by the Borrower so long as such Lender shall be a Defaulting Lender, except to the extent that such Delayed Draw Loan Commitment Fee shall otherwise have been due and payable by the Borrower prior to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no Delayed Draw Loan Commitment Fee shall accrue on any of the Delayed Draw Loan Commitments of a Defaulting Lender so long as such Lender shall be a Defaulting Lender. The Delayed Draw Loan Commitment Fee shall accrue at all times during the Delayed Draw Availability Period, and only during the Delayed Draw Availability Period, and shall be due and payable quarterly in arrears on each Interest Payment Date. The Delayed Draw Loan Commitment Fee shall be calculated quarterly in arrears. All computations of Delayed Draw Loan Commitment Fees shall be made taking into account the actual number of days occurring in the period for which such fee is payable pursuant to this </w:t>
      </w:r>
      <w:r>
        <w:rPr>
          <w:rFonts w:ascii="Times New Roman" w:cs="Times New Roman" w:eastAsia="Times New Roman" w:hAnsi="Times New Roman"/>
          <w:sz w:val="20"/>
          <w:szCs w:val="20"/>
          <w:u w:val="single" w:color="auto"/>
          <w:color w:val="auto"/>
        </w:rPr>
        <w:t>Section 2.08(a)</w:t>
      </w:r>
      <w:r>
        <w:rPr>
          <w:rFonts w:ascii="Times New Roman" w:cs="Times New Roman" w:eastAsia="Times New Roman" w:hAnsi="Times New Roman"/>
          <w:sz w:val="20"/>
          <w:szCs w:val="20"/>
          <w:color w:val="auto"/>
        </w:rPr>
        <w:t>, and a year of three hundred and sixty (360) days.</w:t>
      </w:r>
    </w:p>
    <w:p>
      <w:pPr>
        <w:spacing w:after="0" w:line="142" w:lineRule="exact"/>
        <w:rPr>
          <w:rFonts w:ascii="Times New Roman" w:cs="Times New Roman" w:eastAsia="Times New Roman" w:hAnsi="Times New Roman"/>
          <w:sz w:val="20"/>
          <w:szCs w:val="20"/>
          <w:color w:val="auto"/>
        </w:rPr>
      </w:pPr>
    </w:p>
    <w:p>
      <w:pPr>
        <w:jc w:val="both"/>
        <w:ind w:firstLine="621"/>
        <w:spacing w:after="0" w:line="209" w:lineRule="auto"/>
        <w:tabs>
          <w:tab w:leader="none" w:pos="123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Nuveen Incremental Term Loan Commitment Fee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Borrower agrees to pay to the Administrative Agent, without duplication, for the account of each Lender in accordance with its Pro Rata Share under the Nuveen Incremental Term Facility, a commitment fee (the “</w:t>
      </w:r>
      <w:r>
        <w:rPr>
          <w:rFonts w:ascii="Times New Roman" w:cs="Times New Roman" w:eastAsia="Times New Roman" w:hAnsi="Times New Roman"/>
          <w:sz w:val="21"/>
          <w:szCs w:val="21"/>
          <w:b w:val="1"/>
          <w:bCs w:val="1"/>
          <w:i w:val="1"/>
          <w:iCs w:val="1"/>
          <w:color w:val="auto"/>
        </w:rPr>
        <w:t>Nuveen Incremental Term Loan Commitment Fee</w:t>
      </w:r>
      <w:r>
        <w:rPr>
          <w:rFonts w:ascii="Times New Roman" w:cs="Times New Roman" w:eastAsia="Times New Roman" w:hAnsi="Times New Roman"/>
          <w:sz w:val="21"/>
          <w:szCs w:val="21"/>
          <w:color w:val="auto"/>
        </w:rPr>
        <w:t xml:space="preserve">”) equal to the Commitment Fee Rate, multiplied by the actual daily amount of unused and available Nuveen Incremental Term Commitments, from and after the beginning of the Nuveen Incremental Term Facility Availability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Nuveen Incremental Term Loan Commitment Fee accrued with respect to any of the Nuveen Incremental Term Commitments of a Defaulting Lender during the period prior to the time such Lender became a Defaulting Lender and unpaid at such time shall not be payable by the Borrower so long as such Lender shall be a Defaulting Lender, except to the extent that such Nuveen Incremental Term Loan Commitment Fee shall otherwise have been due and payable by the Borrower prior to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no Nuveen Incremental Term Loan Commitment Fee shall accrue on any of the Nuveen Incremental Term Commitments of a Defaulting Lender so long as such Lender shall be a Defaulting Lender. The Nuveen Incremental Term Loan Commitment Fee shall accrue at all times during the Nuveen Incremental Term Facility Availability Period, and only during the Nuveen Incremental Term Facility Availability Period, and shall be due and payable quarterly in arrears on each Interest Payment Date. The Nuveen Incremental Term Loan Commitment Fee shall be calculated quarterly in arrears. All computations of Nuveen Incremental Term Loan Commitment Fees shall be made taking into account the actual number of days occurring in the period for which such fee is payable pursuant to this </w:t>
      </w:r>
      <w:r>
        <w:rPr>
          <w:rFonts w:ascii="Times New Roman" w:cs="Times New Roman" w:eastAsia="Times New Roman" w:hAnsi="Times New Roman"/>
          <w:sz w:val="21"/>
          <w:szCs w:val="21"/>
          <w:u w:val="single" w:color="auto"/>
          <w:color w:val="auto"/>
        </w:rPr>
        <w:t>Section 2.08(b)</w:t>
      </w:r>
      <w:r>
        <w:rPr>
          <w:rFonts w:ascii="Times New Roman" w:cs="Times New Roman" w:eastAsia="Times New Roman" w:hAnsi="Times New Roman"/>
          <w:sz w:val="21"/>
          <w:szCs w:val="21"/>
          <w:color w:val="auto"/>
        </w:rPr>
        <w:t>, and a year of three hundred and sixty (360) days.</w:t>
      </w:r>
    </w:p>
    <w:p>
      <w:pPr>
        <w:spacing w:after="0" w:line="145" w:lineRule="exact"/>
        <w:rPr>
          <w:rFonts w:ascii="Times New Roman" w:cs="Times New Roman" w:eastAsia="Times New Roman" w:hAnsi="Times New Roman"/>
          <w:sz w:val="21"/>
          <w:szCs w:val="21"/>
          <w:color w:val="auto"/>
        </w:rPr>
      </w:pPr>
    </w:p>
    <w:p>
      <w:pPr>
        <w:jc w:val="both"/>
        <w:ind w:firstLine="621"/>
        <w:spacing w:after="0" w:line="220" w:lineRule="auto"/>
        <w:tabs>
          <w:tab w:leader="none" w:pos="123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pay to the Administrative Agent (for the account of the parties entitled thereto) such fees as shall have been separately agreed upon in writing in the amounts and at the times so specified (including all fees under the Fee Letter that are payable pursuant to the terms thereof). Such fees shall be fully earned when paid and shall not be refundable for any reason whatsoever (except as expressly agreed between the Borrower and the applicable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620"/>
          </w:cols>
          <w:pgMar w:left="940" w:top="1339" w:right="339" w:bottom="1440" w:gutter="0" w:footer="0" w:header="0"/>
        </w:sectPr>
      </w:pPr>
    </w:p>
    <w:bookmarkStart w:id="159" w:name="page160"/>
    <w:bookmarkEnd w:id="159"/>
    <w:p>
      <w:pPr>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2.09 Computation of Interest and Fees</w:t>
      </w:r>
      <w:r>
        <w:rPr>
          <w:rFonts w:ascii="Times New Roman" w:cs="Times New Roman" w:eastAsia="Times New Roman" w:hAnsi="Times New Roman"/>
          <w:sz w:val="21"/>
          <w:szCs w:val="21"/>
          <w:color w:val="auto"/>
        </w:rPr>
        <w:t>. All computations of interest for Base Rate Loans when the Base Rate is determined by the Prime Rate shall be made on the basis of a year of three hundred sixty-five (365) days, or three hundred sixty-six</w:t>
      </w:r>
    </w:p>
    <w:p>
      <w:pPr>
        <w:spacing w:after="0" w:line="2" w:lineRule="exact"/>
        <w:rPr>
          <w:sz w:val="20"/>
          <w:szCs w:val="20"/>
          <w:color w:val="auto"/>
        </w:rPr>
      </w:pPr>
    </w:p>
    <w:p>
      <w:pPr>
        <w:jc w:val="both"/>
        <w:ind w:firstLine="3"/>
        <w:spacing w:after="0" w:line="212" w:lineRule="auto"/>
        <w:tabs>
          <w:tab w:leader="none" w:pos="51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as applicable, and actual days elapsed. All other computations of fees and interest shall be made on the basis of a three hundred sixty (360) day year and actual days elapsed.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Loan that is repaid on the same day on which it is made shall, subject to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bear interest for one (1) day. Each determination by the Administrative Agent of an interest rate or fee hereunder shall be conclusive and binding for all purposes, absent manifest error.</w:t>
      </w:r>
    </w:p>
    <w:p>
      <w:pPr>
        <w:spacing w:after="0" w:line="13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2.10</w:t>
      </w:r>
      <w:r>
        <w:rPr>
          <w:sz w:val="20"/>
          <w:szCs w:val="20"/>
          <w:color w:val="auto"/>
        </w:rPr>
        <w:tab/>
      </w:r>
      <w:r>
        <w:rPr>
          <w:rFonts w:ascii="Times New Roman" w:cs="Times New Roman" w:eastAsia="Times New Roman" w:hAnsi="Times New Roman"/>
          <w:sz w:val="20"/>
          <w:szCs w:val="20"/>
          <w:u w:val="single" w:color="auto"/>
          <w:color w:val="auto"/>
        </w:rPr>
        <w:t>Evidence of Indebtedness</w:t>
      </w:r>
      <w:r>
        <w:rPr>
          <w:rFonts w:ascii="Times New Roman" w:cs="Times New Roman" w:eastAsia="Times New Roman" w:hAnsi="Times New Roman"/>
          <w:sz w:val="20"/>
          <w:szCs w:val="20"/>
          <w:color w:val="auto"/>
        </w:rPr>
        <w:t>.</w:t>
      </w:r>
    </w:p>
    <w:p>
      <w:pPr>
        <w:jc w:val="both"/>
        <w:ind w:left="620" w:firstLine="621"/>
        <w:spacing w:after="0" w:line="218" w:lineRule="auto"/>
        <w:tabs>
          <w:tab w:leader="none" w:pos="185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and Proposed Treasury Regulation Section 1.163-5(b) (or, in each case, any amended or successor version), as a non-fiduciary agent for the Borrower, in each case in the ordinary course of business. The accounts or records maintained by the Administrative Agent and each Lender shall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and the corresponding accounts and records of the Administrative Agent in respect of such matters, the Register and the corresponding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which shall evidence such Lender’s Loans in addition to such accounts or records. Each Lender may attach schedules to its Note and record thereon the date, Type (if applicable), amount and maturity of its Loans and payments with respect thereto.</w:t>
      </w:r>
    </w:p>
    <w:p>
      <w:pPr>
        <w:spacing w:after="0" w:line="147" w:lineRule="exact"/>
        <w:rPr>
          <w:rFonts w:ascii="Times New Roman" w:cs="Times New Roman" w:eastAsia="Times New Roman" w:hAnsi="Times New Roman"/>
          <w:sz w:val="20"/>
          <w:szCs w:val="20"/>
          <w:color w:val="auto"/>
        </w:rPr>
      </w:pPr>
    </w:p>
    <w:p>
      <w:pPr>
        <w:jc w:val="both"/>
        <w:ind w:left="620" w:firstLine="621"/>
        <w:spacing w:after="0" w:line="215" w:lineRule="auto"/>
        <w:tabs>
          <w:tab w:leader="none" w:pos="185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accounts and records referred to in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each Lender and the Administrative Agent shall maintain in accordance with its usual practice accounts or records and, in the case of the Administrative Agent, entries in the Register, evidencing the purchases and sales by such Lender. In the event of any conflict between the Register and the corresponding accounts and records maintained by the Administrative Agent and the accounts and records of any Lender in respect of such matters, the Register and the corresponding accounts and records of the Administrative Agent shall control in the absence of manifest error.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3" w:lineRule="auto"/>
        <w:tabs>
          <w:tab w:leader="none" w:pos="185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Entries made in good faith by the Administrative Agent in the Register pursuant to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by each Lender in its account or accounts pursuant to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shall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39" w:right="339" w:bottom="1440" w:gutter="0" w:footer="0" w:header="0"/>
        </w:sectPr>
      </w:pPr>
    </w:p>
    <w:bookmarkStart w:id="160" w:name="page161"/>
    <w:bookmarkEnd w:id="160"/>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2.11</w:t>
      </w:r>
      <w:r>
        <w:rPr>
          <w:sz w:val="20"/>
          <w:szCs w:val="20"/>
          <w:color w:val="auto"/>
        </w:rPr>
        <w:tab/>
      </w:r>
      <w:r>
        <w:rPr>
          <w:rFonts w:ascii="Times New Roman" w:cs="Times New Roman" w:eastAsia="Times New Roman" w:hAnsi="Times New Roman"/>
          <w:sz w:val="20"/>
          <w:szCs w:val="20"/>
          <w:u w:val="single" w:color="auto"/>
          <w:color w:val="auto"/>
        </w:rPr>
        <w:t>Payments Generally</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11" w:lineRule="auto"/>
        <w:tabs>
          <w:tab w:leader="none" w:pos="123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in Dollars and in Same Day Funds not later than 2:00 p.m. New York City time on the date specified herein. The Administrative Agent will promptly distribute to each Appropriate Lender its Pro Rata Share of such payment in like funds as received by wire transfer to such Lender’s applicable Lending Office. If the Administrative Agent promptly notifies any Lender that a payment was distributed to such Lender in error, each Lender agrees to return any such payment in like funds to the Administrative Agent’s Office upon receipt of notice of the error. All payments received by the Administrative Agent after 2:00 p.m. New York City time shall in each case be deemed received on the next succeeding Business Day, in the Administrative Agent’s sole discretion, and any applicable interest or fee shall continue to accrue.</w:t>
      </w:r>
    </w:p>
    <w:p>
      <w:pPr>
        <w:spacing w:after="0" w:line="145"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herein, 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extension would cause payment of interest on or principal of SOFR Loans to be made in the next succeeding calendar month, such payment shall be made on the immediately preceding Business Day.</w:t>
      </w:r>
    </w:p>
    <w:p>
      <w:pPr>
        <w:spacing w:after="0" w:line="145" w:lineRule="exact"/>
        <w:rPr>
          <w:rFonts w:ascii="Times New Roman" w:cs="Times New Roman" w:eastAsia="Times New Roman" w:hAnsi="Times New Roman"/>
          <w:sz w:val="21"/>
          <w:szCs w:val="21"/>
          <w:color w:val="auto"/>
        </w:rPr>
      </w:pPr>
    </w:p>
    <w:p>
      <w:pPr>
        <w:jc w:val="both"/>
        <w:ind w:firstLine="621"/>
        <w:spacing w:after="0" w:line="215" w:lineRule="auto"/>
        <w:tabs>
          <w:tab w:leader="none" w:pos="123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45" w:lineRule="exact"/>
        <w:rPr>
          <w:rFonts w:ascii="Times New Roman" w:cs="Times New Roman" w:eastAsia="Times New Roman" w:hAnsi="Times New Roman"/>
          <w:sz w:val="21"/>
          <w:szCs w:val="21"/>
          <w:color w:val="auto"/>
        </w:rPr>
      </w:pPr>
    </w:p>
    <w:p>
      <w:pPr>
        <w:jc w:val="both"/>
        <w:ind w:left="620" w:firstLine="620"/>
        <w:spacing w:after="0" w:line="215" w:lineRule="auto"/>
        <w:tabs>
          <w:tab w:leader="none" w:pos="184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Overnight Bank Funding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reasonable administrative, processing or similar fees customarily charged by the Administrative Agent in connection with the foregoing; and</w:t>
      </w:r>
    </w:p>
    <w:p>
      <w:pPr>
        <w:spacing w:after="0" w:line="145" w:lineRule="exact"/>
        <w:rPr>
          <w:rFonts w:ascii="Times New Roman" w:cs="Times New Roman" w:eastAsia="Times New Roman" w:hAnsi="Times New Roman"/>
          <w:sz w:val="21"/>
          <w:szCs w:val="21"/>
          <w:color w:val="auto"/>
        </w:rPr>
      </w:pPr>
    </w:p>
    <w:p>
      <w:pPr>
        <w:jc w:val="both"/>
        <w:ind w:left="620" w:firstLine="620"/>
        <w:spacing w:after="0" w:line="213" w:lineRule="auto"/>
        <w:tabs>
          <w:tab w:leader="none" w:pos="185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Times New Roman" w:cs="Times New Roman" w:eastAsia="Times New Roman" w:hAnsi="Times New Roman"/>
          <w:sz w:val="21"/>
          <w:szCs w:val="21"/>
          <w:b w:val="1"/>
          <w:bCs w:val="1"/>
          <w:color w:val="auto"/>
        </w:rPr>
        <w:t>Compensation Period</w:t>
      </w:r>
      <w:r>
        <w:rPr>
          <w:rFonts w:ascii="Times New Roman" w:cs="Times New Roman" w:eastAsia="Times New Roman" w:hAnsi="Times New Roman"/>
          <w:sz w:val="21"/>
          <w:szCs w:val="21"/>
          <w:color w:val="auto"/>
        </w:rPr>
        <w:t xml:space="preserve">”)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Overnight Bank Funding Rate, </w:t>
      </w:r>
      <w:r>
        <w:rPr>
          <w:rFonts w:ascii="Times New Roman" w:cs="Times New Roman" w:eastAsia="Times New Roman" w:hAnsi="Times New Roman"/>
          <w:sz w:val="21"/>
          <w:szCs w:val="21"/>
          <w:i w:val="1"/>
          <w:iCs w:val="1"/>
          <w:color w:val="auto"/>
        </w:rPr>
        <w:t xml:space="preserve">plus </w:t>
      </w:r>
      <w:r>
        <w:rPr>
          <w:rFonts w:ascii="Times New Roman" w:cs="Times New Roman" w:eastAsia="Times New Roman" w:hAnsi="Times New Roman"/>
          <w:sz w:val="21"/>
          <w:szCs w:val="21"/>
          <w:color w:val="auto"/>
        </w:rPr>
        <w:t>any reasonable administrative, processing or similar fees customarily charged by the Administrative Agent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connection with the foregoing. When such Lender makes payment to the Administrative Agent (together with all unpaid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620"/>
          </w:cols>
          <w:pgMar w:left="940" w:top="1339" w:right="339" w:bottom="1440" w:gutter="0" w:footer="0" w:header="0"/>
        </w:sectPr>
      </w:pPr>
    </w:p>
    <w:bookmarkStart w:id="161" w:name="page162"/>
    <w:bookmarkEnd w:id="161"/>
    <w:p>
      <w:pPr>
        <w:jc w:val="both"/>
        <w:ind w:left="1240"/>
        <w:spacing w:after="0" w:line="212" w:lineRule="auto"/>
        <w:rPr>
          <w:sz w:val="20"/>
          <w:szCs w:val="20"/>
          <w:color w:val="auto"/>
        </w:rPr>
      </w:pPr>
      <w:r>
        <w:rPr>
          <w:rFonts w:ascii="Times New Roman" w:cs="Times New Roman" w:eastAsia="Times New Roman" w:hAnsi="Times New Roman"/>
          <w:sz w:val="21"/>
          <w:szCs w:val="21"/>
          <w:color w:val="auto"/>
        </w:rPr>
        <w:t>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7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A notice of the Administrative Agent to any Lender or the Borrower with respect to any amount owing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2.11(c)</w:t>
      </w:r>
      <w:r>
        <w:rPr>
          <w:rFonts w:ascii="Times New Roman" w:cs="Times New Roman" w:eastAsia="Times New Roman" w:hAnsi="Times New Roman"/>
          <w:sz w:val="21"/>
          <w:szCs w:val="21"/>
          <w:color w:val="auto"/>
        </w:rPr>
        <w:t xml:space="preserve"> shall be conclusive, absent manifest error.</w:t>
      </w:r>
    </w:p>
    <w:p>
      <w:pPr>
        <w:spacing w:after="0" w:line="129" w:lineRule="exact"/>
        <w:rPr>
          <w:sz w:val="20"/>
          <w:szCs w:val="20"/>
          <w:color w:val="auto"/>
        </w:rPr>
      </w:pPr>
    </w:p>
    <w:p>
      <w:pPr>
        <w:jc w:val="both"/>
        <w:ind w:left="620" w:firstLine="621"/>
        <w:spacing w:after="0" w:line="217" w:lineRule="auto"/>
        <w:tabs>
          <w:tab w:leader="none" w:pos="185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in the applicable Incremental Amendment are not satisfied or waived in accordance with the terms hereof, the Administrative Agent shall return such funds (in like funds as received from such Lender) to such Lender, without interest.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Lenders hereunder to make Loans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7"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1" w:lineRule="auto"/>
        <w:tabs>
          <w:tab w:leader="none" w:pos="185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If the Administrative Agent receives funds for application to the Obligations of the Borrower under or in respect of the Loan Documents under circumstances for which the Loan Documents do not specify the manner in which such funds are to be applied, the Administrative Agent may (to the fullest extent permitted by mandatory provisions of applicable Law), but shall not be obligated to, elect to distribute such funds to each of the Lenders in accordance with such Lender’s Pro Rata Share of the sum (without duplication) of the Outstanding Amount of all Loans outstanding at such time, in repayment or prepayment of such of the outstanding Loans or other Obligations then owing to such Lender.</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2.12 Sharing of Payments</w:t>
      </w:r>
      <w:r>
        <w:rPr>
          <w:rFonts w:ascii="Times New Roman" w:cs="Times New Roman" w:eastAsia="Times New Roman" w:hAnsi="Times New Roman"/>
          <w:sz w:val="21"/>
          <w:szCs w:val="21"/>
          <w:color w:val="auto"/>
        </w:rPr>
        <w:t>. If, other than as expressly provided elsewhere herein, any Lender shall obtain on account of the Loans made by it or any security therefor, any payment or distribution (whether voluntary, involuntary, through the exercise of any right of setoff, or otherwise) in excess of its ratable share (or other share contemplated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39" w:right="339" w:bottom="1440" w:gutter="0" w:footer="0" w:header="0"/>
        </w:sectPr>
      </w:pPr>
    </w:p>
    <w:bookmarkStart w:id="162" w:name="page163"/>
    <w:bookmarkEnd w:id="162"/>
    <w:p>
      <w:pPr>
        <w:jc w:val="both"/>
        <w:spacing w:after="0" w:line="207" w:lineRule="auto"/>
        <w:rPr>
          <w:sz w:val="20"/>
          <w:szCs w:val="20"/>
          <w:color w:val="auto"/>
        </w:rPr>
      </w:pPr>
      <w:r>
        <w:rPr>
          <w:rFonts w:ascii="Times New Roman" w:cs="Times New Roman" w:eastAsia="Times New Roman" w:hAnsi="Times New Roman"/>
          <w:sz w:val="21"/>
          <w:szCs w:val="21"/>
          <w:color w:val="auto"/>
        </w:rPr>
        <w:t xml:space="preserve">thereof, such Lender shall immediately (a) notify the Administrative Agent of such fact, and (b) purchase from the other Lenders such participations in the Loans made by them as shall be necessary to cause such purchasing Lender to share the excess payment or distribution in respect of such Loans or such participations, as the case may be,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with each of them;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all or any portion of such excess payment or distribution is thereafter recovered from the purchasing Lender under any of the circumstances described in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avoidance of doubt, the provisions of this paragraph shall not be construed to apply to (A) any payment made by the Borrower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6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2.13</w:t>
      </w:r>
      <w:r>
        <w:rPr>
          <w:sz w:val="20"/>
          <w:szCs w:val="20"/>
          <w:color w:val="auto"/>
        </w:rPr>
        <w:tab/>
      </w:r>
      <w:r>
        <w:rPr>
          <w:rFonts w:ascii="Times New Roman" w:cs="Times New Roman" w:eastAsia="Times New Roman" w:hAnsi="Times New Roman"/>
          <w:sz w:val="20"/>
          <w:szCs w:val="20"/>
          <w:u w:val="single" w:color="auto"/>
          <w:color w:val="auto"/>
        </w:rPr>
        <w:t>Incremental Borrowings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12" w:lineRule="auto"/>
        <w:tabs>
          <w:tab w:leader="none" w:pos="185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Commitments</w:t>
      </w:r>
      <w:r>
        <w:rPr>
          <w:rFonts w:ascii="Times New Roman" w:cs="Times New Roman" w:eastAsia="Times New Roman" w:hAnsi="Times New Roman"/>
          <w:sz w:val="21"/>
          <w:szCs w:val="21"/>
          <w:color w:val="auto"/>
        </w:rPr>
        <w:t>. The Borrower may at any time or from time to time after the Closing Date, by notice to the Administrative Agent (an “</w:t>
      </w:r>
      <w:r>
        <w:rPr>
          <w:rFonts w:ascii="Times New Roman" w:cs="Times New Roman" w:eastAsia="Times New Roman" w:hAnsi="Times New Roman"/>
          <w:sz w:val="21"/>
          <w:szCs w:val="21"/>
          <w:b w:val="1"/>
          <w:bCs w:val="1"/>
          <w:color w:val="auto"/>
        </w:rPr>
        <w:t>Incremental Loan Request</w:t>
      </w:r>
      <w:r>
        <w:rPr>
          <w:rFonts w:ascii="Times New Roman" w:cs="Times New Roman" w:eastAsia="Times New Roman" w:hAnsi="Times New Roman"/>
          <w:sz w:val="21"/>
          <w:szCs w:val="21"/>
          <w:color w:val="auto"/>
        </w:rPr>
        <w:t>”), request one or more new commitments (each, an “</w:t>
      </w:r>
      <w:r>
        <w:rPr>
          <w:rFonts w:ascii="Times New Roman" w:cs="Times New Roman" w:eastAsia="Times New Roman" w:hAnsi="Times New Roman"/>
          <w:sz w:val="21"/>
          <w:szCs w:val="21"/>
          <w:b w:val="1"/>
          <w:bCs w:val="1"/>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Facility</w:t>
      </w:r>
      <w:r>
        <w:rPr>
          <w:rFonts w:ascii="Times New Roman" w:cs="Times New Roman" w:eastAsia="Times New Roman" w:hAnsi="Times New Roman"/>
          <w:sz w:val="21"/>
          <w:szCs w:val="21"/>
          <w:color w:val="auto"/>
        </w:rPr>
        <w:t>”) which may be in the same Facility as any outstanding Term Loans of an existing Class of Term Loans (a “</w:t>
      </w:r>
      <w:r>
        <w:rPr>
          <w:rFonts w:ascii="Times New Roman" w:cs="Times New Roman" w:eastAsia="Times New Roman" w:hAnsi="Times New Roman"/>
          <w:sz w:val="21"/>
          <w:szCs w:val="21"/>
          <w:b w:val="1"/>
          <w:bCs w:val="1"/>
          <w:color w:val="auto"/>
        </w:rPr>
        <w:t>Term Loan Increase</w:t>
      </w:r>
      <w:r>
        <w:rPr>
          <w:rFonts w:ascii="Times New Roman" w:cs="Times New Roman" w:eastAsia="Times New Roman" w:hAnsi="Times New Roman"/>
          <w:sz w:val="21"/>
          <w:szCs w:val="21"/>
          <w:color w:val="auto"/>
        </w:rPr>
        <w:t>”), a new Class of Term Loans (collectively with any Term Loan Increase, the “</w:t>
      </w:r>
      <w:r>
        <w:rPr>
          <w:rFonts w:ascii="Times New Roman" w:cs="Times New Roman" w:eastAsia="Times New Roman" w:hAnsi="Times New Roman"/>
          <w:sz w:val="21"/>
          <w:szCs w:val="21"/>
          <w:b w:val="1"/>
          <w:bCs w:val="1"/>
          <w:color w:val="auto"/>
        </w:rPr>
        <w:t>Incremental Commitments</w:t>
      </w:r>
      <w:r>
        <w:rPr>
          <w:rFonts w:ascii="Times New Roman" w:cs="Times New Roman" w:eastAsia="Times New Roman" w:hAnsi="Times New Roman"/>
          <w:sz w:val="21"/>
          <w:szCs w:val="21"/>
          <w:color w:val="auto"/>
        </w:rPr>
        <w:t>”).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Incremental Loan Request from the Borrower pursuant to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shall set forth the requested amount and proposed terms of the relevant Incremental Term Loans, as applicable. Upon receipt by the Administrative Agent of any such Incremental Loan Request, the Administrative Agent shall promptly deliver a copy of such Incremental Loan Request to each of the Lenders.</w:t>
      </w:r>
    </w:p>
    <w:p>
      <w:pPr>
        <w:spacing w:after="0" w:line="149" w:lineRule="exact"/>
        <w:rPr>
          <w:rFonts w:ascii="Times New Roman" w:cs="Times New Roman" w:eastAsia="Times New Roman" w:hAnsi="Times New Roman"/>
          <w:sz w:val="21"/>
          <w:szCs w:val="21"/>
          <w:color w:val="auto"/>
        </w:rPr>
      </w:pPr>
    </w:p>
    <w:p>
      <w:pPr>
        <w:jc w:val="both"/>
        <w:ind w:left="620" w:firstLine="621"/>
        <w:spacing w:after="0" w:line="213" w:lineRule="auto"/>
        <w:tabs>
          <w:tab w:leader="none" w:pos="185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Lenders</w:t>
      </w:r>
      <w:r>
        <w:rPr>
          <w:rFonts w:ascii="Times New Roman" w:cs="Times New Roman" w:eastAsia="Times New Roman" w:hAnsi="Times New Roman"/>
          <w:sz w:val="21"/>
          <w:szCs w:val="21"/>
          <w:color w:val="auto"/>
        </w:rPr>
        <w:t>. Incremental Term Loans may be made by any existing Lender (but each existing Lender will not have an obligation to make any Incremental Commitment) or by any other bank or other financial institution or other institutional lender (any such other bank or other financial institution or other institutional lender being called an “</w:t>
      </w:r>
      <w:r>
        <w:rPr>
          <w:rFonts w:ascii="Times New Roman" w:cs="Times New Roman" w:eastAsia="Times New Roman" w:hAnsi="Times New Roman"/>
          <w:sz w:val="21"/>
          <w:szCs w:val="21"/>
          <w:b w:val="1"/>
          <w:bCs w:val="1"/>
          <w:color w:val="auto"/>
        </w:rPr>
        <w:t>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(each such existing Lender or Additional Lender providing such Incremental Commitment, an “</w:t>
      </w:r>
      <w:r>
        <w:rPr>
          <w:rFonts w:ascii="Times New Roman" w:cs="Times New Roman" w:eastAsia="Times New Roman" w:hAnsi="Times New Roman"/>
          <w:sz w:val="21"/>
          <w:szCs w:val="21"/>
          <w:b w:val="1"/>
          <w:bCs w:val="1"/>
          <w:color w:val="auto"/>
        </w:rPr>
        <w:t>Incremental Lender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Incremental Lenders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Administrative Agent shall have consented (not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 unreasonably withheld or delayed) to such Lender’s or Additional Lender’s making such Incremental Term Loans to the extent such consent, if any, would be required under </w:t>
      </w:r>
      <w:r>
        <w:rPr>
          <w:rFonts w:ascii="Times New Roman" w:cs="Times New Roman" w:eastAsia="Times New Roman" w:hAnsi="Times New Roman"/>
          <w:sz w:val="21"/>
          <w:szCs w:val="21"/>
          <w:u w:val="single" w:color="auto"/>
          <w:color w:val="auto"/>
        </w:rPr>
        <w:t>Section 10.07(b)</w:t>
      </w:r>
      <w:r>
        <w:rPr>
          <w:rFonts w:ascii="Times New Roman" w:cs="Times New Roman" w:eastAsia="Times New Roman" w:hAnsi="Times New Roman"/>
          <w:sz w:val="21"/>
          <w:szCs w:val="21"/>
          <w:color w:val="auto"/>
        </w:rPr>
        <w:t xml:space="preserve"> for an assignment of Loans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39" w:right="339" w:bottom="1440" w:gutter="0" w:footer="0" w:header="0"/>
        </w:sectPr>
      </w:pPr>
    </w:p>
    <w:bookmarkStart w:id="163" w:name="page164"/>
    <w:bookmarkEnd w:id="163"/>
    <w:p>
      <w:pPr>
        <w:jc w:val="both"/>
        <w:spacing w:after="0" w:line="219" w:lineRule="auto"/>
        <w:rPr>
          <w:sz w:val="20"/>
          <w:szCs w:val="20"/>
          <w:color w:val="auto"/>
        </w:rPr>
      </w:pPr>
      <w:r>
        <w:rPr>
          <w:rFonts w:ascii="Times New Roman" w:cs="Times New Roman" w:eastAsia="Times New Roman" w:hAnsi="Times New Roman"/>
          <w:sz w:val="20"/>
          <w:szCs w:val="20"/>
          <w:color w:val="auto"/>
        </w:rPr>
        <w:t xml:space="preserve">or Additional Lender. Any request by the Borrower for Incremental Commitments shall be made first to the existing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based on the sum of (i) the principal amount of Commitments by each such Lenders and (ii) the principal amount of outstanding Obligations held by each such Lender. The Borrower may make a request for Incremental Commitments to one or more Additional Lenders upon the occurrence of any of the following: (1) the available amount under the Nuveen Incremental Term Facility has been fully drawn, (2) the Nuveen Incremental Term Facility Availability Period has expired, (3) any existing Lender declines such request or (4) if any existing Lender offers terms for Incremental Term Loans that are less favorable to the Borrower than the terms of the applicable Facility and within thirty (30) Business Days of such request, any Additional Lender offers proposed terms for such Incremental Term Loans that are materially more favorable to the Borrower than the terms of the Incremental Term Loans offered by the existing Lender, as measured by the Incremental Term Facility Economics Threshold;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(4) in the preceding sentence, if the Borrower declines such offer from any existing Lender for Term Loans (such Term Loans, “</w:t>
      </w:r>
      <w:r>
        <w:rPr>
          <w:rFonts w:ascii="Times New Roman" w:cs="Times New Roman" w:eastAsia="Times New Roman" w:hAnsi="Times New Roman"/>
          <w:sz w:val="20"/>
          <w:szCs w:val="20"/>
          <w:b w:val="1"/>
          <w:bCs w:val="1"/>
          <w:color w:val="auto"/>
        </w:rPr>
        <w:t>Nuveen Incremental Term Loans</w:t>
      </w:r>
      <w:r>
        <w:rPr>
          <w:rFonts w:ascii="Times New Roman" w:cs="Times New Roman" w:eastAsia="Times New Roman" w:hAnsi="Times New Roman"/>
          <w:sz w:val="20"/>
          <w:szCs w:val="20"/>
          <w:color w:val="auto"/>
        </w:rPr>
        <w:t>”) and an Additional Lender offers proposed terms for such Incremental Term Loans that are not materially more favorable to the Borrower than the terms of the Nuveen Incremental Term Loans offered by the existing Lenders, as measured by as measured by the Incremental Term Facility Economics Threshold, the existing Lenders shall have the right to provide Nuveen Incremental Term Loans on the same or better terms compared to the terms offered for Incremental Term Loans by such Additional Lenders.</w:t>
      </w:r>
    </w:p>
    <w:p>
      <w:pPr>
        <w:spacing w:after="0" w:line="153" w:lineRule="exact"/>
        <w:rPr>
          <w:sz w:val="20"/>
          <w:szCs w:val="20"/>
          <w:color w:val="auto"/>
        </w:rPr>
      </w:pPr>
    </w:p>
    <w:p>
      <w:pPr>
        <w:jc w:val="both"/>
        <w:ind w:firstLine="621"/>
        <w:spacing w:after="0" w:line="211" w:lineRule="auto"/>
        <w:tabs>
          <w:tab w:leader="none" w:pos="123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Term Loans</w:t>
      </w:r>
      <w:r>
        <w:rPr>
          <w:rFonts w:ascii="Times New Roman" w:cs="Times New Roman" w:eastAsia="Times New Roman" w:hAnsi="Times New Roman"/>
          <w:sz w:val="21"/>
          <w:szCs w:val="21"/>
          <w:color w:val="auto"/>
        </w:rPr>
        <w:t xml:space="preserve">. Any Incremental Commitments effected through new Term Loans made on an Incremental Facility Closing Date shall be designated a separate Class of Incremental Commitments for all purposes of this Agreement, except in the case of a Term Loan Increase. On any Incremental Facility Closing Date on which any Incremental Commitments of any Class are effected (including through any Term Loan Increase), subject to the satisfaction of the terms and conditions in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(i) each Incremental Lender of such Class shall make a Term Loan to the Borrower (an “</w:t>
      </w:r>
      <w:r>
        <w:rPr>
          <w:rFonts w:ascii="Times New Roman" w:cs="Times New Roman" w:eastAsia="Times New Roman" w:hAnsi="Times New Roman"/>
          <w:sz w:val="21"/>
          <w:szCs w:val="21"/>
          <w:b w:val="1"/>
          <w:bCs w:val="1"/>
          <w:color w:val="auto"/>
        </w:rPr>
        <w:t>Incremental Term Loan</w:t>
      </w:r>
      <w:r>
        <w:rPr>
          <w:rFonts w:ascii="Times New Roman" w:cs="Times New Roman" w:eastAsia="Times New Roman" w:hAnsi="Times New Roman"/>
          <w:sz w:val="21"/>
          <w:szCs w:val="21"/>
          <w:color w:val="auto"/>
        </w:rPr>
        <w:t>”) in an amount equal to its Incremental Commitment of such Class, and (ii) each Incremental Lender of such Class shall become a Lender hereunder with respect to the Incremental Commitment of such Class and the Incremental Term Loans of such Class made pursuant thereto. Notwithstanding the foregoing, Incremental Term Loans may have identical terms to any of the Term Loans and be treated as the same Class as any of such Term Loans.</w:t>
      </w:r>
    </w:p>
    <w:p>
      <w:pPr>
        <w:spacing w:after="0" w:line="151" w:lineRule="exact"/>
        <w:rPr>
          <w:rFonts w:ascii="Times New Roman" w:cs="Times New Roman" w:eastAsia="Times New Roman" w:hAnsi="Times New Roman"/>
          <w:sz w:val="21"/>
          <w:szCs w:val="21"/>
          <w:color w:val="auto"/>
        </w:rPr>
      </w:pPr>
    </w:p>
    <w:p>
      <w:pPr>
        <w:jc w:val="both"/>
        <w:ind w:firstLine="621"/>
        <w:spacing w:after="0" w:line="225" w:lineRule="auto"/>
        <w:tabs>
          <w:tab w:leader="none" w:pos="123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Effectiveness of Incremental Amendment</w:t>
      </w:r>
      <w:r>
        <w:rPr>
          <w:rFonts w:ascii="Times New Roman" w:cs="Times New Roman" w:eastAsia="Times New Roman" w:hAnsi="Times New Roman"/>
          <w:sz w:val="21"/>
          <w:szCs w:val="21"/>
          <w:color w:val="auto"/>
        </w:rPr>
        <w:t>. The effectiveness of any Incremental Amendment, and the Incremental Commitments thereunder, shall be subject to the satisfaction on the date thereof (the “</w:t>
      </w:r>
      <w:r>
        <w:rPr>
          <w:rFonts w:ascii="Times New Roman" w:cs="Times New Roman" w:eastAsia="Times New Roman" w:hAnsi="Times New Roman"/>
          <w:sz w:val="21"/>
          <w:szCs w:val="21"/>
          <w:b w:val="1"/>
          <w:bCs w:val="1"/>
          <w:color w:val="auto"/>
        </w:rPr>
        <w:t>Incremental Facility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of each of the following conditions:</w:t>
      </w:r>
    </w:p>
    <w:p>
      <w:pPr>
        <w:spacing w:after="0" w:line="145" w:lineRule="exact"/>
        <w:rPr>
          <w:rFonts w:ascii="Times New Roman" w:cs="Times New Roman" w:eastAsia="Times New Roman" w:hAnsi="Times New Roman"/>
          <w:sz w:val="21"/>
          <w:szCs w:val="21"/>
          <w:color w:val="auto"/>
        </w:rPr>
      </w:pPr>
    </w:p>
    <w:p>
      <w:pPr>
        <w:ind w:left="620" w:firstLine="620"/>
        <w:spacing w:after="0" w:line="235" w:lineRule="auto"/>
        <w:tabs>
          <w:tab w:leader="none" w:pos="184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Double E Joint Venture shall have entered into (A) one or more Committed Capacity Contracts, (B) the Compression Addition or (C) a Permitted Expansion approved pursuant to Section 6.8 of the JV LLC Agreement;</w:t>
      </w:r>
    </w:p>
    <w:p>
      <w:pPr>
        <w:spacing w:after="0" w:line="145" w:lineRule="exact"/>
        <w:rPr>
          <w:rFonts w:ascii="Times New Roman" w:cs="Times New Roman" w:eastAsia="Times New Roman" w:hAnsi="Times New Roman"/>
          <w:sz w:val="21"/>
          <w:szCs w:val="21"/>
          <w:color w:val="auto"/>
        </w:rPr>
      </w:pPr>
    </w:p>
    <w:p>
      <w:pPr>
        <w:jc w:val="both"/>
        <w:ind w:left="620" w:firstLine="620"/>
        <w:spacing w:after="0" w:line="215" w:lineRule="auto"/>
        <w:tabs>
          <w:tab w:leader="none" w:pos="1852"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proceeds of the applicable Incremental Term Loans shall be used (A) to fund the Borrower’s Required Contribution in respect of the Project, a Permitted Expansion, or the Compression Addition and transaction fees and expenses incurred in connection with such Permitted Expansion or Compression Addition, (B) if permitted by the applicable Incremental Lenders, to make a Restricted Payment on the date of the funding of such Incremental Term Loans in connection with such Permitted Expansion, (C) to pay fees and expenses incurred in connection with the Incremental Term Loans, (D) to reimburse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620"/>
          </w:cols>
          <w:pgMar w:left="940" w:top="1339" w:right="339" w:bottom="1440" w:gutter="0" w:footer="0" w:header="0"/>
        </w:sectPr>
      </w:pPr>
    </w:p>
    <w:bookmarkStart w:id="164" w:name="page165"/>
    <w:bookmarkEnd w:id="164"/>
    <w:p>
      <w:pPr>
        <w:ind w:left="120"/>
        <w:spacing w:after="0" w:line="235" w:lineRule="auto"/>
        <w:rPr>
          <w:sz w:val="20"/>
          <w:szCs w:val="20"/>
          <w:color w:val="auto"/>
        </w:rPr>
      </w:pPr>
      <w:r>
        <w:rPr>
          <w:rFonts w:ascii="Times New Roman" w:cs="Times New Roman" w:eastAsia="Times New Roman" w:hAnsi="Times New Roman"/>
          <w:sz w:val="21"/>
          <w:szCs w:val="21"/>
          <w:color w:val="auto"/>
        </w:rPr>
        <w:t>Required Contributions or fees and expenses, or (E) to pay Debt Service with respect to the Compression Addition or a Permitted Expansion and to fund the DSR Requirement or any other applicable debt service reserve requirement;</w:t>
      </w:r>
    </w:p>
    <w:p>
      <w:pPr>
        <w:spacing w:after="0" w:line="146" w:lineRule="exact"/>
        <w:rPr>
          <w:sz w:val="20"/>
          <w:szCs w:val="20"/>
          <w:color w:val="auto"/>
        </w:rPr>
      </w:pPr>
    </w:p>
    <w:p>
      <w:pPr>
        <w:jc w:val="both"/>
        <w:ind w:left="120" w:firstLine="620"/>
        <w:spacing w:after="0" w:line="225" w:lineRule="auto"/>
        <w:tabs>
          <w:tab w:leader="none" w:pos="1357"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time of the initial Incremental Facility Closing Date, the remaining Delayed Draw Loan Commitments shall be zero dollars ($0) and the aggregate principal amount of Delayed Draw Term Loans shall have been funded in full;</w:t>
      </w:r>
    </w:p>
    <w:p>
      <w:pPr>
        <w:spacing w:after="0" w:line="145" w:lineRule="exact"/>
        <w:rPr>
          <w:rFonts w:ascii="Times New Roman" w:cs="Times New Roman" w:eastAsia="Times New Roman" w:hAnsi="Times New Roman"/>
          <w:sz w:val="21"/>
          <w:szCs w:val="21"/>
          <w:color w:val="auto"/>
        </w:rPr>
      </w:pPr>
    </w:p>
    <w:p>
      <w:pPr>
        <w:ind w:left="120" w:firstLine="620"/>
        <w:spacing w:after="0" w:line="235" w:lineRule="auto"/>
        <w:tabs>
          <w:tab w:leader="none" w:pos="134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exist and be continuing or would immediately result from such proposed Incremental Commitment or from the application of the proceeds therefrom;</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21" w:lineRule="auto"/>
        <w:tabs>
          <w:tab w:leader="none" w:pos="135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the Incremental Term Loans (the “</w:t>
      </w:r>
      <w:r>
        <w:rPr>
          <w:rFonts w:ascii="Times New Roman" w:cs="Times New Roman" w:eastAsia="Times New Roman" w:hAnsi="Times New Roman"/>
          <w:sz w:val="20"/>
          <w:szCs w:val="20"/>
          <w:b w:val="1"/>
          <w:bCs w:val="1"/>
          <w:color w:val="auto"/>
        </w:rPr>
        <w:t>Incremental Availability Amount</w:t>
      </w:r>
      <w:r>
        <w:rPr>
          <w:rFonts w:ascii="Times New Roman" w:cs="Times New Roman" w:eastAsia="Times New Roman" w:hAnsi="Times New Roman"/>
          <w:sz w:val="20"/>
          <w:szCs w:val="20"/>
          <w:color w:val="auto"/>
        </w:rPr>
        <w:t>”) incurred shall not exceed the lesser of (a) $200,000,000, (b) an amount equal to 45.0% of the aggregate principal amount of Term Loans, calculated on a pro forma basis after giving effect to the incurrence of such Incremental Term Loans (taking into account any prepayments of the Facilities in connection therewith), outstanding as of the applicable Incremental Facility Closing Date and (c) an amount such that, after giving pro forma effect to the incurrence of such Incremental Term Loans (taking into account any prepayments of the Facilities in connection therewith), the Total Debt to EBITDA Ratio shall not exceed: (x) 8.50:1.00 if the applicable Incremental Facility Closing Date occurs in the period commencing on the Closing Date and ending on December 31, 2027, (y) 8.00:1.00 if the applicable Incremental Facility Closing Date occurs in the period commencing on January 1, 2028 and ending on December 31, 2028 and (z) 7.50:1.00 if the applicable Incremental Facility Closing Date occurs at any time after January 1, 2029, in each case, at the option of the Borrower, with the Total Debt to EBITDA Ratio calculated taking into account the Borrower EBITDA Adjustment.</w:t>
      </w:r>
    </w:p>
    <w:p>
      <w:pPr>
        <w:spacing w:after="0" w:line="149" w:lineRule="exact"/>
        <w:rPr>
          <w:rFonts w:ascii="Times New Roman" w:cs="Times New Roman" w:eastAsia="Times New Roman" w:hAnsi="Times New Roman"/>
          <w:sz w:val="20"/>
          <w:szCs w:val="20"/>
          <w:color w:val="auto"/>
        </w:rPr>
      </w:pPr>
    </w:p>
    <w:p>
      <w:pPr>
        <w:jc w:val="both"/>
        <w:ind w:left="-500" w:firstLine="621"/>
        <w:spacing w:after="0" w:line="210" w:lineRule="auto"/>
        <w:tabs>
          <w:tab w:leader="none" w:pos="73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Terms</w:t>
      </w:r>
      <w:r>
        <w:rPr>
          <w:rFonts w:ascii="Times New Roman" w:cs="Times New Roman" w:eastAsia="Times New Roman" w:hAnsi="Times New Roman"/>
          <w:sz w:val="21"/>
          <w:szCs w:val="21"/>
          <w:color w:val="auto"/>
        </w:rPr>
        <w:t xml:space="preserve">. The terms, provisions and documentation of the Incremental Term Loans, and Incremental Commitments of any Class shall be as agreed between the Borrower and the applicable Incremental Lenders providing such Incremental Commitments, and except as otherwise set forth herein, to the extent more favorable to the Incremental Lenders holding Incremental Term Loans than the terms of the Initial Term Loans existing on the Incremental Facility Closing Date, shall be reasonably satisfactory to Administrative Agent (except for covenants and terms that apply solely to any period after the Latest Maturity Date that is in effect on the Incremental Facility Closing Date and with such modifications as may be necessary to accommodate the specific facts and circumstances of the applicable Committed Capacity Contract, the Compression Addition or the applicable Permitted Expansion, as applicable) (it being understood that to the extent any covenant is added for the benefit of any Incremental Term Loans, or any Incremental Commitments, no consent shall be required from the Administrative Agent or any of the Lenders to the extent that such covenant is also added for the benefit of the Term Loans remaining outstanding after the effectiveness of such Incremental Amendment) (it being understood that no Incremental Facility may require payments that are inconsistent with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color w:val="auto"/>
        </w:rPr>
        <w:t>). In any event:</w:t>
      </w:r>
    </w:p>
    <w:p>
      <w:pPr>
        <w:spacing w:after="0" w:line="145" w:lineRule="exact"/>
        <w:rPr>
          <w:rFonts w:ascii="Times New Roman" w:cs="Times New Roman" w:eastAsia="Times New Roman" w:hAnsi="Times New Roman"/>
          <w:sz w:val="21"/>
          <w:szCs w:val="21"/>
          <w:color w:val="auto"/>
        </w:rPr>
      </w:pPr>
    </w:p>
    <w:p>
      <w:pPr>
        <w:ind w:left="1340" w:hanging="600"/>
        <w:spacing w:after="0"/>
        <w:tabs>
          <w:tab w:leader="none" w:pos="134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Incremental Term Loans:</w:t>
      </w:r>
    </w:p>
    <w:p>
      <w:pPr>
        <w:spacing w:after="0" w:line="167" w:lineRule="exact"/>
        <w:rPr>
          <w:rFonts w:ascii="Times New Roman" w:cs="Times New Roman" w:eastAsia="Times New Roman" w:hAnsi="Times New Roman"/>
          <w:sz w:val="21"/>
          <w:szCs w:val="21"/>
          <w:color w:val="auto"/>
        </w:rPr>
      </w:pPr>
    </w:p>
    <w:p>
      <w:pPr>
        <w:ind w:left="740" w:firstLine="618"/>
        <w:spacing w:after="0" w:line="237" w:lineRule="auto"/>
        <w:tabs>
          <w:tab w:leader="none" w:pos="1967" w:val="left"/>
        </w:tabs>
        <w:numPr>
          <w:ilvl w:val="2"/>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(i)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right of payment with the Initial Term Loans and (ii) be secured by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lien basis with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120"/>
          </w:cols>
          <w:pgMar w:left="1440" w:top="1339" w:right="339" w:bottom="1440" w:gutter="0" w:footer="0" w:header="0"/>
        </w:sectPr>
      </w:pPr>
    </w:p>
    <w:bookmarkStart w:id="165" w:name="page166"/>
    <w:bookmarkEnd w:id="165"/>
    <w:p>
      <w:pPr>
        <w:ind w:left="2460" w:hanging="602"/>
        <w:spacing w:after="0"/>
        <w:tabs>
          <w:tab w:leader="none" w:pos="246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mature earlier than the Maturity Date of the Initial Term Loans,</w:t>
      </w:r>
    </w:p>
    <w:p>
      <w:pPr>
        <w:spacing w:after="0" w:line="171" w:lineRule="exact"/>
        <w:rPr>
          <w:rFonts w:ascii="Times New Roman" w:cs="Times New Roman" w:eastAsia="Times New Roman" w:hAnsi="Times New Roman"/>
          <w:sz w:val="21"/>
          <w:szCs w:val="21"/>
          <w:color w:val="auto"/>
        </w:rPr>
      </w:pPr>
    </w:p>
    <w:p>
      <w:pPr>
        <w:jc w:val="both"/>
        <w:ind w:left="1240" w:firstLine="618"/>
        <w:spacing w:after="0" w:line="220" w:lineRule="auto"/>
        <w:tabs>
          <w:tab w:leader="none" w:pos="2469"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have a Weighted Average Life to Maturity not shorter than the remaining Weighted Average Life to Maturity of the Initial Term Loans (without giving effect to any prepayments of the Initial Term Loans prior to the time of incurrence of such Incremental Term Loans that would otherwise modify the Weighted Average Life to Maturity of the Initial Term Loans),</w:t>
      </w:r>
    </w:p>
    <w:p>
      <w:pPr>
        <w:spacing w:after="0" w:line="145" w:lineRule="exact"/>
        <w:rPr>
          <w:rFonts w:ascii="Times New Roman" w:cs="Times New Roman" w:eastAsia="Times New Roman" w:hAnsi="Times New Roman"/>
          <w:sz w:val="21"/>
          <w:szCs w:val="21"/>
          <w:color w:val="auto"/>
        </w:rPr>
      </w:pPr>
    </w:p>
    <w:p>
      <w:pPr>
        <w:jc w:val="both"/>
        <w:ind w:left="1240" w:firstLine="618"/>
        <w:spacing w:after="0" w:line="215" w:lineRule="auto"/>
        <w:tabs>
          <w:tab w:leader="none" w:pos="2467"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have an Applicable Rate, and subject to </w:t>
      </w:r>
      <w:r>
        <w:rPr>
          <w:rFonts w:ascii="Times New Roman" w:cs="Times New Roman" w:eastAsia="Times New Roman" w:hAnsi="Times New Roman"/>
          <w:sz w:val="21"/>
          <w:szCs w:val="21"/>
          <w:u w:val="single" w:color="auto"/>
          <w:color w:val="auto"/>
        </w:rPr>
        <w:t>Sections 2.13(e)(i)(B)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2.13(e)(i)(C)</w:t>
      </w:r>
      <w:r>
        <w:rPr>
          <w:rFonts w:ascii="Times New Roman" w:cs="Times New Roman" w:eastAsia="Times New Roman" w:hAnsi="Times New Roman"/>
          <w:sz w:val="21"/>
          <w:szCs w:val="21"/>
          <w:color w:val="auto"/>
        </w:rPr>
        <w:t xml:space="preserve">, the amortization schedule applicable to any Incremental Term Loans and the All-In Yield applicable to the Incremental Term Loans of each Class shall be determined by the Borrower and the applicable Incremental Lenders and shall be set forth in each applicable Incremental Amendment;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amount and rate of amortization for any period under the Incremental Term Loans shall not exceed the amount and rate of amortization under the Initial Term Loans for such period, and</w:t>
      </w:r>
    </w:p>
    <w:p>
      <w:pPr>
        <w:spacing w:after="0" w:line="141" w:lineRule="exact"/>
        <w:rPr>
          <w:rFonts w:ascii="Times New Roman" w:cs="Times New Roman" w:eastAsia="Times New Roman" w:hAnsi="Times New Roman"/>
          <w:sz w:val="21"/>
          <w:szCs w:val="21"/>
          <w:color w:val="auto"/>
        </w:rPr>
      </w:pPr>
    </w:p>
    <w:p>
      <w:pPr>
        <w:jc w:val="both"/>
        <w:ind w:left="1240" w:firstLine="618"/>
        <w:spacing w:after="0" w:line="226" w:lineRule="auto"/>
        <w:tabs>
          <w:tab w:leader="none" w:pos="247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may provide for the ability to participate with respect to any optional prepayments, on a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rata </w:t>
      </w:r>
      <w:r>
        <w:rPr>
          <w:rFonts w:ascii="Times New Roman" w:cs="Times New Roman" w:eastAsia="Times New Roman" w:hAnsi="Times New Roman"/>
          <w:sz w:val="21"/>
          <w:szCs w:val="21"/>
          <w:color w:val="auto"/>
        </w:rPr>
        <w:t>basis or less than a</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basis with any then-existing Term Loans and (ii) shall provide for mandatory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prepayments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or less than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with any then-existing Term Loans.</w:t>
      </w:r>
    </w:p>
    <w:p>
      <w:pPr>
        <w:spacing w:after="0" w:line="146" w:lineRule="exact"/>
        <w:rPr>
          <w:rFonts w:ascii="Times New Roman" w:cs="Times New Roman" w:eastAsia="Times New Roman" w:hAnsi="Times New Roman"/>
          <w:sz w:val="21"/>
          <w:szCs w:val="21"/>
          <w:color w:val="auto"/>
        </w:rPr>
      </w:pPr>
    </w:p>
    <w:p>
      <w:pPr>
        <w:jc w:val="both"/>
        <w:ind w:firstLine="621"/>
        <w:spacing w:after="0" w:line="211" w:lineRule="auto"/>
        <w:tabs>
          <w:tab w:leader="none" w:pos="123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Amendment</w:t>
      </w:r>
      <w:r>
        <w:rPr>
          <w:rFonts w:ascii="Times New Roman" w:cs="Times New Roman" w:eastAsia="Times New Roman" w:hAnsi="Times New Roman"/>
          <w:sz w:val="21"/>
          <w:szCs w:val="21"/>
          <w:color w:val="auto"/>
        </w:rPr>
        <w:t>. Commitments in respect of Incremental Term Loans shall become Commitments under this Agreement pursuant to an amendment (an “</w:t>
      </w:r>
      <w:r>
        <w:rPr>
          <w:rFonts w:ascii="Times New Roman" w:cs="Times New Roman" w:eastAsia="Times New Roman" w:hAnsi="Times New Roman"/>
          <w:sz w:val="21"/>
          <w:szCs w:val="21"/>
          <w:b w:val="1"/>
          <w:bCs w:val="1"/>
          <w:color w:val="auto"/>
        </w:rPr>
        <w:t>Incremental Amendment</w:t>
      </w:r>
      <w:r>
        <w:rPr>
          <w:rFonts w:ascii="Times New Roman" w:cs="Times New Roman" w:eastAsia="Times New Roman" w:hAnsi="Times New Roman"/>
          <w:sz w:val="21"/>
          <w:szCs w:val="21"/>
          <w:color w:val="auto"/>
        </w:rPr>
        <w:t xml:space="preserve">”) to this Agreement and, as appropriate, the other Loan Documents, executed by the Borrower, the Borrower organized under the Laws of the United States, any state thereof, the District of Columbia or any territory thereof, that may be designated as the Borrower in respect thereof (if any), each Incremental Lender providing such Commitments, and the Administrative Agent. The Incremental Amendment may, without the consent of Agent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No Lender shall be obligated to provide any Incremental Term Loans, unless it so agrees,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Lender party hereto as of the date of such Incremental Amendment shall have the right to provide its Pro Rata Share of such Loans (unless it has declined or is a Defaulting Lender, or as provided in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shall supersede any provisions in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to the contrary.</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2.14</w:t>
      </w:r>
      <w:r>
        <w:rPr>
          <w:sz w:val="20"/>
          <w:szCs w:val="20"/>
          <w:color w:val="auto"/>
        </w:rPr>
        <w:tab/>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2.15</w:t>
      </w:r>
      <w:r>
        <w:rPr>
          <w:sz w:val="20"/>
          <w:szCs w:val="20"/>
          <w:color w:val="auto"/>
        </w:rPr>
        <w:tab/>
      </w:r>
      <w:r>
        <w:rPr>
          <w:rFonts w:ascii="Times New Roman" w:cs="Times New Roman" w:eastAsia="Times New Roman" w:hAnsi="Times New Roman"/>
          <w:sz w:val="20"/>
          <w:szCs w:val="20"/>
          <w:u w:val="single" w:color="auto"/>
          <w:color w:val="auto"/>
        </w:rPr>
        <w:t>Collateral Accounts, Distribution Account and Equity Contribution Account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25" w:lineRule="auto"/>
        <w:tabs>
          <w:tab w:leader="none" w:pos="123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 of Collateral Accounts</w:t>
      </w:r>
      <w:r>
        <w:rPr>
          <w:rFonts w:ascii="Times New Roman" w:cs="Times New Roman" w:eastAsia="Times New Roman" w:hAnsi="Times New Roman"/>
          <w:sz w:val="21"/>
          <w:szCs w:val="21"/>
          <w:color w:val="auto"/>
        </w:rPr>
        <w:t xml:space="preserve">. On or prior to the Closing Date the Borrower shall establish each of the Collateral Accounts. Notwithstanding any provision of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to the contrary, assets credited to a Collateral Account may be invested, liquidated and reinvested in cash and Cash Equivalents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620"/>
          </w:cols>
          <w:pgMar w:left="940" w:top="1339" w:right="339" w:bottom="1440" w:gutter="0" w:footer="0" w:header="0"/>
        </w:sectPr>
      </w:pPr>
    </w:p>
    <w:bookmarkStart w:id="166" w:name="page167"/>
    <w:bookmarkEnd w:id="166"/>
    <w:p>
      <w:pPr>
        <w:jc w:val="both"/>
        <w:ind w:left="-500" w:firstLine="621"/>
        <w:spacing w:after="0" w:line="215" w:lineRule="auto"/>
        <w:tabs>
          <w:tab w:leader="none" w:pos="73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and Maintenance of the Debt Service Reserve Account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and after the Closing Date, the Borrower shall (x) deposit (or shall cause to be deposited) cash and Cash Equivalents into the Debt Service Reserve Account and/or (y) cause one or more DSR Letters of Credit to be issued for the benefit of the Collateral Agent (for the benefit of the Secured Parties), such that, after giving effect thereto, the Funded DSR equals the DSR Requirement as of the applicable date of determination. For the avoidance of doubt, no Default or Event of Default shall be deemed to have occurred on account of any DSRA Deficiency Event.</w:t>
      </w:r>
    </w:p>
    <w:p>
      <w:pPr>
        <w:spacing w:after="0" w:line="149" w:lineRule="exact"/>
        <w:rPr>
          <w:rFonts w:ascii="Times New Roman" w:cs="Times New Roman" w:eastAsia="Times New Roman" w:hAnsi="Times New Roman"/>
          <w:sz w:val="21"/>
          <w:szCs w:val="21"/>
          <w:color w:val="auto"/>
        </w:rPr>
      </w:pPr>
    </w:p>
    <w:p>
      <w:pPr>
        <w:jc w:val="both"/>
        <w:ind w:left="-500" w:firstLine="621"/>
        <w:spacing w:after="0" w:line="211" w:lineRule="auto"/>
        <w:tabs>
          <w:tab w:leader="none" w:pos="73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Revenue Account; Maintenance of the Revenue Account</w:t>
      </w:r>
      <w:r>
        <w:rPr>
          <w:rFonts w:ascii="Times New Roman" w:cs="Times New Roman" w:eastAsia="Times New Roman" w:hAnsi="Times New Roman"/>
          <w:sz w:val="21"/>
          <w:szCs w:val="21"/>
          <w:color w:val="auto"/>
        </w:rPr>
        <w:t xml:space="preserve">. On and after the Closing Date, the Borrower shall deposit all Proceeds, promptly after receipt thereof, into the Revenue Account for application in accordance with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color w:val="auto"/>
        </w:rPr>
        <w:t xml:space="preserve">. Proceeds of all Initial Term Loans shall be deposited into the Revenue Account;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amount to be used to make Restricted Payments for the purpose or repaying or redeeming in full the outstanding TPG Preferred Equity or to make the Closing Date Distribution shall be deposited into any bank account specified by the Sponsor;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any proceeds of the Term Loans elected by the Borrower to be used to fund the DSR Requirement shall be deposited into the Debt Service Reserve Account. Proceeds of all Delayed Draw Term Loans shall be deposited into the Revenue Account;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any amount to be used to make Restricted Payments pursuant to Section 7.07(c) shall be deposited into any bank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account specified by the Sponsor.</w:t>
      </w:r>
    </w:p>
    <w:p>
      <w:pPr>
        <w:spacing w:after="0" w:line="151" w:lineRule="exact"/>
        <w:rPr>
          <w:rFonts w:ascii="Times New Roman" w:cs="Times New Roman" w:eastAsia="Times New Roman" w:hAnsi="Times New Roman"/>
          <w:sz w:val="21"/>
          <w:szCs w:val="21"/>
          <w:color w:val="auto"/>
        </w:rPr>
      </w:pPr>
    </w:p>
    <w:p>
      <w:pPr>
        <w:ind w:left="-500" w:firstLine="621"/>
        <w:spacing w:after="0" w:line="235" w:lineRule="auto"/>
        <w:tabs>
          <w:tab w:leader="none" w:pos="73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Extraordinary Proceeds Account; Maintenance of the Extraordinary Proceeds Account</w:t>
      </w:r>
      <w:r>
        <w:rPr>
          <w:rFonts w:ascii="Times New Roman" w:cs="Times New Roman" w:eastAsia="Times New Roman" w:hAnsi="Times New Roman"/>
          <w:sz w:val="21"/>
          <w:szCs w:val="21"/>
          <w:color w:val="auto"/>
        </w:rPr>
        <w:t>. On and after the Closing Date, all Extraordinary Proceeds shall be deposited into the Extraordinary Proceeds Account.</w:t>
      </w:r>
    </w:p>
    <w:p>
      <w:pPr>
        <w:spacing w:after="0" w:line="145" w:lineRule="exact"/>
        <w:rPr>
          <w:rFonts w:ascii="Times New Roman" w:cs="Times New Roman" w:eastAsia="Times New Roman" w:hAnsi="Times New Roman"/>
          <w:sz w:val="21"/>
          <w:szCs w:val="21"/>
          <w:color w:val="auto"/>
        </w:rPr>
      </w:pPr>
    </w:p>
    <w:p>
      <w:pPr>
        <w:jc w:val="both"/>
        <w:ind w:left="-500" w:firstLine="621"/>
        <w:spacing w:after="0" w:line="225" w:lineRule="auto"/>
        <w:tabs>
          <w:tab w:leader="none" w:pos="73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Distribution Suspense Account; Maintenance of the Distribution Suspense Account</w:t>
      </w:r>
      <w:r>
        <w:rPr>
          <w:rFonts w:ascii="Times New Roman" w:cs="Times New Roman" w:eastAsia="Times New Roman" w:hAnsi="Times New Roman"/>
          <w:sz w:val="21"/>
          <w:szCs w:val="21"/>
          <w:color w:val="auto"/>
        </w:rPr>
        <w:t xml:space="preserve">. If the Restricted Payment Conditions have not been satisfied, all amounts remaining in Revenue Account after all payments in levels </w:t>
      </w:r>
      <w:r>
        <w:rPr>
          <w:rFonts w:ascii="Times New Roman" w:cs="Times New Roman" w:eastAsia="Times New Roman" w:hAnsi="Times New Roman"/>
          <w:sz w:val="21"/>
          <w:szCs w:val="21"/>
          <w:i w:val="1"/>
          <w:iCs w:val="1"/>
          <w:color w:val="auto"/>
        </w:rPr>
        <w:t xml:space="preserve">First </w:t>
      </w:r>
      <w:r>
        <w:rPr>
          <w:rFonts w:ascii="Times New Roman" w:cs="Times New Roman" w:eastAsia="Times New Roman" w:hAnsi="Times New Roman"/>
          <w:sz w:val="21"/>
          <w:szCs w:val="21"/>
          <w:color w:val="auto"/>
        </w:rPr>
        <w:t>through</w:t>
      </w:r>
      <w:r>
        <w:rPr>
          <w:rFonts w:ascii="Times New Roman" w:cs="Times New Roman" w:eastAsia="Times New Roman" w:hAnsi="Times New Roman"/>
          <w:sz w:val="21"/>
          <w:szCs w:val="21"/>
          <w:i w:val="1"/>
          <w:iCs w:val="1"/>
          <w:color w:val="auto"/>
        </w:rPr>
        <w:t xml:space="preserve"> Eight </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deposited in the Distribution Suspense Account.</w:t>
      </w:r>
    </w:p>
    <w:p>
      <w:pPr>
        <w:spacing w:after="0" w:line="141" w:lineRule="exact"/>
        <w:rPr>
          <w:rFonts w:ascii="Times New Roman" w:cs="Times New Roman" w:eastAsia="Times New Roman" w:hAnsi="Times New Roman"/>
          <w:sz w:val="21"/>
          <w:szCs w:val="21"/>
          <w:color w:val="auto"/>
        </w:rPr>
      </w:pPr>
    </w:p>
    <w:p>
      <w:pPr>
        <w:ind w:left="740" w:hanging="619"/>
        <w:spacing w:after="0"/>
        <w:tabs>
          <w:tab w:leader="none" w:pos="74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Excluded Accounts</w:t>
      </w:r>
      <w:r>
        <w:rPr>
          <w:rFonts w:ascii="Times New Roman" w:cs="Times New Roman" w:eastAsia="Times New Roman" w:hAnsi="Times New Roman"/>
          <w:sz w:val="21"/>
          <w:szCs w:val="21"/>
          <w:i w:val="1"/>
          <w:iCs w:val="1"/>
          <w:color w:val="auto"/>
        </w:rPr>
        <w:t>.</w:t>
      </w:r>
    </w:p>
    <w:p>
      <w:pPr>
        <w:spacing w:after="0" w:line="175" w:lineRule="exact"/>
        <w:rPr>
          <w:rFonts w:ascii="Times New Roman" w:cs="Times New Roman" w:eastAsia="Times New Roman" w:hAnsi="Times New Roman"/>
          <w:sz w:val="21"/>
          <w:szCs w:val="21"/>
          <w:color w:val="auto"/>
        </w:rPr>
      </w:pPr>
    </w:p>
    <w:p>
      <w:pPr>
        <w:jc w:val="both"/>
        <w:ind w:left="120" w:firstLine="620"/>
        <w:spacing w:after="0" w:line="225" w:lineRule="auto"/>
        <w:tabs>
          <w:tab w:leader="none" w:pos="1346"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Distribution Commencement Date, if the Restricted Payment Conditions have been satisfied, all amounts remaining in Revenue Account after all payments in levels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color w:val="auto"/>
        </w:rPr>
        <w:t xml:space="preserve"> shall be deposited in the Distribution Account to be applied in any way not prohibited by the Loan Documents.</w:t>
      </w:r>
    </w:p>
    <w:p>
      <w:pPr>
        <w:spacing w:after="0" w:line="145" w:lineRule="exact"/>
        <w:rPr>
          <w:rFonts w:ascii="Times New Roman" w:cs="Times New Roman" w:eastAsia="Times New Roman" w:hAnsi="Times New Roman"/>
          <w:sz w:val="21"/>
          <w:szCs w:val="21"/>
          <w:color w:val="auto"/>
        </w:rPr>
      </w:pPr>
    </w:p>
    <w:p>
      <w:pPr>
        <w:ind w:left="1360" w:hanging="620"/>
        <w:spacing w:after="0"/>
        <w:tabs>
          <w:tab w:leader="none" w:pos="136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deposit into the Equity Contribution Account any Excluded Proceeds.</w:t>
      </w:r>
    </w:p>
    <w:p>
      <w:pPr>
        <w:spacing w:after="0" w:line="167" w:lineRule="exact"/>
        <w:rPr>
          <w:rFonts w:ascii="Times New Roman" w:cs="Times New Roman" w:eastAsia="Times New Roman" w:hAnsi="Times New Roman"/>
          <w:sz w:val="21"/>
          <w:szCs w:val="21"/>
          <w:color w:val="auto"/>
        </w:rPr>
      </w:pPr>
    </w:p>
    <w:p>
      <w:pPr>
        <w:ind w:left="740" w:hanging="619"/>
        <w:spacing w:after="0"/>
        <w:tabs>
          <w:tab w:leader="none" w:pos="74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Withdrawals from the Debt Service Reserve Account</w:t>
      </w:r>
      <w:r>
        <w:rPr>
          <w:rFonts w:ascii="Times New Roman" w:cs="Times New Roman" w:eastAsia="Times New Roman" w:hAnsi="Times New Roman"/>
          <w:sz w:val="21"/>
          <w:szCs w:val="21"/>
          <w:i w:val="1"/>
          <w:iCs w:val="1"/>
          <w:color w:val="auto"/>
        </w:rPr>
        <w:t>.</w:t>
      </w:r>
    </w:p>
    <w:p>
      <w:pPr>
        <w:spacing w:after="0" w:line="175" w:lineRule="exact"/>
        <w:rPr>
          <w:rFonts w:ascii="Times New Roman" w:cs="Times New Roman" w:eastAsia="Times New Roman" w:hAnsi="Times New Roman"/>
          <w:sz w:val="21"/>
          <w:szCs w:val="21"/>
          <w:color w:val="auto"/>
        </w:rPr>
      </w:pPr>
    </w:p>
    <w:p>
      <w:pPr>
        <w:jc w:val="both"/>
        <w:ind w:left="120" w:firstLine="620"/>
        <w:spacing w:after="0" w:line="215" w:lineRule="auto"/>
        <w:tabs>
          <w:tab w:leader="none" w:pos="1346"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Withdrawals may only be made from the Debt Service Reserve Account (1) to the extent that the Borrower does not have sufficient funds to pay amounts of scheduled principal or interest on the Term Loans then due, in which case payments may be made in accordance with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or (2) if a DSRA Overfunding Event has occurred, to the extent of excess funds in the Debt Service Reserve Account (without duplication of any such excess amounts applied to reduce the Available Draw Amount under any DSR Letter of Credit pursuant to </w:t>
      </w:r>
      <w:r>
        <w:rPr>
          <w:rFonts w:ascii="Times New Roman" w:cs="Times New Roman" w:eastAsia="Times New Roman" w:hAnsi="Times New Roman"/>
          <w:sz w:val="21"/>
          <w:szCs w:val="21"/>
          <w:u w:val="single" w:color="auto"/>
          <w:color w:val="auto"/>
        </w:rPr>
        <w:t>Section 2.15(g)(iii)</w:t>
      </w:r>
      <w:r>
        <w:rPr>
          <w:rFonts w:ascii="Times New Roman" w:cs="Times New Roman" w:eastAsia="Times New Roman" w:hAnsi="Times New Roman"/>
          <w:sz w:val="21"/>
          <w:szCs w:val="21"/>
          <w:color w:val="auto"/>
        </w:rPr>
        <w:t>), in which case such excess funds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0120"/>
          </w:cols>
          <w:pgMar w:left="1440" w:top="1335" w:right="339" w:bottom="1440" w:gutter="0" w:footer="0" w:header="0"/>
        </w:sectPr>
      </w:pPr>
    </w:p>
    <w:bookmarkStart w:id="167" w:name="page168"/>
    <w:bookmarkEnd w:id="167"/>
    <w:p>
      <w:pPr>
        <w:ind w:left="120"/>
        <w:spacing w:after="0" w:line="235" w:lineRule="auto"/>
        <w:rPr>
          <w:sz w:val="20"/>
          <w:szCs w:val="20"/>
          <w:color w:val="auto"/>
        </w:rPr>
      </w:pPr>
      <w:r>
        <w:rPr>
          <w:rFonts w:ascii="Times New Roman" w:cs="Times New Roman" w:eastAsia="Times New Roman" w:hAnsi="Times New Roman"/>
          <w:sz w:val="21"/>
          <w:szCs w:val="21"/>
          <w:color w:val="auto"/>
        </w:rPr>
        <w:t>deposited into the Distribution Suspense Account or, if the Restricted Payment Conditions are then satisfied, the Distribution Account.</w:t>
      </w:r>
    </w:p>
    <w:p>
      <w:pPr>
        <w:spacing w:after="0" w:line="146" w:lineRule="exact"/>
        <w:rPr>
          <w:sz w:val="20"/>
          <w:szCs w:val="20"/>
          <w:color w:val="auto"/>
        </w:rPr>
      </w:pPr>
    </w:p>
    <w:p>
      <w:pPr>
        <w:jc w:val="both"/>
        <w:ind w:left="120" w:firstLine="620"/>
        <w:spacing w:after="0" w:line="212" w:lineRule="auto"/>
        <w:tabs>
          <w:tab w:leader="none" w:pos="1352"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Borrower fails to make any payment of scheduled principal or interest on the Term Loans as and when the same shall be due (after giving effect to all applicable grace periods), the Collateral Agent (as directed by the Administrative Agent) may, but is not obligated to, (A) withdraw such amount in cash from the Debt Service Reserve Account and, if amounts in cash on deposit in the Debt Service Reserve Account are insufficient to make such payment, the Collateral Agent may then (B) draw on the DSR Letters of Credit on a pro rata basis, and apply such amounts to the payment of such principal or interest, and to the extent such amounts so applied are sufficient to cover the defaulted principal or interest, no Default or Event of Default shall occur or be deemed to have occurred with respect thereto.</w:t>
      </w:r>
    </w:p>
    <w:p>
      <w:pPr>
        <w:spacing w:after="0" w:line="149" w:lineRule="exact"/>
        <w:rPr>
          <w:rFonts w:ascii="Times New Roman" w:cs="Times New Roman" w:eastAsia="Times New Roman" w:hAnsi="Times New Roman"/>
          <w:sz w:val="21"/>
          <w:szCs w:val="21"/>
          <w:color w:val="auto"/>
        </w:rPr>
      </w:pPr>
    </w:p>
    <w:p>
      <w:pPr>
        <w:jc w:val="both"/>
        <w:ind w:left="120" w:firstLine="620"/>
        <w:spacing w:after="0" w:line="212" w:lineRule="auto"/>
        <w:tabs>
          <w:tab w:leader="none" w:pos="1357"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the Borrower may from time to time deliver a certificate of a Responsible Officer of the Borrower directing the Collateral Agent to reduce the Available Draw Amount under one or more DSR Letters of Credit and specifying the amount of such reduction(s), and the Collateral Agent agrees, promptly after receipt thereof, to deliver to each applicable Acceptable L/C Issuer a certificate in the form attached to such DSR Letter of Credit, whereby the Available Draw Amount under such DSR Letters of Credit shall be reduced in an aggregate amount specified by the Borrower up to the excess of the Funded DSR over the DSR Requirement;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giving effect to any reduction in the Available Draw Amount of such DSR Letters of Credit, no DSRA Deficiency Event shall occur.</w:t>
      </w:r>
    </w:p>
    <w:p>
      <w:pPr>
        <w:spacing w:after="0" w:line="149" w:lineRule="exact"/>
        <w:rPr>
          <w:rFonts w:ascii="Times New Roman" w:cs="Times New Roman" w:eastAsia="Times New Roman" w:hAnsi="Times New Roman"/>
          <w:sz w:val="21"/>
          <w:szCs w:val="21"/>
          <w:color w:val="auto"/>
        </w:rPr>
      </w:pPr>
    </w:p>
    <w:p>
      <w:pPr>
        <w:jc w:val="both"/>
        <w:ind w:left="-500" w:firstLine="621"/>
        <w:spacing w:after="0" w:line="220" w:lineRule="auto"/>
        <w:tabs>
          <w:tab w:leader="none" w:pos="73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Withdrawals from the Revenue Account</w:t>
      </w:r>
      <w:r>
        <w:rPr>
          <w:rFonts w:ascii="Times New Roman" w:cs="Times New Roman" w:eastAsia="Times New Roman" w:hAnsi="Times New Roman"/>
          <w:sz w:val="21"/>
          <w:szCs w:val="21"/>
          <w:color w:val="auto"/>
        </w:rPr>
        <w:t>. Amounts on deposit in the Revenue Account shall be available to the Borrower from time to time for withdrawal and application to the extent available at the following times and in the following order of priority (with no payment referred to in each clause below being made until all amounts referred to in the clauses preceding it have been made):</w:t>
      </w:r>
    </w:p>
    <w:p>
      <w:pPr>
        <w:spacing w:after="0" w:line="141" w:lineRule="exact"/>
        <w:rPr>
          <w:rFonts w:ascii="Times New Roman" w:cs="Times New Roman" w:eastAsia="Times New Roman" w:hAnsi="Times New Roman"/>
          <w:sz w:val="21"/>
          <w:szCs w:val="21"/>
          <w:color w:val="auto"/>
        </w:rPr>
      </w:pPr>
    </w:p>
    <w:p>
      <w:pPr>
        <w:ind w:left="1340" w:hanging="600"/>
        <w:spacing w:after="0"/>
        <w:tabs>
          <w:tab w:leader="none" w:pos="1340"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pay Operating Expenses then owing;</w:t>
      </w:r>
    </w:p>
    <w:p>
      <w:pPr>
        <w:spacing w:after="0" w:line="171" w:lineRule="exact"/>
        <w:rPr>
          <w:rFonts w:ascii="Times New Roman" w:cs="Times New Roman" w:eastAsia="Times New Roman" w:hAnsi="Times New Roman"/>
          <w:sz w:val="21"/>
          <w:szCs w:val="21"/>
          <w:color w:val="auto"/>
        </w:rPr>
      </w:pPr>
    </w:p>
    <w:p>
      <w:pPr>
        <w:jc w:val="both"/>
        <w:ind w:left="120" w:firstLine="620"/>
        <w:spacing w:after="0" w:line="226" w:lineRule="auto"/>
        <w:tabs>
          <w:tab w:leader="none" w:pos="1352"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the extent due and payable, to the Administrative Agent an amount sufficient to pay the costs,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indemnities, administrative fees and expenses (including fees, charges and disbursements of counsel) with respect to the Super-Priority Permitted Indebtedness and all other amounts becoming due and payable;</w:t>
      </w:r>
    </w:p>
    <w:p>
      <w:pPr>
        <w:spacing w:after="0" w:line="142" w:lineRule="exact"/>
        <w:rPr>
          <w:rFonts w:ascii="Times New Roman" w:cs="Times New Roman" w:eastAsia="Times New Roman" w:hAnsi="Times New Roman"/>
          <w:sz w:val="21"/>
          <w:szCs w:val="21"/>
          <w:color w:val="auto"/>
        </w:rPr>
      </w:pPr>
    </w:p>
    <w:p>
      <w:pPr>
        <w:jc w:val="both"/>
        <w:ind w:left="120" w:firstLine="620"/>
        <w:spacing w:after="0" w:line="226" w:lineRule="auto"/>
        <w:tabs>
          <w:tab w:leader="none" w:pos="1357"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the extent due and payable, to the Administrative Agent an amount sufficient to pay the costs,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indemnities, administrative fees and expenses (including fees, charges and disbursements of counsel) with respect to the Pari Passu Permitted Debt;</w:t>
      </w:r>
    </w:p>
    <w:p>
      <w:pPr>
        <w:spacing w:after="0" w:line="142" w:lineRule="exact"/>
        <w:rPr>
          <w:rFonts w:ascii="Times New Roman" w:cs="Times New Roman" w:eastAsia="Times New Roman" w:hAnsi="Times New Roman"/>
          <w:sz w:val="21"/>
          <w:szCs w:val="21"/>
          <w:color w:val="auto"/>
        </w:rPr>
      </w:pPr>
    </w:p>
    <w:p>
      <w:pPr>
        <w:jc w:val="both"/>
        <w:ind w:left="120" w:firstLine="620"/>
        <w:spacing w:after="0" w:line="218" w:lineRule="auto"/>
        <w:tabs>
          <w:tab w:leader="none" w:pos="1346"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(A) to the extent a Required Contribution is required to be made by the Borrower under the JV</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LLC Agreement, to fund such Required Contribution and (without duplication) (B) to fund (x) the Borrower’s pro rata share of the amount required to fund the Project, (y) Capital Expenditures using proceeds of the Loans as set forth in </w:t>
      </w:r>
      <w:r>
        <w:rPr>
          <w:rFonts w:ascii="Times New Roman" w:cs="Times New Roman" w:eastAsia="Times New Roman" w:hAnsi="Times New Roman"/>
          <w:sz w:val="21"/>
          <w:szCs w:val="21"/>
          <w:u w:val="single" w:color="auto"/>
          <w:color w:val="auto"/>
        </w:rPr>
        <w:t>Section 5.19</w:t>
      </w:r>
      <w:r>
        <w:rPr>
          <w:rFonts w:ascii="Times New Roman" w:cs="Times New Roman" w:eastAsia="Times New Roman" w:hAnsi="Times New Roman"/>
          <w:sz w:val="21"/>
          <w:szCs w:val="21"/>
          <w:color w:val="auto"/>
        </w:rPr>
        <w:t xml:space="preserve"> and (z) Capital Expenditures in connection with a Committed Capacity Contract, Permitted Expansion or the Compression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120"/>
          </w:cols>
          <w:pgMar w:left="1440" w:top="1339" w:right="339" w:bottom="1440" w:gutter="0" w:footer="0" w:header="0"/>
        </w:sectPr>
      </w:pPr>
    </w:p>
    <w:bookmarkStart w:id="168" w:name="page169"/>
    <w:bookmarkEnd w:id="168"/>
    <w:p>
      <w:pPr>
        <w:ind w:left="120" w:firstLine="620"/>
        <w:spacing w:after="0" w:line="237" w:lineRule="auto"/>
        <w:tabs>
          <w:tab w:leader="none" w:pos="1353"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to the extent then due and payable, to the Administrative Agent an amount sufficient to pay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and Fee Amounts;</w:t>
      </w:r>
    </w:p>
    <w:p>
      <w:pPr>
        <w:spacing w:after="0" w:line="141" w:lineRule="exact"/>
        <w:rPr>
          <w:rFonts w:ascii="Times New Roman" w:cs="Times New Roman" w:eastAsia="Times New Roman" w:hAnsi="Times New Roman"/>
          <w:sz w:val="21"/>
          <w:szCs w:val="21"/>
          <w:color w:val="auto"/>
        </w:rPr>
      </w:pPr>
    </w:p>
    <w:p>
      <w:pPr>
        <w:ind w:left="120" w:firstLine="620"/>
        <w:spacing w:after="0" w:line="237" w:lineRule="auto"/>
        <w:tabs>
          <w:tab w:leader="none" w:pos="134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the extent then due and payable, to the Administrative Agent an amount sufficient, to pay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Principal Payment Amounts;</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26" w:lineRule="auto"/>
        <w:tabs>
          <w:tab w:leader="none" w:pos="1352"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transfer to the Debt Service Reserve Account an amount necessary to cause the Funded DSR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equal the DSR Requirement and, thereafter, to fund any similar debt service reserve for any Additional Pari Passu Permitted Debt;</w:t>
      </w:r>
    </w:p>
    <w:p>
      <w:pPr>
        <w:spacing w:after="0" w:line="142" w:lineRule="exact"/>
        <w:rPr>
          <w:rFonts w:ascii="Times New Roman" w:cs="Times New Roman" w:eastAsia="Times New Roman" w:hAnsi="Times New Roman"/>
          <w:sz w:val="21"/>
          <w:szCs w:val="21"/>
          <w:color w:val="auto"/>
        </w:rPr>
      </w:pPr>
    </w:p>
    <w:p>
      <w:pPr>
        <w:jc w:val="both"/>
        <w:ind w:left="120" w:firstLine="620"/>
        <w:spacing w:after="0" w:line="218" w:lineRule="auto"/>
        <w:tabs>
          <w:tab w:leader="none" w:pos="1357"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(A) to the extent remaining unpaid after the application of amounts of the Extraordinary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Proceeds Accounts pursuant to </w:t>
      </w:r>
      <w:r>
        <w:rPr>
          <w:rFonts w:ascii="Times New Roman" w:cs="Times New Roman" w:eastAsia="Times New Roman" w:hAnsi="Times New Roman"/>
          <w:sz w:val="21"/>
          <w:szCs w:val="21"/>
          <w:u w:val="single" w:color="auto"/>
          <w:color w:val="auto"/>
        </w:rPr>
        <w:t>Section 2.15(j)</w:t>
      </w:r>
      <w:r>
        <w:rPr>
          <w:rFonts w:ascii="Times New Roman" w:cs="Times New Roman" w:eastAsia="Times New Roman" w:hAnsi="Times New Roman"/>
          <w:sz w:val="21"/>
          <w:szCs w:val="21"/>
          <w:color w:val="auto"/>
        </w:rPr>
        <w:t xml:space="preserve">, to make mandatory prepayments as set forth in </w:t>
      </w:r>
      <w:r>
        <w:rPr>
          <w:rFonts w:ascii="Times New Roman" w:cs="Times New Roman" w:eastAsia="Times New Roman" w:hAnsi="Times New Roman"/>
          <w:sz w:val="21"/>
          <w:szCs w:val="21"/>
          <w:u w:val="single" w:color="auto"/>
          <w:color w:val="auto"/>
        </w:rPr>
        <w:t>Section 2.04(b)(i)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2.04(b)(v)</w:t>
      </w:r>
      <w:r>
        <w:rPr>
          <w:rFonts w:ascii="Times New Roman" w:cs="Times New Roman" w:eastAsia="Times New Roman" w:hAnsi="Times New Roman"/>
          <w:sz w:val="21"/>
          <w:szCs w:val="21"/>
          <w:color w:val="auto"/>
        </w:rPr>
        <w:t xml:space="preserve">, (B) to make mandatory prepayments as set forth in </w:t>
      </w:r>
      <w:r>
        <w:rPr>
          <w:rFonts w:ascii="Times New Roman" w:cs="Times New Roman" w:eastAsia="Times New Roman" w:hAnsi="Times New Roman"/>
          <w:sz w:val="21"/>
          <w:szCs w:val="21"/>
          <w:u w:val="single" w:color="auto"/>
          <w:color w:val="auto"/>
        </w:rPr>
        <w:t>Section 2.04(b)(vii)</w:t>
      </w:r>
      <w:r>
        <w:rPr>
          <w:rFonts w:ascii="Times New Roman" w:cs="Times New Roman" w:eastAsia="Times New Roman" w:hAnsi="Times New Roman"/>
          <w:sz w:val="21"/>
          <w:szCs w:val="21"/>
          <w:color w:val="auto"/>
        </w:rPr>
        <w:t xml:space="preserve">, (C) to make mandatory prepayments as set forth in </w:t>
      </w:r>
      <w:r>
        <w:rPr>
          <w:rFonts w:ascii="Times New Roman" w:cs="Times New Roman" w:eastAsia="Times New Roman" w:hAnsi="Times New Roman"/>
          <w:sz w:val="21"/>
          <w:szCs w:val="21"/>
          <w:u w:val="single" w:color="auto"/>
          <w:color w:val="auto"/>
        </w:rPr>
        <w:t>Section 2.04(b)(vi)</w:t>
      </w:r>
      <w:r>
        <w:rPr>
          <w:rFonts w:ascii="Times New Roman" w:cs="Times New Roman" w:eastAsia="Times New Roman" w:hAnsi="Times New Roman"/>
          <w:sz w:val="21"/>
          <w:szCs w:val="21"/>
          <w:color w:val="auto"/>
        </w:rPr>
        <w:t xml:space="preserve">, and, (D) thereafter, to make optional prepayments of the Pari Passu Permitted Debt outstanding at such time, including for purposes of </w:t>
      </w:r>
      <w:r>
        <w:rPr>
          <w:rFonts w:ascii="Times New Roman" w:cs="Times New Roman" w:eastAsia="Times New Roman" w:hAnsi="Times New Roman"/>
          <w:sz w:val="21"/>
          <w:szCs w:val="21"/>
          <w:u w:val="single" w:color="auto"/>
          <w:color w:val="auto"/>
        </w:rPr>
        <w:t>Section 8.01(m)</w:t>
      </w:r>
      <w:r>
        <w:rPr>
          <w:rFonts w:ascii="Times New Roman" w:cs="Times New Roman" w:eastAsia="Times New Roman" w:hAnsi="Times New Roman"/>
          <w:sz w:val="21"/>
          <w:szCs w:val="21"/>
          <w:color w:val="auto"/>
        </w:rPr>
        <w:t>; and</w:t>
      </w:r>
    </w:p>
    <w:p>
      <w:pPr>
        <w:spacing w:after="0" w:line="140" w:lineRule="exact"/>
        <w:rPr>
          <w:rFonts w:ascii="Times New Roman" w:cs="Times New Roman" w:eastAsia="Times New Roman" w:hAnsi="Times New Roman"/>
          <w:sz w:val="21"/>
          <w:szCs w:val="21"/>
          <w:color w:val="auto"/>
        </w:rPr>
      </w:pPr>
    </w:p>
    <w:p>
      <w:pPr>
        <w:jc w:val="both"/>
        <w:ind w:left="120" w:firstLine="620"/>
        <w:spacing w:after="0" w:line="218" w:lineRule="auto"/>
        <w:tabs>
          <w:tab w:leader="none" w:pos="134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Ninth</w:t>
      </w:r>
      <w:r>
        <w:rPr>
          <w:rFonts w:ascii="Times New Roman" w:cs="Times New Roman" w:eastAsia="Times New Roman" w:hAnsi="Times New Roman"/>
          <w:sz w:val="21"/>
          <w:szCs w:val="21"/>
          <w:color w:val="auto"/>
        </w:rPr>
        <w:t>, any excess amounts on deposit in the Revenue Account shall be transferred, (A) from and after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Closing Date and until the Distribution Commencement Date, to the Distribution Suspense Account, and (B) from and after the Distribution Commencement Date, (x) if the Restricted Payment Conditions are satisfied, to the Distribution Account; or (y) if the Restricted Payment Conditions are not then satisfied, to the Distribution Suspense Account for application in accordance with </w:t>
      </w:r>
      <w:r>
        <w:rPr>
          <w:rFonts w:ascii="Times New Roman" w:cs="Times New Roman" w:eastAsia="Times New Roman" w:hAnsi="Times New Roman"/>
          <w:sz w:val="21"/>
          <w:szCs w:val="21"/>
          <w:u w:val="single" w:color="auto"/>
          <w:color w:val="auto"/>
        </w:rPr>
        <w:t>Section 2.15(i)</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720" w:hanging="599"/>
        <w:spacing w:after="0"/>
        <w:tabs>
          <w:tab w:leader="none" w:pos="72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Withdrawals from the Distribution Suspense Account</w:t>
      </w:r>
      <w:r>
        <w:rPr>
          <w:rFonts w:ascii="Times New Roman" w:cs="Times New Roman" w:eastAsia="Times New Roman" w:hAnsi="Times New Roman"/>
          <w:sz w:val="21"/>
          <w:szCs w:val="21"/>
          <w:i w:val="1"/>
          <w:iCs w:val="1"/>
          <w:color w:val="auto"/>
        </w:rPr>
        <w:t>.</w:t>
      </w:r>
    </w:p>
    <w:p>
      <w:pPr>
        <w:spacing w:after="0" w:line="175" w:lineRule="exact"/>
        <w:rPr>
          <w:rFonts w:ascii="Times New Roman" w:cs="Times New Roman" w:eastAsia="Times New Roman" w:hAnsi="Times New Roman"/>
          <w:sz w:val="21"/>
          <w:szCs w:val="21"/>
          <w:color w:val="auto"/>
        </w:rPr>
      </w:pPr>
    </w:p>
    <w:p>
      <w:pPr>
        <w:jc w:val="both"/>
        <w:ind w:left="120" w:firstLine="620"/>
        <w:spacing w:after="0" w:line="225" w:lineRule="auto"/>
        <w:tabs>
          <w:tab w:leader="none" w:pos="134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Distribution Commencement Date, after the satisfaction of the Restricted Payment Conditions, amounts in the Distribution Suspense Account shall be withdrawn from the Distribution Suspense Account and released to the Distribution Account to be applied in any way not prohibited by the Loan Documents.</w:t>
      </w:r>
    </w:p>
    <w:p>
      <w:pPr>
        <w:spacing w:after="0" w:line="141" w:lineRule="exact"/>
        <w:rPr>
          <w:rFonts w:ascii="Times New Roman" w:cs="Times New Roman" w:eastAsia="Times New Roman" w:hAnsi="Times New Roman"/>
          <w:sz w:val="21"/>
          <w:szCs w:val="21"/>
          <w:color w:val="auto"/>
        </w:rPr>
      </w:pPr>
    </w:p>
    <w:p>
      <w:pPr>
        <w:jc w:val="both"/>
        <w:ind w:left="120" w:firstLine="620"/>
        <w:spacing w:after="0" w:line="221" w:lineRule="auto"/>
        <w:tabs>
          <w:tab w:leader="none" w:pos="1352"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time, there are insufficient funds in the Revenue Account to make payments pursuant to clause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color w:val="auto"/>
        </w:rPr>
        <w:t xml:space="preserve">, amounts in the Distribution Suspense Account shall be withdrawn from the Distribution Suspense Account and deposited into the Revenue Account to be applied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2.15(h)</w:t>
      </w:r>
      <w:r>
        <w:rPr>
          <w:rFonts w:ascii="Times New Roman" w:cs="Times New Roman" w:eastAsia="Times New Roman" w:hAnsi="Times New Roman"/>
          <w:sz w:val="21"/>
          <w:szCs w:val="21"/>
          <w:color w:val="auto"/>
        </w:rPr>
        <w:t xml:space="preserve"> until such shortfall is resolved or to be applied in any way not prohibited by the Loan Documents.</w:t>
      </w:r>
    </w:p>
    <w:p>
      <w:pPr>
        <w:spacing w:after="0" w:line="146" w:lineRule="exact"/>
        <w:rPr>
          <w:sz w:val="20"/>
          <w:szCs w:val="20"/>
          <w:color w:val="auto"/>
        </w:rPr>
      </w:pPr>
    </w:p>
    <w:p>
      <w:pPr>
        <w:ind w:left="-500" w:firstLine="621"/>
        <w:spacing w:after="0" w:line="235" w:lineRule="auto"/>
        <w:tabs>
          <w:tab w:leader="none" w:pos="72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Withdrawals from the Extraordinary Proceeds Account</w:t>
      </w:r>
      <w:r>
        <w:rPr>
          <w:rFonts w:ascii="Times New Roman" w:cs="Times New Roman" w:eastAsia="Times New Roman" w:hAnsi="Times New Roman"/>
          <w:sz w:val="21"/>
          <w:szCs w:val="21"/>
          <w:color w:val="auto"/>
        </w:rPr>
        <w:t xml:space="preserve">. Withdrawals from the Extraordinary Proceeds Account may only be made to make mandatory prepayments in accordance with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left="-500" w:firstLine="621"/>
        <w:spacing w:after="0" w:line="217" w:lineRule="auto"/>
        <w:tabs>
          <w:tab w:leader="none" w:pos="73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Withdrawals from the Equity Contribution Account</w:t>
      </w:r>
      <w:r>
        <w:rPr>
          <w:rFonts w:ascii="Times New Roman" w:cs="Times New Roman" w:eastAsia="Times New Roman" w:hAnsi="Times New Roman"/>
          <w:sz w:val="21"/>
          <w:szCs w:val="21"/>
          <w:color w:val="auto"/>
        </w:rPr>
        <w:t xml:space="preserve">. Borrower may withdraw from the Equity Contribution Account amounts in its discretion from time to time to transfer to the account of any other Person to be applied in any way not prohibited by the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amounts remaining on deposit in the Equity Contribution Account for more than ninety (90) days after initial receipt by Borrower shall be transferred from the Equity Contribution Account, at the Borrower’s discretion, to the Revenue Account, to be invested in the Double E Joint Venture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120"/>
          </w:cols>
          <w:pgMar w:left="1440" w:top="1335" w:right="339" w:bottom="1440" w:gutter="0" w:footer="0" w:header="0"/>
        </w:sectPr>
      </w:pPr>
    </w:p>
    <w:bookmarkStart w:id="169" w:name="page170"/>
    <w:bookmarkEnd w:id="169"/>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compliance with the terms of this Agreement in connection therewith, or to the account of any other Person to be applied in any way not prohibited by the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proceeds of a Capital Contribution made under (and as defined in) Section 4.1(b) of the JV LLC Agreement shall be applied first for purposes of making any Required Contributions and then for any other use permitted hereunder.</w:t>
      </w:r>
    </w:p>
    <w:p>
      <w:pPr>
        <w:spacing w:after="0" w:line="146" w:lineRule="exact"/>
        <w:rPr>
          <w:sz w:val="20"/>
          <w:szCs w:val="20"/>
          <w:color w:val="auto"/>
        </w:rPr>
      </w:pPr>
    </w:p>
    <w:p>
      <w:pPr>
        <w:jc w:val="both"/>
        <w:ind w:firstLine="621"/>
        <w:spacing w:after="0" w:line="225" w:lineRule="auto"/>
        <w:tabs>
          <w:tab w:leader="none" w:pos="122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Withdrawals from the Distribution Account</w:t>
      </w:r>
      <w:r>
        <w:rPr>
          <w:rFonts w:ascii="Times New Roman" w:cs="Times New Roman" w:eastAsia="Times New Roman" w:hAnsi="Times New Roman"/>
          <w:sz w:val="21"/>
          <w:szCs w:val="21"/>
          <w:color w:val="auto"/>
        </w:rPr>
        <w:t xml:space="preserve">. Borrower may withdraw from the Distribution Account amounts in its discretion from time to time to transfer to the account of any other Person to be applied in any way not prohibited by the Loan Documents, including any Restricted Payment pursuant to </w:t>
      </w:r>
      <w:r>
        <w:rPr>
          <w:rFonts w:ascii="Times New Roman" w:cs="Times New Roman" w:eastAsia="Times New Roman" w:hAnsi="Times New Roman"/>
          <w:sz w:val="21"/>
          <w:szCs w:val="21"/>
          <w:u w:val="single" w:color="auto"/>
          <w:color w:val="auto"/>
        </w:rPr>
        <w:t>Section 7.07(g)</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621"/>
        <w:spacing w:after="0" w:line="220" w:lineRule="auto"/>
        <w:tabs>
          <w:tab w:leader="none" w:pos="122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Withdrawal Procedure</w:t>
      </w:r>
      <w:r>
        <w:rPr>
          <w:rFonts w:ascii="Times New Roman" w:cs="Times New Roman" w:eastAsia="Times New Roman" w:hAnsi="Times New Roman"/>
          <w:sz w:val="21"/>
          <w:szCs w:val="21"/>
          <w:color w:val="auto"/>
        </w:rPr>
        <w:t>. Borrower shall deliver to Administrative Agent and Collateral Agent for purposes of any withdrawal or transfer from any Collateral Account no later than one (1) Business Day prior to any date pursuant to which funds are expressly required or permitted to be withdrawn from a Collateral Account an Officers’ Certificate of the Borrower (such certificate, a “</w:t>
      </w:r>
      <w:r>
        <w:rPr>
          <w:rFonts w:ascii="Times New Roman" w:cs="Times New Roman" w:eastAsia="Times New Roman" w:hAnsi="Times New Roman"/>
          <w:sz w:val="21"/>
          <w:szCs w:val="21"/>
          <w:b w:val="1"/>
          <w:bCs w:val="1"/>
          <w:color w:val="auto"/>
        </w:rPr>
        <w:t>Withdrawal/Transfer Certificate</w:t>
      </w:r>
      <w:r>
        <w:rPr>
          <w:rFonts w:ascii="Times New Roman" w:cs="Times New Roman" w:eastAsia="Times New Roman" w:hAnsi="Times New Roman"/>
          <w:sz w:val="21"/>
          <w:szCs w:val="21"/>
          <w:color w:val="auto"/>
        </w:rPr>
        <w:t>”) specifying in reasonable detail:</w:t>
      </w:r>
    </w:p>
    <w:p>
      <w:pPr>
        <w:spacing w:after="0" w:line="145" w:lineRule="exact"/>
        <w:rPr>
          <w:rFonts w:ascii="Times New Roman" w:cs="Times New Roman" w:eastAsia="Times New Roman" w:hAnsi="Times New Roman"/>
          <w:sz w:val="21"/>
          <w:szCs w:val="21"/>
          <w:color w:val="auto"/>
        </w:rPr>
      </w:pPr>
    </w:p>
    <w:p>
      <w:pPr>
        <w:ind w:left="620" w:firstLine="620"/>
        <w:spacing w:after="0" w:line="254" w:lineRule="auto"/>
        <w:tabs>
          <w:tab w:leader="none" w:pos="1846"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Collateral Account from which a withdrawal or transfer is requested and, in the case of any transfer, the relevant Collateral Account(s) to which, and/or other Person(s) or accounts to whom, such transfer is to be made;</w:t>
      </w:r>
    </w:p>
    <w:p>
      <w:pPr>
        <w:spacing w:after="0" w:line="132" w:lineRule="exact"/>
        <w:rPr>
          <w:rFonts w:ascii="Times New Roman" w:cs="Times New Roman" w:eastAsia="Times New Roman" w:hAnsi="Times New Roman"/>
          <w:sz w:val="20"/>
          <w:szCs w:val="20"/>
          <w:color w:val="auto"/>
        </w:rPr>
      </w:pPr>
    </w:p>
    <w:p>
      <w:pPr>
        <w:ind w:left="1860" w:hanging="620"/>
        <w:spacing w:after="0"/>
        <w:tabs>
          <w:tab w:leader="none" w:pos="186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be withdrawn or transferred from each such Collateral Account;</w:t>
      </w:r>
    </w:p>
    <w:p>
      <w:pPr>
        <w:spacing w:after="0" w:line="171" w:lineRule="exact"/>
        <w:rPr>
          <w:rFonts w:ascii="Times New Roman" w:cs="Times New Roman" w:eastAsia="Times New Roman" w:hAnsi="Times New Roman"/>
          <w:sz w:val="21"/>
          <w:szCs w:val="21"/>
          <w:color w:val="auto"/>
        </w:rPr>
      </w:pPr>
    </w:p>
    <w:p>
      <w:pPr>
        <w:ind w:left="1860" w:hanging="620"/>
        <w:spacing w:after="0"/>
        <w:tabs>
          <w:tab w:leader="none" w:pos="186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relevant Business Day on which such withdrawal or transfer is to be made; and</w:t>
      </w:r>
    </w:p>
    <w:p>
      <w:pPr>
        <w:spacing w:after="0" w:line="171" w:lineRule="exact"/>
        <w:rPr>
          <w:rFonts w:ascii="Times New Roman" w:cs="Times New Roman" w:eastAsia="Times New Roman" w:hAnsi="Times New Roman"/>
          <w:sz w:val="21"/>
          <w:szCs w:val="21"/>
          <w:color w:val="auto"/>
        </w:rPr>
      </w:pPr>
    </w:p>
    <w:p>
      <w:pPr>
        <w:ind w:left="620" w:firstLine="620"/>
        <w:spacing w:after="0" w:line="235" w:lineRule="auto"/>
        <w:tabs>
          <w:tab w:leader="none" w:pos="1846"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purpose for which the amount so withdrawn or transferred is to be applied (if not evident from the nature of the payment or identity of the intended payee).</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Administrative Agent may, in consultation with Borrower, make such corrections to such Withdrawal/Transfer Certificate as Administrative Agent reasonably deems necessary to satisfy the requirements of this Agreement. Notwithstanding any other provision of this Agreement to the contrary, if at any time Borrower fails to timely submit or cause to be timely submitted such a Withdrawal/Transfer Certificate for the withdrawal, transfer or payment of amounts to any Collateral Account or Person, Administrative Agent or Collateral Agent may (but shall not be obligated to), after notice in writing to the Borrower of, and a reasonable opportunity to cure, such failure, or may direct Depositary Bank in writing to, effect any withdrawal, transfer or payment, as the case may be, of any amounts then due and payable or required to be transferred pursuant to the terms of this Agreement or any other Loan Document.</w:t>
      </w:r>
    </w:p>
    <w:p>
      <w:pPr>
        <w:spacing w:after="0" w:line="162" w:lineRule="exact"/>
        <w:rPr>
          <w:sz w:val="20"/>
          <w:szCs w:val="20"/>
          <w:color w:val="auto"/>
        </w:rPr>
      </w:pPr>
    </w:p>
    <w:p>
      <w:pPr>
        <w:jc w:val="both"/>
        <w:ind w:firstLine="621"/>
        <w:spacing w:after="0" w:line="220" w:lineRule="auto"/>
        <w:tabs>
          <w:tab w:leader="none" w:pos="1233"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Remedies</w:t>
      </w:r>
      <w:r>
        <w:rPr>
          <w:rFonts w:ascii="Times New Roman" w:cs="Times New Roman" w:eastAsia="Times New Roman" w:hAnsi="Times New Roman"/>
          <w:sz w:val="21"/>
          <w:szCs w:val="21"/>
          <w:color w:val="auto"/>
        </w:rPr>
        <w:t xml:space="preserve">. Notwithstanding any provision to the contrary contained in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during the continuance of an Event of Default and the exercise of control over the Collateral Accounts by the Collateral Agent, the Collateral Agent shall (and shall direct the Depositary Bank, on behalf of the Secured Parties, to) apply amounts on deposit in the Collateral Accounts as provided in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0620"/>
          </w:cols>
          <w:pgMar w:left="940" w:top="1339" w:right="339" w:bottom="1440" w:gutter="0" w:footer="0" w:header="0"/>
        </w:sectPr>
      </w:pPr>
    </w:p>
    <w:bookmarkStart w:id="170" w:name="page171"/>
    <w:bookmarkEnd w:id="170"/>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2.16 Defaulting Lenders</w:t>
      </w:r>
      <w:r>
        <w:rPr>
          <w:rFonts w:ascii="Times New Roman" w:cs="Times New Roman" w:eastAsia="Times New Roman" w:hAnsi="Times New Roman"/>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42" w:lineRule="exact"/>
        <w:rPr>
          <w:sz w:val="20"/>
          <w:szCs w:val="20"/>
          <w:color w:val="auto"/>
        </w:rPr>
      </w:pPr>
    </w:p>
    <w:p>
      <w:pPr>
        <w:ind w:left="620" w:firstLine="621"/>
        <w:spacing w:after="0" w:line="237" w:lineRule="auto"/>
        <w:tabs>
          <w:tab w:leader="none" w:pos="1854"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Waivers and Amendments</w:t>
      </w:r>
      <w:r>
        <w:rPr>
          <w:rFonts w:ascii="Times New Roman" w:cs="Times New Roman" w:eastAsia="Times New Roman" w:hAnsi="Times New Roman"/>
          <w:sz w:val="21"/>
          <w:szCs w:val="21"/>
          <w:color w:val="auto"/>
        </w:rPr>
        <w:t>. Such Defaulting Lender’s right to approve or disapprove any amendment, waiver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consent with respect to this Agreement shall be restricted as set forth in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left="620" w:firstLine="621"/>
        <w:spacing w:after="0" w:line="218" w:lineRule="auto"/>
        <w:tabs>
          <w:tab w:leader="none" w:pos="185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Reallocation of Payments</w:t>
      </w:r>
      <w:r>
        <w:rPr>
          <w:rFonts w:ascii="Times New Roman" w:cs="Times New Roman" w:eastAsia="Times New Roman" w:hAnsi="Times New Roman"/>
          <w:sz w:val="20"/>
          <w:szCs w:val="20"/>
          <w:color w:val="auto"/>
        </w:rPr>
        <w:t>. Any payment of principal, interest, fees or other amounts received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for the account of such Defaulting Lender (whether optional or mandatory, at maturity,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or otherwise),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as the Borrower may request (so long as no Default or Event of Default has occurred and is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if so determined by the Administrative Agent and the Borrower, to be held in a non-interest bearing deposit account and released pro rata in order to satisfy obligations of such Defaulting Lender to fund Loans under this Agreement;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the payment of any amounts owing to the Lenders as a result of any judgment of a court of competent jurisdiction obtained by any Lender or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were satisfied or waived, such payment shall be applied solely to pay the Loans of all Non-Defaulting Lenders on a pro rata basis prior to being applied to the payment of any Loans of such Defaulting Lender.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53" w:lineRule="exact"/>
        <w:rPr>
          <w:rFonts w:ascii="Times New Roman" w:cs="Times New Roman" w:eastAsia="Times New Roman" w:hAnsi="Times New Roman"/>
          <w:sz w:val="20"/>
          <w:szCs w:val="20"/>
          <w:color w:val="auto"/>
        </w:rPr>
      </w:pPr>
    </w:p>
    <w:p>
      <w:pPr>
        <w:jc w:val="both"/>
        <w:ind w:left="620" w:firstLine="621"/>
        <w:spacing w:after="0" w:line="226" w:lineRule="auto"/>
        <w:tabs>
          <w:tab w:leader="none" w:pos="1854"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Fees</w:t>
      </w:r>
      <w:r>
        <w:rPr>
          <w:rFonts w:ascii="Times New Roman" w:cs="Times New Roman" w:eastAsia="Times New Roman" w:hAnsi="Times New Roman"/>
          <w:sz w:val="21"/>
          <w:szCs w:val="21"/>
          <w:color w:val="auto"/>
        </w:rPr>
        <w:t>. Such Defaulting Lender shall not be entitled to receive any commitment fee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2.08</w:t>
      </w:r>
      <w:r>
        <w:rPr>
          <w:rFonts w:ascii="Times New Roman" w:cs="Times New Roman" w:eastAsia="Times New Roman" w:hAnsi="Times New Roman"/>
          <w:sz w:val="21"/>
          <w:szCs w:val="21"/>
          <w:color w:val="auto"/>
        </w:rPr>
        <w:t xml:space="preserve"> for any period during which that Lender is a Defaulting Lender (and the Borrower shall not be required to pay any such fee that otherwise would have been required to have been paid to such Defaulting Lender).</w:t>
      </w:r>
    </w:p>
    <w:p>
      <w:pPr>
        <w:spacing w:after="0" w:line="1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III</w:t>
      </w:r>
    </w:p>
    <w:p>
      <w:pPr>
        <w:ind w:left="2780"/>
        <w:spacing w:after="0"/>
        <w:rPr>
          <w:sz w:val="20"/>
          <w:szCs w:val="20"/>
          <w:color w:val="auto"/>
        </w:rPr>
      </w:pPr>
      <w:r>
        <w:rPr>
          <w:rFonts w:ascii="Times New Roman" w:cs="Times New Roman" w:eastAsia="Times New Roman" w:hAnsi="Times New Roman"/>
          <w:sz w:val="21"/>
          <w:szCs w:val="21"/>
          <w:color w:val="auto"/>
        </w:rPr>
        <w:t>TAXES, INCREASED COSTS PROTECTION AND ILLEGALITY</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3.01</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left="620" w:firstLine="621"/>
        <w:spacing w:after="0" w:line="217" w:lineRule="auto"/>
        <w:tabs>
          <w:tab w:leader="none" w:pos="185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payments made by or on account of the Borrower under any Loan Document shall be made free and clear of and without deduction or withholding for any and all present or future taxes, duties, deductions, levies, imposts, fees, assessments or withholdings (including backup withholding) or similar charges imposed by any Governmental Authority including any interest, penalties and additions to tax thereto (collectively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except as required by applicable Law. If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39" w:right="339" w:bottom="1440" w:gutter="0" w:footer="0" w:header="0"/>
        </w:sectPr>
      </w:pPr>
    </w:p>
    <w:bookmarkStart w:id="171" w:name="page172"/>
    <w:bookmarkEnd w:id="171"/>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Withholding Agent shall be required by any Law (as determined in the good faith discretion of the applicable Withholding Agent) to deduct or withhold any Taxes from or in respect of any sum payable under any Loan Document to any Agent or any Lender, (i) to the extent the Tax in question is an Indemnified Tax, the sum payable by the Borrower shall be increased as necessary so that after making all required deductions or withholdings (including deductions or withholding of an Indemnified Tax applicable to additional sums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each of such Agent and such Lender receives an amount equal to the sum it would have received had no such deductions or withholding been made, (ii) the applicable Withholding Agent shall make such deductions or withholding, and (iii) the applicable Withholding Agent shall pay the full amount deducted or withheld to the relevant Governmental Authority in accordance with applicable Laws.</w:t>
      </w:r>
    </w:p>
    <w:p>
      <w:pPr>
        <w:spacing w:after="0" w:line="150" w:lineRule="exact"/>
        <w:rPr>
          <w:sz w:val="20"/>
          <w:szCs w:val="20"/>
          <w:color w:val="auto"/>
        </w:rPr>
      </w:pPr>
    </w:p>
    <w:p>
      <w:pPr>
        <w:ind w:firstLine="621"/>
        <w:spacing w:after="0" w:line="235" w:lineRule="auto"/>
        <w:tabs>
          <w:tab w:leader="none" w:pos="123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timely pay to the relevant Governmental Authority in accordance with applicable law, or at the option of the Administrative Agent timely reimburse it for the payment of, any Other Taxes.</w:t>
      </w:r>
    </w:p>
    <w:p>
      <w:pPr>
        <w:spacing w:after="0" w:line="145" w:lineRule="exact"/>
        <w:rPr>
          <w:rFonts w:ascii="Times New Roman" w:cs="Times New Roman" w:eastAsia="Times New Roman" w:hAnsi="Times New Roman"/>
          <w:sz w:val="21"/>
          <w:szCs w:val="21"/>
          <w:color w:val="auto"/>
        </w:rPr>
      </w:pPr>
    </w:p>
    <w:p>
      <w:pPr>
        <w:jc w:val="both"/>
        <w:ind w:firstLine="621"/>
        <w:spacing w:after="0" w:line="215" w:lineRule="auto"/>
        <w:tabs>
          <w:tab w:leader="none" w:pos="1234"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agrees to indemnify each Agent and each Lender for (i) the full amount of any Indemnified Taxes payable by such Agent or such Lender (including Indemnified Taxes imposed on or attributable to amounts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and (ii) any reasonable expenses arising therefrom or with respect thereto, in each case whether or not such Taxes were correctly or legally imposed or asserted by the relevant Governmental Authority. A certificate as to the amount of such payment or liability prepared in good faith by such Agent or Lender (or by the Administrative Agent on behalf of such Lender) shall be conclusive absent manifest error.</w:t>
      </w:r>
    </w:p>
    <w:p>
      <w:pPr>
        <w:spacing w:after="0" w:line="145" w:lineRule="exact"/>
        <w:rPr>
          <w:rFonts w:ascii="Times New Roman" w:cs="Times New Roman" w:eastAsia="Times New Roman" w:hAnsi="Times New Roman"/>
          <w:sz w:val="21"/>
          <w:szCs w:val="21"/>
          <w:color w:val="auto"/>
        </w:rPr>
      </w:pPr>
    </w:p>
    <w:p>
      <w:pPr>
        <w:jc w:val="both"/>
        <w:ind w:firstLine="621"/>
        <w:spacing w:after="0" w:line="221" w:lineRule="auto"/>
        <w:tabs>
          <w:tab w:leader="none" w:pos="123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at such times as are reasonably requested by the Borrower or the Administrative Agent, provide the Borrower and the Administrative Agent with any documentation prescribed by Law certifying as to any entitlement of such Lender to an exemption from, or reduction in, withholding Tax with respect to any payments to be made to such Lender under the Loan Documents.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 other provision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 Lender shall not be required to deliver any form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that such Lender is not legally eligible to deliver or any form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(other than any such documentation set forth in any of </w:t>
      </w:r>
      <w:r>
        <w:rPr>
          <w:rFonts w:ascii="Times New Roman" w:cs="Times New Roman" w:eastAsia="Times New Roman" w:hAnsi="Times New Roman"/>
          <w:sz w:val="20"/>
          <w:szCs w:val="20"/>
          <w:u w:val="single" w:color="auto"/>
          <w:color w:val="auto"/>
        </w:rPr>
        <w:t>Section 3.01(d)(i)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3.01(d)(ii)</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3.01(d)(ii)(E)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3.01(d)(iii)</w:t>
      </w:r>
      <w:r>
        <w:rPr>
          <w:rFonts w:ascii="Times New Roman" w:cs="Times New Roman" w:eastAsia="Times New Roman" w:hAnsi="Times New Roman"/>
          <w:sz w:val="20"/>
          <w:szCs w:val="20"/>
          <w:color w:val="auto"/>
        </w:rPr>
        <w:t xml:space="preserve"> below) that may subject such Lender to any material unreimbursed cost or expense or would materially prejudice the legal or commercial position of such Lender. Without limiting the foregoing:</w:t>
      </w:r>
    </w:p>
    <w:p>
      <w:pPr>
        <w:spacing w:after="0" w:line="145" w:lineRule="exact"/>
        <w:rPr>
          <w:rFonts w:ascii="Times New Roman" w:cs="Times New Roman" w:eastAsia="Times New Roman" w:hAnsi="Times New Roman"/>
          <w:sz w:val="20"/>
          <w:szCs w:val="20"/>
          <w:color w:val="auto"/>
        </w:rPr>
      </w:pPr>
    </w:p>
    <w:p>
      <w:pPr>
        <w:jc w:val="both"/>
        <w:ind w:left="620" w:firstLine="620"/>
        <w:spacing w:after="0" w:line="231" w:lineRule="auto"/>
        <w:tabs>
          <w:tab w:leader="none" w:pos="1846"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U.S. Person shall deliver to the Borrower and the Administrative Agent on or about the date on which it becomes a party to this Agreement (and from time to time thereafter upon the reasonable request of the Borrower or the Administrative Agent) two properly completed and duly signed copies of Internal Revenue Service Form W-9 (or any successor form) certifying that such Lender is exempt from U.S. federal backup withholding.</w:t>
      </w:r>
    </w:p>
    <w:p>
      <w:pPr>
        <w:spacing w:after="0" w:line="145" w:lineRule="exact"/>
        <w:rPr>
          <w:rFonts w:ascii="Times New Roman" w:cs="Times New Roman" w:eastAsia="Times New Roman" w:hAnsi="Times New Roman"/>
          <w:sz w:val="20"/>
          <w:szCs w:val="20"/>
          <w:color w:val="auto"/>
        </w:rPr>
      </w:pPr>
    </w:p>
    <w:p>
      <w:pPr>
        <w:jc w:val="both"/>
        <w:ind w:left="620" w:firstLine="620"/>
        <w:spacing w:after="0" w:line="225" w:lineRule="auto"/>
        <w:tabs>
          <w:tab w:leader="none" w:pos="1852"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that is not a U.S. Person shall, to the extent it is legally entitled to do so, deliver to the Borrower and the Administrative Agent on or about the date on which it becomes a party to this Agreement (and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0620"/>
          </w:cols>
          <w:pgMar w:left="940" w:top="1339" w:right="339" w:bottom="1440" w:gutter="0" w:footer="0" w:header="0"/>
        </w:sectPr>
      </w:pPr>
    </w:p>
    <w:bookmarkStart w:id="172" w:name="page173"/>
    <w:bookmarkEnd w:id="172"/>
    <w:p>
      <w:pPr>
        <w:ind w:left="120"/>
        <w:spacing w:after="0" w:line="235" w:lineRule="auto"/>
        <w:rPr>
          <w:sz w:val="20"/>
          <w:szCs w:val="20"/>
          <w:color w:val="auto"/>
        </w:rPr>
      </w:pPr>
      <w:r>
        <w:rPr>
          <w:rFonts w:ascii="Times New Roman" w:cs="Times New Roman" w:eastAsia="Times New Roman" w:hAnsi="Times New Roman"/>
          <w:sz w:val="21"/>
          <w:szCs w:val="21"/>
          <w:color w:val="auto"/>
        </w:rPr>
        <w:t>time thereafter upon the reasonable request of the Borrower or the Administrative Agent) whichever of the following is applicable:</w:t>
      </w:r>
    </w:p>
    <w:p>
      <w:pPr>
        <w:spacing w:after="0" w:line="146" w:lineRule="exact"/>
        <w:rPr>
          <w:sz w:val="20"/>
          <w:szCs w:val="20"/>
          <w:color w:val="auto"/>
        </w:rPr>
      </w:pPr>
    </w:p>
    <w:p>
      <w:pPr>
        <w:jc w:val="both"/>
        <w:ind w:left="740" w:firstLine="618"/>
        <w:spacing w:after="0" w:line="225" w:lineRule="auto"/>
        <w:tabs>
          <w:tab w:leader="none" w:pos="196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two properly completed and duly signed copies of Internal Revenue Service Form W-8BEN or Form W-8BEN-E (or any successor forms), claiming eligibility for the benefits of an income tax treaty to which the United States is a party,</w:t>
      </w:r>
    </w:p>
    <w:p>
      <w:pPr>
        <w:spacing w:after="0" w:line="145" w:lineRule="exact"/>
        <w:rPr>
          <w:rFonts w:ascii="Times New Roman" w:cs="Times New Roman" w:eastAsia="Times New Roman" w:hAnsi="Times New Roman"/>
          <w:sz w:val="21"/>
          <w:szCs w:val="21"/>
          <w:color w:val="auto"/>
        </w:rPr>
      </w:pPr>
    </w:p>
    <w:p>
      <w:pPr>
        <w:ind w:left="740" w:firstLine="618"/>
        <w:spacing w:after="0" w:line="235" w:lineRule="auto"/>
        <w:tabs>
          <w:tab w:leader="none" w:pos="1969"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two properly completed and duly signed copies of Internal Revenue Service Form W-8ECI (or any successor forms),</w:t>
      </w:r>
    </w:p>
    <w:p>
      <w:pPr>
        <w:spacing w:after="0" w:line="145" w:lineRule="exact"/>
        <w:rPr>
          <w:rFonts w:ascii="Times New Roman" w:cs="Times New Roman" w:eastAsia="Times New Roman" w:hAnsi="Times New Roman"/>
          <w:sz w:val="21"/>
          <w:szCs w:val="21"/>
          <w:color w:val="auto"/>
        </w:rPr>
      </w:pPr>
    </w:p>
    <w:p>
      <w:pPr>
        <w:jc w:val="both"/>
        <w:ind w:left="740" w:firstLine="618"/>
        <w:spacing w:after="0" w:line="225" w:lineRule="auto"/>
        <w:tabs>
          <w:tab w:leader="none" w:pos="1969"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Lender claiming the benefits of the exemption for portfolio interest under Section 881(c) of the Code, (a) a United States Tax Compliance Certificate and (b) two properly completed and duly signed copies of Internal Revenue Service Form W-8BEN or Form W-8BEN-E (or any successor form),</w:t>
      </w:r>
    </w:p>
    <w:p>
      <w:pPr>
        <w:spacing w:after="0" w:line="145" w:lineRule="exact"/>
        <w:rPr>
          <w:rFonts w:ascii="Times New Roman" w:cs="Times New Roman" w:eastAsia="Times New Roman" w:hAnsi="Times New Roman"/>
          <w:sz w:val="21"/>
          <w:szCs w:val="21"/>
          <w:color w:val="auto"/>
        </w:rPr>
      </w:pPr>
    </w:p>
    <w:p>
      <w:pPr>
        <w:jc w:val="both"/>
        <w:ind w:left="740" w:firstLine="618"/>
        <w:spacing w:after="0" w:line="225" w:lineRule="auto"/>
        <w:tabs>
          <w:tab w:leader="none" w:pos="1967"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Lender is not the beneficial owner (for example, where the Lender is a partnership), Internal Revenue Service Form W-8IMY (or any successor forms) of the Lender, accompanied by a Form W-8ECI, W-8BEN, W-8BEN-E, W-8IMY, United States Tax Compliance Certificate, Form W-9 and/or any other required information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Lender is a partnership, and one or more direct or indirect beneficial partners of such Lender are claiming the portfolio interest exemption, the United States Tax Compliance Certificate may be provided by such Lender on behalf of each such partner), or</w:t>
      </w:r>
    </w:p>
    <w:p>
      <w:pPr>
        <w:spacing w:after="0" w:line="150" w:lineRule="exact"/>
        <w:rPr>
          <w:rFonts w:ascii="Times New Roman" w:cs="Times New Roman" w:eastAsia="Times New Roman" w:hAnsi="Times New Roman"/>
          <w:sz w:val="20"/>
          <w:szCs w:val="20"/>
          <w:color w:val="auto"/>
        </w:rPr>
      </w:pPr>
    </w:p>
    <w:p>
      <w:pPr>
        <w:jc w:val="both"/>
        <w:ind w:left="740" w:firstLine="618"/>
        <w:spacing w:after="0" w:line="217" w:lineRule="auto"/>
        <w:tabs>
          <w:tab w:leader="none" w:pos="197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two properly completed and duly signed copies of any other form prescribed by applicable U.S. federal income tax laws (including the Treasury Regulations)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spacing w:after="0" w:line="145" w:lineRule="exact"/>
        <w:rPr>
          <w:rFonts w:ascii="Times New Roman" w:cs="Times New Roman" w:eastAsia="Times New Roman" w:hAnsi="Times New Roman"/>
          <w:sz w:val="21"/>
          <w:szCs w:val="21"/>
          <w:color w:val="auto"/>
        </w:rPr>
      </w:pPr>
    </w:p>
    <w:p>
      <w:pPr>
        <w:jc w:val="both"/>
        <w:ind w:left="120" w:firstLine="620"/>
        <w:spacing w:after="0" w:line="210" w:lineRule="auto"/>
        <w:tabs>
          <w:tab w:leader="none" w:pos="135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and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as necessary, to determine the amount to deduct and withhold from such payment. Solely for purposes of this </w:t>
      </w:r>
      <w:r>
        <w:rPr>
          <w:rFonts w:ascii="Times New Roman" w:cs="Times New Roman" w:eastAsia="Times New Roman" w:hAnsi="Times New Roman"/>
          <w:sz w:val="21"/>
          <w:szCs w:val="21"/>
          <w:u w:val="single" w:color="auto"/>
          <w:color w:val="auto"/>
        </w:rPr>
        <w:t>Section 3.01(d)(iii)</w:t>
      </w:r>
      <w:r>
        <w:rPr>
          <w:rFonts w:ascii="Times New Roman" w:cs="Times New Roman" w:eastAsia="Times New Roman" w:hAnsi="Times New Roman"/>
          <w:sz w:val="21"/>
          <w:szCs w:val="21"/>
          <w:color w:val="auto"/>
        </w:rPr>
        <w:t>, “FATCA” shall include any amendments made to FATCA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0120"/>
          </w:cols>
          <w:pgMar w:left="1440" w:top="1339" w:right="339" w:bottom="1440" w:gutter="0" w:footer="0" w:header="0"/>
        </w:sectPr>
      </w:pPr>
    </w:p>
    <w:bookmarkStart w:id="173" w:name="page174"/>
    <w:bookmarkEnd w:id="173"/>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Each such Lender shall, whenever a lapse in time or change in circumstances renders any such documentation described in this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 xml:space="preserve"> obsolete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inability to do so.</w:t>
      </w:r>
    </w:p>
    <w:p>
      <w:pPr>
        <w:spacing w:after="0" w:line="143" w:lineRule="exact"/>
        <w:rPr>
          <w:sz w:val="20"/>
          <w:szCs w:val="20"/>
          <w:color w:val="auto"/>
        </w:rPr>
      </w:pPr>
    </w:p>
    <w:p>
      <w:pPr>
        <w:jc w:val="both"/>
        <w:ind w:left="620" w:firstLine="621"/>
        <w:spacing w:after="0" w:line="215" w:lineRule="auto"/>
        <w:tabs>
          <w:tab w:leader="none" w:pos="185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is required to pay any Indemnified Taxes or additional amounts payable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to any Lender, or to any Governmental Authority for the account of any Lender, any such Lender shall, if requested by the Borrower, use its reasonable efforts to change the jurisdiction of its Lending Office (or take any other measures reasonably requested by the Borrower) if such a change or other measures would reduce any such additional amounts (including any such additional amounts that may thereafter accrue) and would not, in the sole determination of such Lender, result in any unreimbursed cost or expense or be otherwise materially disadvantageous to such Lender.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08" w:lineRule="auto"/>
        <w:tabs>
          <w:tab w:leader="none" w:pos="185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(or any sub-agent thereof, if applicable) is not a U.S. Person, the Administrative Agent (and any sub-agent thereof, if applicable) shall deliver to the Borrower on or about the date on which it becomes the Administrative Agent (or sub-agent) under this Agreement (and from time to time thereafter upon the reasonable request of the Borrower) (i) an accurate and complete signed copy of Internal Revenue Service Form W-8ECI, or other applicable form, with respect to any amounts payable to the Administrative Agent (or sub-agent) for its own account and (ii) an accurate and complete signed copy of Internal Revenue Service Form W-8IMY with respect to any amounts payable to the Administrative Agent (or sub-agent) for the account of others, certifying that it is a “U.S. branch,” and that it is using such form as evidence of its agreement with the Borrower to be treated as a U.S. Person with respect to such payments (and the Borrower and the Administrative Agent (and any sub-agent) agree to so treat the Administrative Agent (and any sub-agent thereof, if applicable) as a U.S. Person with respect to such payments as contemplated by, and in accordance with, Sections 1.1441-1(b)(2)(iv) of the United States Treasury Regulations). If the Administrative Agent (and any sub-agent thereof, if applicable) is a U.S. Person, it shall deliver to the Borrower on or about the date on which it becomes the Administrative Agent (or sub-agent) under this Agreement (and from time to time thereafter upon the reasonable request of the Borrower) an accurate and complete Form W-9 setting forth an exemption from backup withholding. The Administrative Agent shall, whenever a lapse in time or change in circumstances renders any such documentation described in this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 xml:space="preserve"> obsolete or inaccurate in any material respect, deliver promptly to the Borrower updated or other appropriate documentation (including any new documentation reasonably requested by the Borrower) or promptly notify the Borrower in writing of its inability to do so.</w:t>
      </w:r>
    </w:p>
    <w:p>
      <w:pPr>
        <w:spacing w:after="0" w:line="155" w:lineRule="exact"/>
        <w:rPr>
          <w:rFonts w:ascii="Times New Roman" w:cs="Times New Roman" w:eastAsia="Times New Roman" w:hAnsi="Times New Roman"/>
          <w:sz w:val="21"/>
          <w:szCs w:val="21"/>
          <w:color w:val="auto"/>
        </w:rPr>
      </w:pPr>
    </w:p>
    <w:p>
      <w:pPr>
        <w:jc w:val="both"/>
        <w:ind w:left="620" w:firstLine="621"/>
        <w:spacing w:after="0" w:line="213" w:lineRule="auto"/>
        <w:tabs>
          <w:tab w:leader="none" w:pos="185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Agent determines, in its reasonable discretion, that it has received a refund in respect of any Indemnified Taxes as to which indemnification or additional amounts have been paid to it by the Borrower pursuant to this Section 3.01, it shall promptly remit such refund to the Borrower (but only to the extent of indemnification or additional amounts paid by the Borrower under this Section 3.01 with respect to Indemnified Taxes giving rise to such refund), net of all out-of-pocket expenses (including any Taxes) of the Lender or Agent, as the case may be, and without interest (other than any interest paid by the relevant taxing authority with respect to such refund, net of any Taxes payable by any Agent or Lender on such interest);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5" w:right="339" w:bottom="1440" w:gutter="0" w:footer="0" w:header="0"/>
        </w:sectPr>
      </w:pPr>
    </w:p>
    <w:bookmarkStart w:id="174" w:name="page175"/>
    <w:bookmarkEnd w:id="174"/>
    <w:p>
      <w:pPr>
        <w:jc w:val="both"/>
        <w:ind w:left="620"/>
        <w:spacing w:after="0" w:line="211" w:lineRule="auto"/>
        <w:rPr>
          <w:sz w:val="20"/>
          <w:szCs w:val="20"/>
          <w:color w:val="auto"/>
        </w:rPr>
      </w:pPr>
      <w:r>
        <w:rPr>
          <w:rFonts w:ascii="Times New Roman" w:cs="Times New Roman" w:eastAsia="Times New Roman" w:hAnsi="Times New Roman"/>
          <w:sz w:val="21"/>
          <w:szCs w:val="21"/>
          <w:color w:val="auto"/>
        </w:rPr>
        <w:t>the Borrower, upon the request of the Lender or Agent, as the case may be, agrees promptly to return such refund (plus any penalties, interest or other charges imposed by the relevant taxing authority) to such party in the event such party is required to repay such refund to the relevant taxing authority. Notwithstanding anything to the contrary in this paragraph (g), in no event will the Lender or Agent be required to pay any amount to the Borrower pursuant to this paragraph (g) the payment of which would place the Lender or Agent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Administrative Agent or any Lender to make available its Tax returns (or any other information relating to Taxes that it deems confidential) to the Borrower or any other person.</w:t>
      </w:r>
    </w:p>
    <w:p>
      <w:pPr>
        <w:spacing w:after="0" w:line="148" w:lineRule="exact"/>
        <w:rPr>
          <w:sz w:val="20"/>
          <w:szCs w:val="20"/>
          <w:color w:val="auto"/>
        </w:rPr>
      </w:pPr>
    </w:p>
    <w:p>
      <w:pPr>
        <w:ind w:left="1860" w:hanging="619"/>
        <w:spacing w:after="0"/>
        <w:tabs>
          <w:tab w:leader="none" w:pos="186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term “</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includes FATCA.</w:t>
      </w:r>
    </w:p>
    <w:p>
      <w:pPr>
        <w:spacing w:after="0" w:line="17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46"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shall survive the resignation or replacement of the Administrative Agent and the Collateral Agent or any assignment of rights by, or the replacement of, a Lender, the termination of the Commitments and the repayment, satisfaction or discharge of all obligations under any Loan Document.</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0"/>
          <w:szCs w:val="20"/>
          <w:u w:val="single" w:color="auto"/>
          <w:color w:val="auto"/>
        </w:rPr>
        <w:t>Section 3.02 Illegality</w:t>
      </w:r>
      <w:r>
        <w:rPr>
          <w:rFonts w:ascii="Times New Roman" w:cs="Times New Roman" w:eastAsia="Times New Roman" w:hAnsi="Times New Roman"/>
          <w:sz w:val="20"/>
          <w:szCs w:val="20"/>
          <w:color w:val="auto"/>
        </w:rPr>
        <w:t>. If any Lender reasonably determines that any Law has made it unlawful, or that any Governmental Authority has asserted that it is unlawful, for any Lender or its applicable Lending Office to make, maintain or fund SOFR Loans, or to determine or charge interest rates based upon Term SOFR, then, on notice thereof by such Lender to the Borrower through the Administrative Agent, (a) any obligation of such Lender to make or continue SOFR Loans or to convert Base Rate Loans to SOFR Loans shall be suspended and (b) if such notice asserts the illegality of such Lender making or maintaining Base Rate Loans the interest rate on which is determined by reference to the Term SOFR component of Base Rate, the interest rate on which Base Rate Loans of such Lender shall, if necessary to avoid such illegality, to be determined by the Administrative Agent without reference to the Term SOFR component of Base Rate, in each case, until such Lender notifies the Administrative Agent and the Borrower that the circumstances giving rise to such determination no longer exist (it being understood that such Lender agrees to so advise the Administrative Agent once the relevant circumstances giving rise to such determination no longer exists). Upon receipt of such notice,</w:t>
      </w:r>
    </w:p>
    <w:p>
      <w:pPr>
        <w:spacing w:after="0" w:line="5" w:lineRule="exact"/>
        <w:rPr>
          <w:sz w:val="20"/>
          <w:szCs w:val="20"/>
          <w:color w:val="auto"/>
        </w:rPr>
      </w:pPr>
    </w:p>
    <w:p>
      <w:pPr>
        <w:jc w:val="both"/>
        <w:ind w:firstLine="3"/>
        <w:spacing w:after="0" w:line="208" w:lineRule="auto"/>
        <w:tabs>
          <w:tab w:leader="none" w:pos="25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upon demand from such Lender (with a copy to the Administrative Agent), prepay or, if applicable, convert all applicable SOFR Loans of such Lender to Base Rate Loans (the interest rate on which Base Rate Loans of such Lender shall, if necessary to avoid such illegality, be determined by the Administrative Agent without reference to the Term SOFR component of Base Rate), either on the Interest Payment Date therefor, if such Lender may lawfully continue to maintain such SOFR Loans to such day, or promptly, if such Lender may not lawfully continue to maintain such SOFR Loans and (ii) if such notice asserts the illegality of such Lender determining or charging interest rates based upon the Term SOFR, the Administrative Agent shall during the period of such suspension compute Base Rate applicable to such Lender without reference to the Term SOFR component thereof until the Administrative Agent is advised in writing by such Lender that it is no longer illegal for such Lender to determine or charge interest rates based upon Term SOFR (it being understood that such Lender agrees to so advise the Administrative Agent once such illegality no longer exists). Upon any such prepayment or conversion, the Borrower shall also pay accrued and unpaid interest on the amount so prepaid or converted and all amounts due, if any, in connection with such prepayment or conversion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Each Lender agrees to designate a different Lending Office if such designation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39" w:right="339" w:bottom="1440" w:gutter="0" w:footer="0" w:header="0"/>
        </w:sectPr>
      </w:pPr>
    </w:p>
    <w:bookmarkStart w:id="175" w:name="page176"/>
    <w:bookmarkEnd w:id="175"/>
    <w:p>
      <w:pPr>
        <w:spacing w:after="0" w:line="235" w:lineRule="auto"/>
        <w:rPr>
          <w:sz w:val="20"/>
          <w:szCs w:val="20"/>
          <w:color w:val="auto"/>
        </w:rPr>
      </w:pPr>
      <w:r>
        <w:rPr>
          <w:rFonts w:ascii="Times New Roman" w:cs="Times New Roman" w:eastAsia="Times New Roman" w:hAnsi="Times New Roman"/>
          <w:sz w:val="21"/>
          <w:szCs w:val="21"/>
          <w:color w:val="auto"/>
        </w:rPr>
        <w:t>avoid the need for such notice and will not, in the good faith judgment of such Lender, otherwise be materially disadvantageous to such Lender.</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3.03</w:t>
      </w:r>
      <w:r>
        <w:rPr>
          <w:sz w:val="20"/>
          <w:szCs w:val="20"/>
          <w:color w:val="auto"/>
        </w:rPr>
        <w:tab/>
      </w: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26" w:lineRule="auto"/>
        <w:tabs>
          <w:tab w:leader="none" w:pos="185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if, as of any date: (i) the Administrative Agent determines (which determination shall be conclusive and binding absent manifest error) that “Term SOFR” cannot be determined pursuant to the definition thereof or</w:t>
      </w:r>
    </w:p>
    <w:p>
      <w:pPr>
        <w:spacing w:after="0" w:line="1" w:lineRule="exact"/>
        <w:rPr>
          <w:rFonts w:ascii="Times New Roman" w:cs="Times New Roman" w:eastAsia="Times New Roman" w:hAnsi="Times New Roman"/>
          <w:sz w:val="20"/>
          <w:szCs w:val="20"/>
          <w:color w:val="auto"/>
        </w:rPr>
      </w:pPr>
    </w:p>
    <w:p>
      <w:pPr>
        <w:jc w:val="both"/>
        <w:ind w:left="620" w:firstLine="2"/>
        <w:spacing w:after="0" w:line="209" w:lineRule="auto"/>
        <w:tabs>
          <w:tab w:leader="none" w:pos="92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Required Lenders determine that for any reason in connection with any SOFR Loan, any request therefor or a conversion thereto or a continuation thereof that Term SOFR does not adequately and fairly reflect the cost to such Lenders of making and maintaining such Loan, and the Required Lenders have provided notice of such determination to the Administrative Agent, then in each case, the Administrative Agent will promptly so notify the Borrower and each Lender. Thereafter, the obligation of the Lenders to make or maintain SOFR Loans shall be suspended until the Administrative Agent (upon the instruction of the Required Lenders) revokes such notice. Upon receipt of such notice, the Borrower may revoke any pending request for a Borrowing of, conversion to or continuation of such SOFR Loans or, failing that, will be deemed to have converted such request, if applicable, into a request for a Borrowing of Base Rate Loans in the amount specified therein.</w:t>
      </w:r>
    </w:p>
    <w:p>
      <w:pPr>
        <w:spacing w:after="0" w:line="15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left="1240" w:firstLine="620"/>
        <w:spacing w:after="0" w:line="206" w:lineRule="auto"/>
        <w:tabs>
          <w:tab w:leader="none" w:pos="2466"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Notwithstanding anything to the contrary herein or in any other Loan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1"/>
          <w:szCs w:val="21"/>
          <w:u w:val="single" w:color="auto"/>
          <w:color w:val="auto"/>
        </w:rPr>
        <w:t>Section 3.03(b)(i)</w:t>
      </w:r>
      <w:r>
        <w:rPr>
          <w:rFonts w:ascii="Times New Roman" w:cs="Times New Roman" w:eastAsia="Times New Roman" w:hAnsi="Times New Roman"/>
          <w:sz w:val="21"/>
          <w:szCs w:val="21"/>
          <w:color w:val="auto"/>
        </w:rPr>
        <w:t xml:space="preserve"> will occur prior to the applicable Benchmark Transition Start Date.</w:t>
      </w:r>
    </w:p>
    <w:p>
      <w:pPr>
        <w:spacing w:after="0" w:line="148" w:lineRule="exact"/>
        <w:rPr>
          <w:rFonts w:ascii="Times New Roman" w:cs="Times New Roman" w:eastAsia="Times New Roman" w:hAnsi="Times New Roman"/>
          <w:sz w:val="21"/>
          <w:szCs w:val="21"/>
          <w:color w:val="auto"/>
        </w:rPr>
      </w:pPr>
    </w:p>
    <w:p>
      <w:pPr>
        <w:jc w:val="both"/>
        <w:ind w:left="1240" w:firstLine="620"/>
        <w:spacing w:after="0" w:line="218" w:lineRule="auto"/>
        <w:tabs>
          <w:tab w:leader="none" w:pos="2472"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Benchmark Replacement Conforming Changes</w:t>
      </w:r>
      <w:r>
        <w:rPr>
          <w:rFonts w:ascii="Times New Roman" w:cs="Times New Roman" w:eastAsia="Times New Roman" w:hAnsi="Times New Roman"/>
          <w:sz w:val="21"/>
          <w:szCs w:val="21"/>
          <w:color w:val="auto"/>
        </w:rPr>
        <w:t>. In connection with the use, administration, adoption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40" w:lineRule="exact"/>
        <w:rPr>
          <w:rFonts w:ascii="Times New Roman" w:cs="Times New Roman" w:eastAsia="Times New Roman" w:hAnsi="Times New Roman"/>
          <w:sz w:val="21"/>
          <w:szCs w:val="21"/>
          <w:color w:val="auto"/>
        </w:rPr>
      </w:pPr>
    </w:p>
    <w:p>
      <w:pPr>
        <w:jc w:val="both"/>
        <w:ind w:left="1240" w:firstLine="620"/>
        <w:spacing w:after="0" w:line="215" w:lineRule="auto"/>
        <w:tabs>
          <w:tab w:leader="none" w:pos="2477"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Notices: Standards for Decisions and Determinations</w:t>
      </w:r>
      <w:r>
        <w:rPr>
          <w:rFonts w:ascii="Times New Roman" w:cs="Times New Roman" w:eastAsia="Times New Roman" w:hAnsi="Times New Roman"/>
          <w:sz w:val="21"/>
          <w:szCs w:val="21"/>
          <w:color w:val="auto"/>
        </w:rPr>
        <w:t>. The Administrative Agent will promptly notify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21"/>
          <w:szCs w:val="21"/>
          <w:u w:val="single" w:color="auto"/>
          <w:color w:val="auto"/>
        </w:rPr>
        <w:t>Section 3.03(b)(iv)</w:t>
      </w:r>
      <w:r>
        <w:rPr>
          <w:rFonts w:ascii="Times New Roman" w:cs="Times New Roman" w:eastAsia="Times New Roman" w:hAnsi="Times New Roman"/>
          <w:sz w:val="21"/>
          <w:szCs w:val="21"/>
          <w:color w:val="auto"/>
        </w:rPr>
        <w:t xml:space="preserve"> and (y) the commencement of any Benchmark Unavailability Period. Any determination, decision or election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39" w:right="339" w:bottom="1440" w:gutter="0" w:footer="0" w:header="0"/>
        </w:sectPr>
      </w:pPr>
    </w:p>
    <w:bookmarkStart w:id="176" w:name="page177"/>
    <w:bookmarkEnd w:id="176"/>
    <w:p>
      <w:pPr>
        <w:jc w:val="both"/>
        <w:ind w:left="620"/>
        <w:spacing w:after="0" w:line="215" w:lineRule="auto"/>
        <w:rPr>
          <w:sz w:val="20"/>
          <w:szCs w:val="20"/>
          <w:color w:val="auto"/>
        </w:rPr>
      </w:pPr>
      <w:r>
        <w:rPr>
          <w:rFonts w:ascii="Times New Roman" w:cs="Times New Roman" w:eastAsia="Times New Roman" w:hAnsi="Times New Roman"/>
          <w:sz w:val="21"/>
          <w:szCs w:val="21"/>
          <w:color w:val="auto"/>
        </w:rPr>
        <w:t xml:space="preserve">may be made by the Administrative Agent or, if applicable, any Lender (or group of Lenders)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3.03(b)</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left="620" w:firstLine="620"/>
        <w:spacing w:after="0" w:line="220" w:lineRule="auto"/>
        <w:tabs>
          <w:tab w:leader="none" w:pos="184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Unavailability of Tenor of Benchmark. </w:t>
      </w:r>
      <w:r>
        <w:rPr>
          <w:rFonts w:ascii="Times New Roman" w:cs="Times New Roman" w:eastAsia="Times New Roman" w:hAnsi="Times New Roman"/>
          <w:sz w:val="20"/>
          <w:szCs w:val="20"/>
          <w:color w:val="auto"/>
        </w:rPr>
        <w:t>Notwithstanding anything to the contrary herein or in any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 longer or will no longer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 subject to an announcement that it is no longer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7" w:lineRule="exact"/>
        <w:rPr>
          <w:rFonts w:ascii="Times New Roman" w:cs="Times New Roman" w:eastAsia="Times New Roman" w:hAnsi="Times New Roman"/>
          <w:sz w:val="20"/>
          <w:szCs w:val="20"/>
          <w:color w:val="auto"/>
        </w:rPr>
      </w:pPr>
    </w:p>
    <w:p>
      <w:pPr>
        <w:jc w:val="both"/>
        <w:ind w:left="620" w:firstLine="620"/>
        <w:spacing w:after="0" w:line="213" w:lineRule="auto"/>
        <w:tabs>
          <w:tab w:leader="none" w:pos="185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Benchmark Unavailability Period</w:t>
      </w:r>
      <w:r>
        <w:rPr>
          <w:rFonts w:ascii="Times New Roman" w:cs="Times New Roman" w:eastAsia="Times New Roman" w:hAnsi="Times New Roman"/>
          <w:sz w:val="21"/>
          <w:szCs w:val="21"/>
          <w:color w:val="auto"/>
        </w:rPr>
        <w:t>. Upon the Borrower’s receipt of notice of the commencement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(ii) any outstanding affected SOFR Loans will be deemed to have been converted into Base Rate Loans immediately.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4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3.04</w:t>
      </w:r>
      <w:r>
        <w:rPr>
          <w:sz w:val="20"/>
          <w:szCs w:val="20"/>
          <w:color w:val="auto"/>
        </w:rPr>
        <w:tab/>
      </w:r>
      <w:r>
        <w:rPr>
          <w:rFonts w:ascii="Times New Roman" w:cs="Times New Roman" w:eastAsia="Times New Roman" w:hAnsi="Times New Roman"/>
          <w:sz w:val="20"/>
          <w:szCs w:val="20"/>
          <w:u w:val="single" w:color="auto"/>
          <w:color w:val="auto"/>
        </w:rPr>
        <w:t>Increased Cost and Reduced Return; Capital Adequacy; Reserves on SOFR Loans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240" w:hanging="619"/>
        <w:spacing w:after="0"/>
        <w:tabs>
          <w:tab w:leader="none" w:pos="124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Change in Law shall:</w:t>
      </w:r>
    </w:p>
    <w:p>
      <w:pPr>
        <w:spacing w:after="0" w:line="171" w:lineRule="exact"/>
        <w:rPr>
          <w:rFonts w:ascii="Times New Roman" w:cs="Times New Roman" w:eastAsia="Times New Roman" w:hAnsi="Times New Roman"/>
          <w:sz w:val="21"/>
          <w:szCs w:val="21"/>
          <w:color w:val="auto"/>
        </w:rPr>
      </w:pPr>
    </w:p>
    <w:p>
      <w:pPr>
        <w:jc w:val="both"/>
        <w:ind w:left="620" w:firstLine="620"/>
        <w:spacing w:after="0" w:line="225" w:lineRule="auto"/>
        <w:tabs>
          <w:tab w:leader="none" w:pos="1846"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0620"/>
          </w:cols>
          <w:pgMar w:left="940" w:top="1339" w:right="339" w:bottom="1440" w:gutter="0" w:footer="0" w:header="0"/>
        </w:sectPr>
      </w:pPr>
    </w:p>
    <w:bookmarkStart w:id="177" w:name="page178"/>
    <w:bookmarkEnd w:id="177"/>
    <w:p>
      <w:pPr>
        <w:ind w:left="620" w:firstLine="620"/>
        <w:spacing w:after="0" w:line="235" w:lineRule="auto"/>
        <w:tabs>
          <w:tab w:leader="none" w:pos="185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the applicable offshore interbank market any other condition, cost or expense (other than Taxes) affecting this Agreement or Loans made by such Lender or any participation therein; or</w:t>
      </w:r>
    </w:p>
    <w:p>
      <w:pPr>
        <w:spacing w:after="0" w:line="145" w:lineRule="exact"/>
        <w:rPr>
          <w:rFonts w:ascii="Times New Roman" w:cs="Times New Roman" w:eastAsia="Times New Roman" w:hAnsi="Times New Roman"/>
          <w:sz w:val="21"/>
          <w:szCs w:val="21"/>
          <w:color w:val="auto"/>
        </w:rPr>
      </w:pPr>
    </w:p>
    <w:p>
      <w:pPr>
        <w:jc w:val="both"/>
        <w:ind w:left="620" w:firstLine="620"/>
        <w:spacing w:after="0" w:line="220" w:lineRule="auto"/>
        <w:tabs>
          <w:tab w:leader="none" w:pos="185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(B) any Taxes excluded from the definition of Indemnified Taxes under exceptions (ii) through (iv) thereof, and (C) Connection Income Taxes) on its loans, loan principal, letters of credit, commitments, or other obligations, or its deposits, reserves, other liabilities or capital attributable thereto;</w:t>
      </w:r>
    </w:p>
    <w:p>
      <w:pPr>
        <w:spacing w:after="0" w:line="17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96" w:lineRule="exact"/>
        <w:rPr>
          <w:sz w:val="20"/>
          <w:szCs w:val="20"/>
          <w:color w:val="auto"/>
        </w:rPr>
      </w:pPr>
    </w:p>
    <w:p>
      <w:pPr>
        <w:jc w:val="both"/>
        <w:ind w:firstLine="621"/>
        <w:spacing w:after="0" w:line="213" w:lineRule="auto"/>
        <w:tabs>
          <w:tab w:leader="none" w:pos="123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reasonably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149"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Lender setting forth in reasonable detail (which shall not include any confidential or price sensitive information) the basis for the claim and the computation of the amount or amounts necessary to compensate such Lender or its holding company, as the case may be, as specified in clauses (a) or (b) of this Section shall be delivered to the Borrower and shall be conclusive absent manifest error. The Borrower shall pay such Lender the amount shown as due on any such certificate within fifteen (15) days after receipt thereof.</w:t>
      </w:r>
    </w:p>
    <w:p>
      <w:pPr>
        <w:spacing w:after="0" w:line="145" w:lineRule="exact"/>
        <w:rPr>
          <w:rFonts w:ascii="Times New Roman" w:cs="Times New Roman" w:eastAsia="Times New Roman" w:hAnsi="Times New Roman"/>
          <w:sz w:val="21"/>
          <w:szCs w:val="21"/>
          <w:color w:val="auto"/>
        </w:rPr>
      </w:pPr>
    </w:p>
    <w:p>
      <w:pPr>
        <w:ind w:firstLine="621"/>
        <w:spacing w:after="0" w:line="235" w:lineRule="auto"/>
        <w:tabs>
          <w:tab w:leader="none" w:pos="123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to demand compensation pursuant to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shall not constitute a waiver of such Lender’s right to demand such compensation.</w:t>
      </w:r>
    </w:p>
    <w:p>
      <w:pPr>
        <w:spacing w:after="0" w:line="145" w:lineRule="exact"/>
        <w:rPr>
          <w:rFonts w:ascii="Times New Roman" w:cs="Times New Roman" w:eastAsia="Times New Roman" w:hAnsi="Times New Roman"/>
          <w:sz w:val="21"/>
          <w:szCs w:val="21"/>
          <w:color w:val="auto"/>
        </w:rPr>
      </w:pPr>
    </w:p>
    <w:p>
      <w:pPr>
        <w:jc w:val="both"/>
        <w:ind w:firstLine="621"/>
        <w:spacing w:after="0" w:line="213" w:lineRule="auto"/>
        <w:tabs>
          <w:tab w:leader="none" w:pos="123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requests compensation under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then such Lender will, if requested by the Borrower, use commercially reasonable efforts to designate another Lending Office for any Loan affected by such event if, in the reasonable judgment of such Lender, such designation (i) would eliminate or reduce amounts payable pursuant to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in the future, and (ii) would not subject such Lender to any unreimbursed cost or expense and would not otherwise be disadvantageous to such Lender,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3.04(e)</w:t>
      </w:r>
      <w:r>
        <w:rPr>
          <w:rFonts w:ascii="Times New Roman" w:cs="Times New Roman" w:eastAsia="Times New Roman" w:hAnsi="Times New Roman"/>
          <w:sz w:val="21"/>
          <w:szCs w:val="21"/>
          <w:color w:val="auto"/>
        </w:rPr>
        <w:t xml:space="preserve"> shall affect or postpone any of the Obligations of the Borrower or the rights of such Lender pursuant to </w:t>
      </w:r>
      <w:r>
        <w:rPr>
          <w:rFonts w:ascii="Times New Roman" w:cs="Times New Roman" w:eastAsia="Times New Roman" w:hAnsi="Times New Roman"/>
          <w:sz w:val="21"/>
          <w:szCs w:val="21"/>
          <w:u w:val="single" w:color="auto"/>
          <w:color w:val="auto"/>
        </w:rPr>
        <w:t>Section 3.04(a)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The Borrower hereby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0620"/>
          </w:cols>
          <w:pgMar w:left="940" w:top="1339" w:right="339" w:bottom="1440" w:gutter="0" w:footer="0" w:header="0"/>
        </w:sectPr>
      </w:pPr>
    </w:p>
    <w:bookmarkStart w:id="178" w:name="page179"/>
    <w:bookmarkEnd w:id="178"/>
    <w:p>
      <w:pPr>
        <w:ind w:left="620"/>
        <w:spacing w:after="0"/>
        <w:rPr>
          <w:sz w:val="20"/>
          <w:szCs w:val="20"/>
          <w:color w:val="auto"/>
        </w:rPr>
      </w:pPr>
      <w:r>
        <w:rPr>
          <w:rFonts w:ascii="Times New Roman" w:cs="Times New Roman" w:eastAsia="Times New Roman" w:hAnsi="Times New Roman"/>
          <w:sz w:val="21"/>
          <w:szCs w:val="21"/>
          <w:color w:val="auto"/>
        </w:rPr>
        <w:t>pay all reasonable costs and expenses incurred by any Lender in connection with any such designation.</w:t>
      </w:r>
    </w:p>
    <w:p>
      <w:pPr>
        <w:spacing w:after="0" w:line="171"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u w:val="single" w:color="auto"/>
          <w:color w:val="auto"/>
        </w:rPr>
        <w:t>Section 3.05 Funding Losses</w:t>
      </w:r>
      <w:r>
        <w:rPr>
          <w:rFonts w:ascii="Times New Roman" w:cs="Times New Roman" w:eastAsia="Times New Roman" w:hAnsi="Times New Roman"/>
          <w:sz w:val="21"/>
          <w:szCs w:val="21"/>
          <w:color w:val="auto"/>
        </w:rPr>
        <w:t xml:space="preserve">. Upon written demand of any Lender (with a copy to the Administrative Agent) from time to time, the Borrower shall promptly compensate such Lender for and hold such Lender harmless from any loss, cost or expense actually incurred by it, including any loss, cost or expense arising from the liquidation or redeployment of funds or from any fees payable, as a result of (a) the payment of any principal of any SOFR Loan other than on the Interest Payment Date therefor (including as a result of an Event of Default); the conversion of any SOFR Loan other than on the Interest Payment Date therefor (including as a result of an Event of Default); (c) the failure to borrow, convert, continue or prepay any SOFR Loan on the date specified in any notice delivered pursuant hereto; or (d) the assignment of any SOFR Loan other than on the Interest Payment Date therefor as a result of a request by the Borrower pursuant to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3.06</w:t>
      </w:r>
      <w:r>
        <w:rPr>
          <w:sz w:val="20"/>
          <w:szCs w:val="20"/>
          <w:color w:val="auto"/>
        </w:rPr>
        <w:tab/>
      </w:r>
      <w:r>
        <w:rPr>
          <w:rFonts w:ascii="Times New Roman" w:cs="Times New Roman" w:eastAsia="Times New Roman" w:hAnsi="Times New Roman"/>
          <w:sz w:val="20"/>
          <w:szCs w:val="20"/>
          <w:u w:val="single" w:color="auto"/>
          <w:color w:val="auto"/>
        </w:rPr>
        <w:t>Matters Applicable to All Requests for Compensation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36" w:lineRule="auto"/>
        <w:tabs>
          <w:tab w:leader="none" w:pos="185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Agent or any Lender claiming compensation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146" w:lineRule="exact"/>
        <w:rPr>
          <w:rFonts w:ascii="Times New Roman" w:cs="Times New Roman" w:eastAsia="Times New Roman" w:hAnsi="Times New Roman"/>
          <w:sz w:val="20"/>
          <w:szCs w:val="20"/>
          <w:color w:val="auto"/>
        </w:rPr>
      </w:pPr>
    </w:p>
    <w:p>
      <w:pPr>
        <w:jc w:val="both"/>
        <w:ind w:left="620" w:firstLine="621"/>
        <w:spacing w:after="0" w:line="211" w:lineRule="auto"/>
        <w:tabs>
          <w:tab w:leader="none" w:pos="185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Lender’s claim for compensation under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the Borrower shall not be required to compensate such Lender for any amount incurred more than ninety (90) days prior to the date that such Lender notifies the Borrower of the event that gives rise to such claim;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circumstance giving rise to such claim is retroactive, then such ninety (90) day period referred to above shall be extended to include the period of retroactive effect thereof. If any Lender requests compensation by the Borrower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the Borrower may, by notice to such Lender (with a copy to the Administrative Agent), suspend the obligation of such Lender to make or continue SOFR Loans, or, if applicable, to convert Base Rate Loans into SOFR Loans, until the event or condition giving rise to such request ceases to be in effect (in which case the provisions of </w:t>
      </w:r>
      <w:r>
        <w:rPr>
          <w:rFonts w:ascii="Times New Roman" w:cs="Times New Roman" w:eastAsia="Times New Roman" w:hAnsi="Times New Roman"/>
          <w:sz w:val="21"/>
          <w:szCs w:val="21"/>
          <w:u w:val="single" w:color="auto"/>
          <w:color w:val="auto"/>
        </w:rPr>
        <w:t>Section 3.06(c)</w:t>
      </w:r>
      <w:r>
        <w:rPr>
          <w:rFonts w:ascii="Times New Roman" w:cs="Times New Roman" w:eastAsia="Times New Roman" w:hAnsi="Times New Roman"/>
          <w:sz w:val="21"/>
          <w:szCs w:val="21"/>
          <w:color w:val="auto"/>
        </w:rPr>
        <w:t xml:space="preserve"> shall be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suspension shall not affect the right of such Lender to receive the compensation so requested.</w:t>
      </w:r>
    </w:p>
    <w:p>
      <w:pPr>
        <w:spacing w:after="0" w:line="151" w:lineRule="exact"/>
        <w:rPr>
          <w:rFonts w:ascii="Times New Roman" w:cs="Times New Roman" w:eastAsia="Times New Roman" w:hAnsi="Times New Roman"/>
          <w:sz w:val="21"/>
          <w:szCs w:val="21"/>
          <w:color w:val="auto"/>
        </w:rPr>
      </w:pPr>
    </w:p>
    <w:p>
      <w:pPr>
        <w:jc w:val="both"/>
        <w:ind w:left="620" w:firstLine="621"/>
        <w:spacing w:after="0" w:line="219" w:lineRule="auto"/>
        <w:tabs>
          <w:tab w:leader="none" w:pos="185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obligation of any Lender to make or continue any SOFR Loan, or to convert Base Rate Loans into SOFR Loans shall be suspended pursuant to </w:t>
      </w:r>
      <w:r>
        <w:rPr>
          <w:rFonts w:ascii="Times New Roman" w:cs="Times New Roman" w:eastAsia="Times New Roman" w:hAnsi="Times New Roman"/>
          <w:sz w:val="20"/>
          <w:szCs w:val="20"/>
          <w:u w:val="single" w:color="auto"/>
          <w:color w:val="auto"/>
        </w:rPr>
        <w:t>Section 3.06(b)</w:t>
      </w:r>
      <w:r>
        <w:rPr>
          <w:rFonts w:ascii="Times New Roman" w:cs="Times New Roman" w:eastAsia="Times New Roman" w:hAnsi="Times New Roman"/>
          <w:sz w:val="20"/>
          <w:szCs w:val="20"/>
          <w:color w:val="auto"/>
        </w:rPr>
        <w:t xml:space="preserve"> hereof, such Lender’s applicable SOFR Loans shall be automatically converted into Base Rate Loans (or, if such conversion is not possible, repaid) on the Interest Payment Date for such SOFR Loans (or, in the case of an immediate conversion required by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on such earlier date as required by Law) and, unless and until such Lender gives notice as provided below that the circumstances specified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p>
    <w:p>
      <w:pPr>
        <w:spacing w:after="0" w:line="4"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hereof that gave rise to such conversion no longer exist:</w:t>
      </w:r>
    </w:p>
    <w:p>
      <w:pPr>
        <w:spacing w:after="0" w:line="149" w:lineRule="exact"/>
        <w:rPr>
          <w:rFonts w:ascii="Times New Roman" w:cs="Times New Roman" w:eastAsia="Times New Roman" w:hAnsi="Times New Roman"/>
          <w:sz w:val="20"/>
          <w:szCs w:val="20"/>
          <w:color w:val="auto"/>
        </w:rPr>
      </w:pPr>
    </w:p>
    <w:p>
      <w:pPr>
        <w:jc w:val="both"/>
        <w:ind w:left="1240" w:firstLine="620"/>
        <w:spacing w:after="0" w:line="225" w:lineRule="auto"/>
        <w:tabs>
          <w:tab w:leader="none" w:pos="2466"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such Lender’s SOFR Loans have been so converted, all payments and prepayments of principal that would otherwise be applied to such Lender’s applicable SOFR Loans shall be applied instead to its Base Rate Loans; and</w:t>
      </w:r>
    </w:p>
    <w:p>
      <w:pPr>
        <w:spacing w:after="0" w:line="145" w:lineRule="exact"/>
        <w:rPr>
          <w:rFonts w:ascii="Times New Roman" w:cs="Times New Roman" w:eastAsia="Times New Roman" w:hAnsi="Times New Roman"/>
          <w:sz w:val="21"/>
          <w:szCs w:val="21"/>
          <w:color w:val="auto"/>
        </w:rPr>
      </w:pPr>
    </w:p>
    <w:p>
      <w:pPr>
        <w:ind w:left="1240" w:firstLine="620"/>
        <w:spacing w:after="0" w:line="235" w:lineRule="auto"/>
        <w:tabs>
          <w:tab w:leader="none" w:pos="2472"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Loans that would otherwise be made or continued by such Lender as SOFR Loans shall be made or continued instead as Base Rate Loans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39" w:right="339" w:bottom="1440" w:gutter="0" w:footer="0" w:header="0"/>
        </w:sectPr>
      </w:pPr>
    </w:p>
    <w:bookmarkStart w:id="179" w:name="page180"/>
    <w:bookmarkEnd w:id="179"/>
    <w:p>
      <w:pPr>
        <w:ind w:left="620"/>
        <w:spacing w:after="0" w:line="235" w:lineRule="auto"/>
        <w:rPr>
          <w:sz w:val="20"/>
          <w:szCs w:val="20"/>
          <w:color w:val="auto"/>
        </w:rPr>
      </w:pPr>
      <w:r>
        <w:rPr>
          <w:rFonts w:ascii="Times New Roman" w:cs="Times New Roman" w:eastAsia="Times New Roman" w:hAnsi="Times New Roman"/>
          <w:sz w:val="21"/>
          <w:szCs w:val="21"/>
          <w:color w:val="auto"/>
        </w:rPr>
        <w:t>possible), and all Base Rate Loans of such Lender that would otherwise be converted into SOFR Loans shall remain as Base Rate Loans.</w:t>
      </w:r>
    </w:p>
    <w:p>
      <w:pPr>
        <w:spacing w:after="0" w:line="146" w:lineRule="exact"/>
        <w:rPr>
          <w:sz w:val="20"/>
          <w:szCs w:val="20"/>
          <w:color w:val="auto"/>
        </w:rPr>
      </w:pPr>
    </w:p>
    <w:p>
      <w:pPr>
        <w:jc w:val="both"/>
        <w:ind w:firstLine="621"/>
        <w:spacing w:after="0" w:line="212" w:lineRule="auto"/>
        <w:tabs>
          <w:tab w:leader="none" w:pos="123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gives notice to the Borrower (with a copy to the Administrative Agent) that the circumstances specified in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hereof that gave rise to the conversion of any of such Lender’s SOFR Loans pursuant to this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no longer exist (which such Lender agrees to do promptly upon such circumstances ceasing to exist) at a time when SOFR Loans made by other Lenders under the applicable Facility are outstanding, if applicable, such Lender’s Base Rate Loans shall be automatically converted on the Interest Payment Date for such outstanding SOFR Loans, to the extent necessary so that, after giving effect thereto, all Loans held by the Lenders holding SOFR Loans under such Facility and by such Lender are held pro rata (as to principal amounts and interest rate basis) in accordance with their respective Commitments for the applicable Facility.</w:t>
      </w:r>
    </w:p>
    <w:p>
      <w:pPr>
        <w:spacing w:after="0" w:line="13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3.07</w:t>
      </w:r>
      <w:r>
        <w:rPr>
          <w:sz w:val="20"/>
          <w:szCs w:val="20"/>
          <w:color w:val="auto"/>
        </w:rPr>
        <w:tab/>
      </w:r>
      <w:r>
        <w:rPr>
          <w:rFonts w:ascii="Times New Roman" w:cs="Times New Roman" w:eastAsia="Times New Roman" w:hAnsi="Times New Roman"/>
          <w:sz w:val="20"/>
          <w:szCs w:val="20"/>
          <w:u w:val="single" w:color="auto"/>
          <w:color w:val="auto"/>
        </w:rPr>
        <w:t>Replacement of Lenders under Certain Circumstances</w:t>
      </w:r>
      <w:r>
        <w:rPr>
          <w:rFonts w:ascii="Times New Roman" w:cs="Times New Roman" w:eastAsia="Times New Roman" w:hAnsi="Times New Roman"/>
          <w:sz w:val="20"/>
          <w:szCs w:val="20"/>
          <w:color w:val="auto"/>
        </w:rPr>
        <w:t>.</w:t>
      </w:r>
    </w:p>
    <w:p>
      <w:pPr>
        <w:jc w:val="both"/>
        <w:ind w:firstLine="621"/>
        <w:spacing w:after="0" w:line="215" w:lineRule="auto"/>
        <w:tabs>
          <w:tab w:leader="none" w:pos="1234"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 the Borrower becomes obligated to pay additional amounts or indemnity payments described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as a result of any condition described in such Sections or any Lender ceases to make any SOFR Loans as a result of any condition described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(ii) any Lender becomes a Defaulting Lender or</w:t>
      </w:r>
    </w:p>
    <w:p>
      <w:pPr>
        <w:jc w:val="both"/>
        <w:ind w:firstLine="2"/>
        <w:spacing w:after="0" w:line="206" w:lineRule="auto"/>
        <w:tabs>
          <w:tab w:leader="none" w:pos="36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(other than a Lender that is an Affiliate of the Sole Lead Arranger) becomes a Non-Consenting Lender, then the Borrower may so long as no Event of Default has occurred and is continuing, at its sole cost and expense, upon written notice to the Administrative Agent and such Lender, (x) replace such Lender by causing such Lender to (and such Lender shall be obligated to) assign pursuant to </w:t>
      </w:r>
      <w:r>
        <w:rPr>
          <w:rFonts w:ascii="Times New Roman" w:cs="Times New Roman" w:eastAsia="Times New Roman" w:hAnsi="Times New Roman"/>
          <w:sz w:val="21"/>
          <w:szCs w:val="21"/>
          <w:u w:val="single" w:color="auto"/>
          <w:color w:val="auto"/>
        </w:rPr>
        <w:t>Section 10.07(b)</w:t>
      </w:r>
      <w:r>
        <w:rPr>
          <w:rFonts w:ascii="Times New Roman" w:cs="Times New Roman" w:eastAsia="Times New Roman" w:hAnsi="Times New Roman"/>
          <w:sz w:val="21"/>
          <w:szCs w:val="21"/>
          <w:color w:val="auto"/>
        </w:rPr>
        <w:t xml:space="preserve"> (at the Borrower’s sole expense, including in respect of the assignment fee, which shall be paid by the Borrower in such instance, and provided, it being understood, that under no circumstance shall any Lender be required to identify its own replacement) all of its rights and obligations under this Agreement (in respect of any applicable Facility only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with respect to a Class vote,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to one or more Eligible Assignees;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for ten (10) days immediately following the Borrower’s delivery of such written notice, each of the Sole Lead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Arranger and its Affiliates (in each case to the extent it is an Eligible Assignee) shall have the sole and exclusive right to deliver to the Borrower a binding notice of intent to purchase the Loans held by such Lender, and such purchase shall be consummated within ten (10) days following the delivery of such notice of intent;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neither the Administrative Agent nor any Lender shall have any obligation to the Borrower to find a replacement Lender or other such Person;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(A) such Lender shall have received payment of an amount equal to the outstanding principal of its Loans, accrued and unpaid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from the assignee (to the extent of such outstanding principal and accrued interest and fees) or the Borrower (in the case of all other amounts), (B) 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such assignment will result in a reduction in such compensation or payments and (C)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(in respect of any applicable Facility only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as the case may be, and in the case of a Lender repay all Obligations of the Borrower owing to such Lender relating to the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0620"/>
          </w:cols>
          <w:pgMar w:left="940" w:top="1339" w:right="339" w:bottom="1440" w:gutter="0" w:footer="0" w:header="0"/>
        </w:sectPr>
      </w:pPr>
    </w:p>
    <w:bookmarkStart w:id="180" w:name="page181"/>
    <w:bookmarkEnd w:id="180"/>
    <w:p>
      <w:pPr>
        <w:jc w:val="both"/>
        <w:ind w:left="620"/>
        <w:spacing w:after="0" w:line="221" w:lineRule="auto"/>
        <w:rPr>
          <w:sz w:val="20"/>
          <w:szCs w:val="20"/>
          <w:color w:val="auto"/>
        </w:rPr>
      </w:pPr>
      <w:r>
        <w:rPr>
          <w:rFonts w:ascii="Times New Roman" w:cs="Times New Roman" w:eastAsia="Times New Roman" w:hAnsi="Times New Roman"/>
          <w:sz w:val="21"/>
          <w:szCs w:val="21"/>
          <w:color w:val="auto"/>
        </w:rPr>
        <w:t xml:space="preserve">participations held by such Lender as of such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with respect to a Class vote,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left="620" w:firstLine="621"/>
        <w:spacing w:after="0" w:line="219" w:lineRule="auto"/>
        <w:tabs>
          <w:tab w:leader="none" w:pos="185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being replaced pursuant to </w:t>
      </w:r>
      <w:r>
        <w:rPr>
          <w:rFonts w:ascii="Times New Roman" w:cs="Times New Roman" w:eastAsia="Times New Roman" w:hAnsi="Times New Roman"/>
          <w:sz w:val="20"/>
          <w:szCs w:val="20"/>
          <w:u w:val="single" w:color="auto"/>
          <w:color w:val="auto"/>
        </w:rPr>
        <w:t>Section 3.07(a)(x)</w:t>
      </w:r>
      <w:r>
        <w:rPr>
          <w:rFonts w:ascii="Times New Roman" w:cs="Times New Roman" w:eastAsia="Times New Roman" w:hAnsi="Times New Roman"/>
          <w:sz w:val="20"/>
          <w:szCs w:val="20"/>
          <w:color w:val="auto"/>
        </w:rPr>
        <w:t xml:space="preserve"> above shall (i) execute and deliver an Assignment and Assumption with respect to such Lender’s applicable Commitment and outstanding Loans and (ii) deliver any Notes evidencing such Loans to the Borrower or Administrative Agent. Pursuant to such Assignment and Assumption, (A) the assignee Lender shall acquire all or a portion, as the case may be, of the assigning Lender’s Commitment and outstanding Loans, (B) all obligations of the Borrower owing to the assigning Lender relating to the Loans, Commitments and participations so assigned shall be paid in full by the assignee Lender to such assigning Lender concurrently with such Assignment and Assumption and</w:t>
      </w:r>
    </w:p>
    <w:p>
      <w:pPr>
        <w:jc w:val="both"/>
        <w:ind w:left="620" w:firstLine="2"/>
        <w:spacing w:after="0" w:line="219" w:lineRule="auto"/>
        <w:tabs>
          <w:tab w:leader="none" w:pos="95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payment and, if so requested by the assignee Lender, delivery to the assignee Lender of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or Defaulting Lender does not execute and deliver to the Administrative Agent a duly executed Assignment and Assumption reflecting such replacement within five (5) Business Days of the date on which the assignee Lender executes and delivers such Assignment and Assumption to such Non-Consenting Lender or Defaulting Lender, then such Non-Consenting Lender or Defaulting Lender shall be deemed to have executed and delivered such Assignment and Assumption without any action on the part of the Non-Consenting Lender or Defaulting Lender.</w:t>
      </w:r>
    </w:p>
    <w:p>
      <w:pPr>
        <w:spacing w:after="0" w:line="152" w:lineRule="exact"/>
        <w:rPr>
          <w:rFonts w:ascii="Times New Roman" w:cs="Times New Roman" w:eastAsia="Times New Roman" w:hAnsi="Times New Roman"/>
          <w:sz w:val="20"/>
          <w:szCs w:val="20"/>
          <w:color w:val="auto"/>
        </w:rPr>
      </w:pPr>
    </w:p>
    <w:p>
      <w:pPr>
        <w:jc w:val="both"/>
        <w:ind w:left="620" w:firstLine="621"/>
        <w:spacing w:after="0" w:line="213" w:lineRule="auto"/>
        <w:tabs>
          <w:tab w:leader="none" w:pos="185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affected Lender or each affected Lender of a certain Class in accordance with the terms of Section 10.01 or all the Lenders with respect to a certain Class of the Loans and (iii) the Required Lenders (or, in the case of a consent, waiver or amendment involving all affected Lenders of a certain Facility, the Required Class Lenders as applicable) have agreed to such consent, waiver or amendment, then any Lender who does not agree to such consent, waiver or amendment shall be deemed a “</w:t>
      </w:r>
      <w:r>
        <w:rPr>
          <w:rFonts w:ascii="Times New Roman" w:cs="Times New Roman" w:eastAsia="Times New Roman" w:hAnsi="Times New Roman"/>
          <w:sz w:val="21"/>
          <w:szCs w:val="21"/>
          <w:b w:val="1"/>
          <w:bCs w:val="1"/>
          <w:color w:val="auto"/>
        </w:rPr>
        <w:t>Non-Consenting Lender</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left="620" w:firstLine="621"/>
        <w:spacing w:after="0" w:line="254" w:lineRule="auto"/>
        <w:tabs>
          <w:tab w:leader="none" w:pos="1853"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32"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3.08 Survival</w:t>
      </w:r>
      <w:r>
        <w:rPr>
          <w:rFonts w:ascii="Times New Roman" w:cs="Times New Roman" w:eastAsia="Times New Roman" w:hAnsi="Times New Roman"/>
          <w:sz w:val="21"/>
          <w:szCs w:val="21"/>
          <w:color w:val="auto"/>
        </w:rPr>
        <w:t xml:space="preserve">. Each of the obligations of the parties hereto under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survive termination of the Aggregate Commitments and repayment of all other Obligations hereunder.</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IV</w:t>
      </w:r>
    </w:p>
    <w:p>
      <w:pPr>
        <w:ind w:left="3160"/>
        <w:spacing w:after="0"/>
        <w:rPr>
          <w:sz w:val="20"/>
          <w:szCs w:val="20"/>
          <w:color w:val="auto"/>
        </w:rPr>
      </w:pPr>
      <w:r>
        <w:rPr>
          <w:rFonts w:ascii="Times New Roman" w:cs="Times New Roman" w:eastAsia="Times New Roman" w:hAnsi="Times New Roman"/>
          <w:sz w:val="21"/>
          <w:szCs w:val="21"/>
          <w:color w:val="auto"/>
        </w:rPr>
        <w:t>CONDITIONS PRECEDENT TO CREDIT EXTENSIONS</w:t>
      </w:r>
    </w:p>
    <w:p>
      <w:pPr>
        <w:spacing w:after="0" w:line="149"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4.01 Conditions to the Occurrence of the Closing Date</w:t>
      </w:r>
      <w:r>
        <w:rPr>
          <w:rFonts w:ascii="Times New Roman" w:cs="Times New Roman" w:eastAsia="Times New Roman" w:hAnsi="Times New Roman"/>
          <w:sz w:val="21"/>
          <w:szCs w:val="21"/>
          <w:color w:val="auto"/>
        </w:rPr>
        <w:t>. The effectiveness of this Agreement and the occurrence of the Closing Date are subject to receipt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35" w:right="339" w:bottom="1440" w:gutter="0" w:footer="0" w:header="0"/>
        </w:sectPr>
      </w:pPr>
    </w:p>
    <w:bookmarkStart w:id="181" w:name="page182"/>
    <w:bookmarkEnd w:id="181"/>
    <w:p>
      <w:pPr>
        <w:spacing w:after="0" w:line="235" w:lineRule="auto"/>
        <w:rPr>
          <w:sz w:val="20"/>
          <w:szCs w:val="20"/>
          <w:color w:val="auto"/>
        </w:rPr>
      </w:pPr>
      <w:r>
        <w:rPr>
          <w:rFonts w:ascii="Times New Roman" w:cs="Times New Roman" w:eastAsia="Times New Roman" w:hAnsi="Times New Roman"/>
          <w:sz w:val="21"/>
          <w:szCs w:val="21"/>
          <w:color w:val="auto"/>
        </w:rPr>
        <w:t>Administrative Agent of each of the following documents and satisfaction of the following conditions precedent (as applicable), each of which shall be in form and substance reasonably satisfactory to the Administrative Agent (unless waived in accordance herewith):</w:t>
      </w:r>
    </w:p>
    <w:p>
      <w:pPr>
        <w:spacing w:after="0" w:line="146" w:lineRule="exact"/>
        <w:rPr>
          <w:sz w:val="20"/>
          <w:szCs w:val="20"/>
          <w:color w:val="auto"/>
        </w:rPr>
      </w:pPr>
    </w:p>
    <w:p>
      <w:pPr>
        <w:ind w:left="620" w:firstLine="621"/>
        <w:spacing w:after="0" w:line="235" w:lineRule="auto"/>
        <w:tabs>
          <w:tab w:leader="none" w:pos="185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following, each of which shall be originals or pdf copies or other facsimiles unless otherwise specified, each properly executed by a Responsible Officer of the Borrower:</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counterparts of this Agreement;</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Organization Documents of the Borrower and the Pledgor;</w:t>
      </w:r>
    </w:p>
    <w:p>
      <w:pPr>
        <w:spacing w:after="0" w:line="171" w:lineRule="exact"/>
        <w:rPr>
          <w:rFonts w:ascii="Times New Roman" w:cs="Times New Roman" w:eastAsia="Times New Roman" w:hAnsi="Times New Roman"/>
          <w:sz w:val="21"/>
          <w:szCs w:val="21"/>
          <w:color w:val="auto"/>
        </w:rPr>
      </w:pPr>
    </w:p>
    <w:p>
      <w:pPr>
        <w:jc w:val="both"/>
        <w:ind w:left="1240" w:firstLine="620"/>
        <w:spacing w:after="0" w:line="217" w:lineRule="auto"/>
        <w:tabs>
          <w:tab w:leader="none" w:pos="2477"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certificates of good standing from the applicable secretary of state of the state of organization of the Borrower and the Pledgor, certificates of resolutions or other action and incumbency certificates evidencing the identity, authority and capacity of each Responsible Officer thereof authorized to act as a Responsible Officer in connection with this Agreement, the JV LLC Agreement, and the other Loan Documents to which the Borrower and the Pledgor is a party or is to be a party on the Closing Date; and</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6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solvency certificate from the chief financial officer, chief accounting officer, or other officer with equivalent duties of the Borrower (after giving effect to the Transactions) substantially in the form attached hereto as </w:t>
      </w:r>
      <w:r>
        <w:rPr>
          <w:rFonts w:ascii="Times New Roman" w:cs="Times New Roman" w:eastAsia="Times New Roman" w:hAnsi="Times New Roman"/>
          <w:sz w:val="21"/>
          <w:szCs w:val="21"/>
          <w:u w:val="single" w:color="auto"/>
          <w:color w:val="auto"/>
        </w:rPr>
        <w:t>Exhibit E-2</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exist as of the Closing Date.</w:t>
      </w:r>
    </w:p>
    <w:p>
      <w:pPr>
        <w:spacing w:after="0" w:line="171" w:lineRule="exact"/>
        <w:rPr>
          <w:rFonts w:ascii="Times New Roman" w:cs="Times New Roman" w:eastAsia="Times New Roman" w:hAnsi="Times New Roman"/>
          <w:sz w:val="21"/>
          <w:szCs w:val="21"/>
          <w:color w:val="auto"/>
        </w:rPr>
      </w:pPr>
    </w:p>
    <w:p>
      <w:pPr>
        <w:jc w:val="both"/>
        <w:ind w:left="620" w:firstLine="621"/>
        <w:spacing w:after="0" w:line="215" w:lineRule="auto"/>
        <w:tabs>
          <w:tab w:leader="none" w:pos="185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 and the Pledgor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in each other Loan Document shall be true and correct in all material respects on and as of the Closing Date with the same effect as though made on and as of the Closing Date, except to the extent such representations and warranties expressly relate to an earlier date, in which case they shall be true and correct in all material respects only with respect to such earlier date (except that any representation and warranty that is qualified as to “materiality” or “Material Adverse Effect” shall be true and correct in all respects as so qualified).</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December 31, 2024, there has been no occurrence, development, change, event, or loss affecting the Borrower that has had, or would reasonably be expected to have, individually or in the aggregate, a Material Adverse Effect on the Borrower.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3" w:lineRule="auto"/>
        <w:tabs>
          <w:tab w:leader="none" w:pos="185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(i) an unaudited pro forma balance sheet and related pro forma statement of income of the Borrower, as of and for the twelve (12)-month period ended December 31, 2025, prepared in good faith after giving effect to the Transactions as if the Transactions had occurred as of such date (in the case of such balance sheet) or at the beginning of such period (in the case of such statement of income) and (ii) an unaudited balance sheet of the Double E Joint Venture and the related statements of income, as of and for the twelve (12)-month period ended December 31, 2025, prepared in good faith after giving effect to the Transactions as if the Transactions had occurred as of such date (in the case of such balance sheet) or at the beginning of such period (in the case of such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39" w:right="339" w:bottom="1440" w:gutter="0" w:footer="0" w:header="0"/>
        </w:sectPr>
      </w:pPr>
    </w:p>
    <w:bookmarkStart w:id="182" w:name="page183"/>
    <w:bookmarkEnd w:id="182"/>
    <w:p>
      <w:pPr>
        <w:jc w:val="both"/>
        <w:ind w:left="620" w:firstLine="621"/>
        <w:spacing w:after="0" w:line="224" w:lineRule="auto"/>
        <w:tabs>
          <w:tab w:leader="none" w:pos="185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at least three (3) Business Days prior to the Closing Date (i) all documentation and other information about the Borrower and the Pledgor required under applicable “know your customer”, Sanctions, anti-corruption and anti-money laundering rules and regulations, including the USA PATRIOT Act that has been requested by the Administrative Agent in writing at least ten (10) Business Days prior to the Closing Date; and (ii) to the extent the Borrower or the Pledgor qualifies as a “legal entity customer” under the Beneficial Ownership Regulation, a Beneficial Ownership Certification in relation to the Borrower and the Pledgor,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execution and delivery by such Lender of its signature page to this Agreement, the condition set forth in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be deemed satisfied).</w:t>
      </w:r>
    </w:p>
    <w:p>
      <w:pPr>
        <w:spacing w:after="0" w:line="147"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Closing Date Base Case Model for the Transactions.</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Without limiting the generality of the provisions of </w:t>
      </w:r>
      <w:r>
        <w:rPr>
          <w:rFonts w:ascii="Times New Roman" w:cs="Times New Roman" w:eastAsia="Times New Roman" w:hAnsi="Times New Roman"/>
          <w:sz w:val="21"/>
          <w:szCs w:val="21"/>
          <w:u w:val="single" w:color="auto"/>
          <w:color w:val="auto"/>
        </w:rPr>
        <w:t>Section 9.03(d)</w:t>
      </w:r>
      <w:r>
        <w:rPr>
          <w:rFonts w:ascii="Times New Roman" w:cs="Times New Roman" w:eastAsia="Times New Roman" w:hAnsi="Times New Roman"/>
          <w:sz w:val="21"/>
          <w:szCs w:val="21"/>
          <w:color w:val="auto"/>
        </w:rPr>
        <w:t xml:space="preserve">, for purposes of determining compliance with the conditions specified in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45"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4.02 Conditions to Initial Credit Extension</w:t>
      </w:r>
      <w:r>
        <w:rPr>
          <w:rFonts w:ascii="Times New Roman" w:cs="Times New Roman" w:eastAsia="Times New Roman" w:hAnsi="Times New Roman"/>
          <w:sz w:val="21"/>
          <w:szCs w:val="21"/>
          <w:color w:val="auto"/>
        </w:rPr>
        <w:t>. The obligation of each Lender to make the initial Credit Extension is subject to receipt by the Administrative Agent of each of the following documents and satisfaction of the following conditions precedent (as applicable), each of which shall be in form and substance reasonably satisfactory to the Administrative Agent (unless waived in accordance herewith):</w:t>
      </w:r>
    </w:p>
    <w:p>
      <w:pPr>
        <w:spacing w:after="0" w:line="146" w:lineRule="exact"/>
        <w:rPr>
          <w:sz w:val="20"/>
          <w:szCs w:val="20"/>
          <w:color w:val="auto"/>
        </w:rPr>
      </w:pPr>
    </w:p>
    <w:p>
      <w:pPr>
        <w:ind w:left="620" w:firstLine="621"/>
        <w:spacing w:after="0" w:line="235" w:lineRule="auto"/>
        <w:tabs>
          <w:tab w:leader="none" w:pos="185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following, each of which shall be originals or pdf copies or other facsimiles unless otherwise specified, each properly executed by a Responsible Officer of the Borrower:</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Committed Loan Notice in accordance with the requirements hereof;</w:t>
      </w:r>
    </w:p>
    <w:p>
      <w:pPr>
        <w:spacing w:after="0" w:line="171"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72"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Document (other than this Agreement) and Material Contract (including the Producers Midstream Agreement and the Transwestern Agreement), duly executed by the Borrower and the Pledgor, as applicable, together with:</w:t>
      </w:r>
    </w:p>
    <w:p>
      <w:pPr>
        <w:spacing w:after="0" w:line="145" w:lineRule="exact"/>
        <w:rPr>
          <w:rFonts w:ascii="Times New Roman" w:cs="Times New Roman" w:eastAsia="Times New Roman" w:hAnsi="Times New Roman"/>
          <w:sz w:val="21"/>
          <w:szCs w:val="21"/>
          <w:color w:val="auto"/>
        </w:rPr>
      </w:pPr>
    </w:p>
    <w:p>
      <w:pPr>
        <w:jc w:val="both"/>
        <w:ind w:left="1860" w:firstLine="618"/>
        <w:spacing w:after="0" w:line="231" w:lineRule="auto"/>
        <w:tabs>
          <w:tab w:leader="none" w:pos="3087" w:val="left"/>
        </w:tabs>
        <w:numPr>
          <w:ilvl w:val="2"/>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if any, representing the Pledged Equity referred to therein accompanied by undated stock or membership interest powers executed in blank and instruments evidencing the Pledged Debt indorsed in blank (or confirmation in lieu thereof reasonably satisfactory to the Administrative Agent or its counsel that such certificates, powers and instruments have been sent for overnight delivery to the Collateral Agent or its counsel);</w:t>
      </w:r>
    </w:p>
    <w:p>
      <w:pPr>
        <w:spacing w:after="0" w:line="145" w:lineRule="exact"/>
        <w:rPr>
          <w:rFonts w:ascii="Times New Roman" w:cs="Times New Roman" w:eastAsia="Times New Roman" w:hAnsi="Times New Roman"/>
          <w:sz w:val="20"/>
          <w:szCs w:val="20"/>
          <w:color w:val="auto"/>
        </w:rPr>
      </w:pPr>
    </w:p>
    <w:p>
      <w:pPr>
        <w:ind w:left="1860" w:firstLine="618"/>
        <w:spacing w:after="0" w:line="235" w:lineRule="auto"/>
        <w:tabs>
          <w:tab w:leader="none" w:pos="3089" w:val="left"/>
        </w:tabs>
        <w:numPr>
          <w:ilvl w:val="2"/>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proper financing statements, filed or duly prepared for filing under the Uniform Commercial Code in all United States jurisdictions that the Administrative Agent may deem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39" w:right="339" w:bottom="1440" w:gutter="0" w:footer="0" w:header="0"/>
        </w:sectPr>
      </w:pPr>
    </w:p>
    <w:bookmarkStart w:id="183" w:name="page184"/>
    <w:bookmarkEnd w:id="183"/>
    <w:p>
      <w:pPr>
        <w:jc w:val="both"/>
        <w:ind w:left="1860"/>
        <w:spacing w:after="0" w:line="225" w:lineRule="auto"/>
        <w:rPr>
          <w:sz w:val="20"/>
          <w:szCs w:val="20"/>
          <w:color w:val="auto"/>
        </w:rPr>
      </w:pPr>
      <w:r>
        <w:rPr>
          <w:rFonts w:ascii="Times New Roman" w:cs="Times New Roman" w:eastAsia="Times New Roman" w:hAnsi="Times New Roman"/>
          <w:sz w:val="21"/>
          <w:szCs w:val="21"/>
          <w:color w:val="auto"/>
        </w:rPr>
        <w:t>necessary in order to perfect and protect the Liens created under the Security Agreement on assets of the Borrower and the Pledgor, covering the Collateral described in the Security Agreement and the Pledge Agreement; and</w:t>
      </w:r>
    </w:p>
    <w:p>
      <w:pPr>
        <w:spacing w:after="0" w:line="146" w:lineRule="exact"/>
        <w:rPr>
          <w:sz w:val="20"/>
          <w:szCs w:val="20"/>
          <w:color w:val="auto"/>
        </w:rPr>
      </w:pPr>
    </w:p>
    <w:p>
      <w:pPr>
        <w:jc w:val="both"/>
        <w:ind w:left="1860" w:firstLine="618"/>
        <w:spacing w:after="0" w:line="213" w:lineRule="auto"/>
        <w:tabs>
          <w:tab w:leader="none" w:pos="3089" w:val="left"/>
        </w:tabs>
        <w:numPr>
          <w:ilvl w:val="2"/>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that all other actions, recordings and filings required by the Collateral Documents as of the Closing Date that the Administrative Agent may deem reasonably necessary to satisfy the Collateral Requirement shall have been taken, completed or otherwise provided for in a manner reasonably satisfactory to the Administrative Agent (it being understood that the Borrower providing authorization to the Administrative Agent to take such actions or make such recordings and filings that can be taken or made by the Administrative Agent and to the extent agreed to be taken or made by the Administrative Agent shall be reasonably satisfactory to the Administrative Agent);</w:t>
      </w:r>
    </w:p>
    <w:p>
      <w:pPr>
        <w:spacing w:after="0" w:line="149" w:lineRule="exact"/>
        <w:rPr>
          <w:rFonts w:ascii="Times New Roman" w:cs="Times New Roman" w:eastAsia="Times New Roman" w:hAnsi="Times New Roman"/>
          <w:sz w:val="21"/>
          <w:szCs w:val="21"/>
          <w:color w:val="auto"/>
        </w:rPr>
      </w:pPr>
    </w:p>
    <w:p>
      <w:pPr>
        <w:ind w:left="1240" w:firstLine="620"/>
        <w:spacing w:after="0" w:line="235" w:lineRule="auto"/>
        <w:tabs>
          <w:tab w:leader="none" w:pos="2477"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copies of a recent Lien and judgment search in each jurisdiction reasonably requested by the Administrative Agent with respect to the Borrower and the Pledgor; and</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from Kirkland &amp; Ellis LLP, financing counsel to the Borrower and the Pledgor.</w:t>
      </w:r>
    </w:p>
    <w:p>
      <w:pPr>
        <w:spacing w:after="0" w:line="171"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Fee and all fees and expenses due to the Administrative Agent, the Collateral Agent, the Administrative Agent and its Affiliates required to be paid on the date of the initial Borrowing and (in the case of expenses) invoiced at least three (3) Business Days before such date (except as otherwise reasonably agreed by the Borrower) shall have been paid from the proceeds of the initial funding under the Facilities.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Collateral Accounts shall have been established and made subject to Control Agreements.</w:t>
      </w:r>
    </w:p>
    <w:p>
      <w:pPr>
        <w:spacing w:after="0" w:line="171"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evidence reasonably satisfactory to it that (i) the TPG Preferred Equity shall be repaid or redeemed in full, and otherwise terminated, and (ii) the Borrower shall have no outstanding Indebtedness other than the Initial Term Loans and the Indebtedness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in each case after giving effect to such initial Credit Extension and the occurrence of the Transactions on the Closing Date.</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4.03</w:t>
      </w:r>
      <w:r>
        <w:rPr>
          <w:sz w:val="20"/>
          <w:szCs w:val="20"/>
          <w:color w:val="auto"/>
        </w:rPr>
        <w:tab/>
      </w:r>
      <w:r>
        <w:rPr>
          <w:rFonts w:ascii="Times New Roman" w:cs="Times New Roman" w:eastAsia="Times New Roman" w:hAnsi="Times New Roman"/>
          <w:sz w:val="20"/>
          <w:szCs w:val="20"/>
          <w:u w:val="single" w:color="auto"/>
          <w:color w:val="auto"/>
        </w:rPr>
        <w:t>Conditions to All Credit Extensions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The obligation of each Lender to honor any Committed Loan Notice (other than a Committed Loan Notice requesting a continuation of SOFR Loans and other than a Committed Loan Notice made in connection with any Incremental Amendment, which shall be governed by </w:t>
      </w:r>
      <w:r>
        <w:rPr>
          <w:rFonts w:ascii="Times New Roman" w:cs="Times New Roman" w:eastAsia="Times New Roman" w:hAnsi="Times New Roman"/>
          <w:sz w:val="21"/>
          <w:szCs w:val="21"/>
          <w:u w:val="single" w:color="auto"/>
          <w:color w:val="auto"/>
        </w:rPr>
        <w:t>Section 2.13(d)</w:t>
      </w:r>
      <w:r>
        <w:rPr>
          <w:rFonts w:ascii="Times New Roman" w:cs="Times New Roman" w:eastAsia="Times New Roman" w:hAnsi="Times New Roman"/>
          <w:sz w:val="21"/>
          <w:szCs w:val="21"/>
          <w:color w:val="auto"/>
        </w:rPr>
        <w:t>), other than on the Closing Date, is subject to the following conditions precedent:</w:t>
      </w:r>
    </w:p>
    <w:p>
      <w:pPr>
        <w:spacing w:after="0" w:line="142" w:lineRule="exact"/>
        <w:rPr>
          <w:sz w:val="20"/>
          <w:szCs w:val="20"/>
          <w:color w:val="auto"/>
        </w:rPr>
      </w:pPr>
    </w:p>
    <w:p>
      <w:pPr>
        <w:ind w:left="1860" w:hanging="619"/>
        <w:spacing w:after="0"/>
        <w:tabs>
          <w:tab w:leader="none" w:pos="186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Committed Loan Notice in accordance with the requirements</w:t>
      </w:r>
    </w:p>
    <w:p>
      <w:pPr>
        <w:ind w:left="620"/>
        <w:spacing w:after="0"/>
        <w:rPr>
          <w:sz w:val="20"/>
          <w:szCs w:val="20"/>
          <w:color w:val="auto"/>
        </w:rPr>
      </w:pPr>
      <w:r>
        <w:rPr>
          <w:rFonts w:ascii="Times New Roman" w:cs="Times New Roman" w:eastAsia="Times New Roman" w:hAnsi="Times New Roman"/>
          <w:sz w:val="21"/>
          <w:szCs w:val="21"/>
          <w:color w:val="auto"/>
        </w:rPr>
        <w:t>hereof.</w:t>
      </w:r>
    </w:p>
    <w:p>
      <w:pPr>
        <w:spacing w:after="0" w:line="149" w:lineRule="exact"/>
        <w:rPr>
          <w:sz w:val="20"/>
          <w:szCs w:val="20"/>
          <w:color w:val="auto"/>
        </w:rPr>
      </w:pPr>
    </w:p>
    <w:p>
      <w:pPr>
        <w:ind w:left="620" w:firstLine="621"/>
        <w:spacing w:after="0" w:line="235" w:lineRule="auto"/>
        <w:tabs>
          <w:tab w:leader="none" w:pos="185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exist and be continuing or would immediately result from such proposed Credit Extension or from the application of the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39" w:right="339" w:bottom="1440" w:gutter="0" w:footer="0" w:header="0"/>
        </w:sectPr>
      </w:pPr>
    </w:p>
    <w:bookmarkStart w:id="184" w:name="page185"/>
    <w:bookmarkEnd w:id="184"/>
    <w:p>
      <w:pPr>
        <w:jc w:val="both"/>
        <w:ind w:left="620" w:firstLine="621"/>
        <w:spacing w:after="0" w:line="215" w:lineRule="auto"/>
        <w:tabs>
          <w:tab w:leader="none" w:pos="1854"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in respect of any Credit Extension on the Closing Date, the representations and warranties of the Borrower and the Pledgor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in each other Loan Document shall be true and correct in all material respects (except that any representation and warranty that is qualified as to “materiality” or “Material Adverse Effect” shall be true and correct in all respects as so qualified) on and as of the date of such Credit Extension with the same effect as though made on and as of such date, except to the extent such representations and warranties expressly relate to an earlier date, in which case they shall be true and correct in all material respects only with respect to such earlier date.</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delivered to the Administrative Agent a certificate, dated as of the date of such Credit Extension, by a Responsible Officer of the Borrower, confirming satisfaction of </w:t>
      </w:r>
      <w:r>
        <w:rPr>
          <w:rFonts w:ascii="Times New Roman" w:cs="Times New Roman" w:eastAsia="Times New Roman" w:hAnsi="Times New Roman"/>
          <w:sz w:val="21"/>
          <w:szCs w:val="21"/>
          <w:u w:val="single" w:color="auto"/>
          <w:color w:val="auto"/>
        </w:rPr>
        <w:t>Sections 7.17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7.18</w:t>
      </w:r>
      <w:r>
        <w:rPr>
          <w:rFonts w:ascii="Times New Roman" w:cs="Times New Roman" w:eastAsia="Times New Roman" w:hAnsi="Times New Roman"/>
          <w:sz w:val="21"/>
          <w:szCs w:val="21"/>
          <w:color w:val="auto"/>
        </w:rPr>
        <w:t xml:space="preserve"> on a pro forma basis taking into account such Credit Extension.</w:t>
      </w:r>
    </w:p>
    <w:p>
      <w:pPr>
        <w:spacing w:after="0" w:line="172"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0"/>
          <w:szCs w:val="20"/>
          <w:color w:val="auto"/>
        </w:rPr>
        <w:t xml:space="preserve">Each Committed Loan Notice (other than a Committed Loan Notice requesting only a conversion of Loans to the other Type), or a continuation of SOFR Loans submitted by the Borrower after the Closing Date shall be deemed to be a representation and warranty that the conditions specified in </w:t>
      </w:r>
      <w:r>
        <w:rPr>
          <w:rFonts w:ascii="Times New Roman" w:cs="Times New Roman" w:eastAsia="Times New Roman" w:hAnsi="Times New Roman"/>
          <w:sz w:val="20"/>
          <w:szCs w:val="20"/>
          <w:u w:val="single" w:color="auto"/>
          <w:color w:val="auto"/>
        </w:rPr>
        <w:t>Section 4.03(a)</w:t>
      </w:r>
      <w:r>
        <w:rPr>
          <w:rFonts w:ascii="Times New Roman" w:cs="Times New Roman" w:eastAsia="Times New Roman" w:hAnsi="Times New Roman"/>
          <w:sz w:val="20"/>
          <w:szCs w:val="20"/>
          <w:color w:val="auto"/>
        </w:rPr>
        <w:t xml:space="preserve"> (or, in the case of a Committed Loan Notice made in connection with an Incremental Amendment, the conditions specified in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w:t>
      </w:r>
    </w:p>
    <w:p>
      <w:pPr>
        <w:ind w:left="3740"/>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17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The Borrower represents and warrants to the Agents and the Lenders, on behalf of itself, as of the Closing Date and as of the date of each Borrowing (except to the extent that such representations and warranties are stated to be as of a specific date, in which case they shall be true and correct as of such date) and, solely to the extent expressly specified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on behalf of or with respect to the Double E Joint Venture or its business, operations, assets or liabilities, as of the Closing Date only, that:</w:t>
      </w:r>
    </w:p>
    <w:p>
      <w:pPr>
        <w:spacing w:after="0" w:line="159"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u w:val="single" w:color="auto"/>
          <w:color w:val="auto"/>
        </w:rPr>
        <w:t>Section 5.01 Existence, Qualification and Power; Compliance with Laws</w:t>
      </w:r>
      <w:r>
        <w:rPr>
          <w:rFonts w:ascii="Times New Roman" w:cs="Times New Roman" w:eastAsia="Times New Roman" w:hAnsi="Times New Roman"/>
          <w:sz w:val="21"/>
          <w:szCs w:val="21"/>
          <w:color w:val="auto"/>
        </w:rPr>
        <w:t>. Each of the Borrower and the Double E Joint Venture (a) is a Person duly organized or formed, validly existing and in good standing (where relevant) under the Laws of the jurisdiction of its organization or formation, (b) has all requisite power and authority to (i) own or lease its assets and carry on its business as currently conducted and (ii) execute, deliver and perform its obligations under the Loan Documents to which it is a party,</w:t>
      </w:r>
    </w:p>
    <w:p>
      <w:pPr>
        <w:spacing w:after="0" w:line="2" w:lineRule="exact"/>
        <w:rPr>
          <w:sz w:val="20"/>
          <w:szCs w:val="20"/>
          <w:color w:val="auto"/>
        </w:rPr>
      </w:pPr>
    </w:p>
    <w:p>
      <w:pPr>
        <w:jc w:val="both"/>
        <w:ind w:firstLine="3"/>
        <w:spacing w:after="0" w:line="211" w:lineRule="auto"/>
        <w:tabs>
          <w:tab w:leader="none" w:pos="28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governmental licenses, authorizations, consents and approvals to operate its business as currently conducted; except in each case, referred to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(with respect to the good standing of the Double E Joint Venture), </w:t>
      </w:r>
      <w:r>
        <w:rPr>
          <w:rFonts w:ascii="Times New Roman" w:cs="Times New Roman" w:eastAsia="Times New Roman" w:hAnsi="Times New Roman"/>
          <w:sz w:val="21"/>
          <w:szCs w:val="21"/>
          <w:u w:val="single" w:color="auto"/>
          <w:color w:val="auto"/>
        </w:rPr>
        <w:t>(b)(i)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to the extent that failure to do so could not reasonably be expected to have a Material Adverse Effect on the Borrower or, as of the Closing Date, on the Double E Joint Venture.</w:t>
      </w:r>
    </w:p>
    <w:p>
      <w:pPr>
        <w:spacing w:after="0" w:line="148"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5.02</w:t>
      </w:r>
      <w:r>
        <w:rPr>
          <w:sz w:val="20"/>
          <w:szCs w:val="20"/>
          <w:color w:val="auto"/>
        </w:rPr>
        <w:tab/>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860" w:hanging="619"/>
        <w:spacing w:after="0"/>
        <w:tabs>
          <w:tab w:leader="none" w:pos="18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and the date of each Borrowing, the Borrower is Solvent.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6" w:lineRule="exact"/>
        <w:rPr>
          <w:rFonts w:ascii="Times New Roman" w:cs="Times New Roman" w:eastAsia="Times New Roman" w:hAnsi="Times New Roman"/>
          <w:sz w:val="21"/>
          <w:szCs w:val="21"/>
          <w:color w:val="auto"/>
        </w:rPr>
      </w:pPr>
    </w:p>
    <w:p>
      <w:pPr>
        <w:ind w:left="55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39" w:right="339" w:bottom="1440" w:gutter="0" w:footer="0" w:header="0"/>
        </w:sectPr>
      </w:pPr>
    </w:p>
    <w:bookmarkStart w:id="185" w:name="page186"/>
    <w:bookmarkEnd w:id="185"/>
    <w:p>
      <w:pPr>
        <w:ind w:left="1860" w:hanging="619"/>
        <w:spacing w:after="0"/>
        <w:tabs>
          <w:tab w:leader="none" w:pos="18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only, the Double E Joint Venture is Solvent.</w:t>
      </w:r>
    </w:p>
    <w:p>
      <w:pPr>
        <w:spacing w:after="0" w:line="171" w:lineRule="exact"/>
        <w:rPr>
          <w:sz w:val="20"/>
          <w:szCs w:val="20"/>
          <w:color w:val="auto"/>
        </w:rPr>
      </w:pPr>
    </w:p>
    <w:p>
      <w:pPr>
        <w:jc w:val="both"/>
        <w:ind w:firstLine="619"/>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5.03 Authorization; No Contravention</w:t>
      </w:r>
      <w:r>
        <w:rPr>
          <w:rFonts w:ascii="Times New Roman" w:cs="Times New Roman" w:eastAsia="Times New Roman" w:hAnsi="Times New Roman"/>
          <w:sz w:val="20"/>
          <w:szCs w:val="20"/>
          <w:color w:val="auto"/>
        </w:rPr>
        <w:t>. The execution, delivery and performance by the Borrower of each Loan Document to which the Borrower is a party, and the consummation of the Transactions, (a) are within the Borrower’s limited liability company or other powers, (b) have been duly authorized by all necessary limited liability company or other organizational action, and</w:t>
      </w:r>
    </w:p>
    <w:p>
      <w:pPr>
        <w:spacing w:after="0" w:line="3" w:lineRule="exact"/>
        <w:rPr>
          <w:sz w:val="20"/>
          <w:szCs w:val="20"/>
          <w:color w:val="auto"/>
        </w:rPr>
      </w:pPr>
    </w:p>
    <w:p>
      <w:pPr>
        <w:jc w:val="both"/>
        <w:ind w:firstLine="3"/>
        <w:spacing w:after="0" w:line="209" w:lineRule="auto"/>
        <w:tabs>
          <w:tab w:leader="none" w:pos="32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not (i) contravene the terms of any of the Borrower’s Organization Documents, (ii) breach the terms of any Contractual Obligations of the Borrower, (iii) conflict with or result in any breach or contravention of, or the creation of any Lien under (other than Permitted Liens), or require any payment to be made under (x) any material Contractual Obligation to which the Borrower is a party or affecting the Borrower or the properties or assets of the Borrower (including, without limitation, the JV LLC Agreement) or (y) any material order, injunction, writ or decree of any Governmental Authority or any arbitral award to which the Borrower or its property is subject, or (iv) violate any Law binding on the Borrower; in each case to the extent that such violation, conflict, breach, contravention or payment could not reasonably be expected to have a Material Adverse Effect. No Default or Event of Default has occurred and is continuing or would result from the consummation of the Transactions.</w:t>
      </w:r>
    </w:p>
    <w:p>
      <w:pPr>
        <w:spacing w:after="0" w:line="152"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5.04 Separateness</w:t>
      </w:r>
      <w:r>
        <w:rPr>
          <w:rFonts w:ascii="Times New Roman" w:cs="Times New Roman" w:eastAsia="Times New Roman" w:hAnsi="Times New Roman"/>
          <w:sz w:val="21"/>
          <w:szCs w:val="21"/>
          <w:color w:val="auto"/>
        </w:rPr>
        <w:t>. Neither the Borrower nor the Double E Joint Venture has taken any action that is reasonably likely to result in its separate existence being ignored or in its assets and liabilities being substantively consolidated with any other Person in a bankruptcy, reorganization, or other insolvency proceeding.</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5.05 Binding Effect</w:t>
      </w:r>
      <w:r>
        <w:rPr>
          <w:rFonts w:ascii="Times New Roman" w:cs="Times New Roman" w:eastAsia="Times New Roman" w:hAnsi="Times New Roman"/>
          <w:sz w:val="21"/>
          <w:szCs w:val="21"/>
          <w:color w:val="auto"/>
        </w:rPr>
        <w:t>. This Agreement and each other Loan Document to which the Borrower is a party has been duly executed and delivered by the Borrower. This Agreement and each other Loan Document to which the Borrower is a party constitutes a legal, valid and binding obligation of the Borrower, enforceable against the Borrower in accordance with its terms, except as such enforceability may be limited by (i) Debtor Relief Laws and general principles of equity and fair dealing and (ii) the need for filings, recordations and registrations necessary to create or perfect the Liens on the Collateral granted by the Borrower in favor of the Secured Parties.</w:t>
      </w:r>
    </w:p>
    <w:p>
      <w:pPr>
        <w:spacing w:after="0" w:line="146" w:lineRule="exact"/>
        <w:rPr>
          <w:sz w:val="20"/>
          <w:szCs w:val="20"/>
          <w:color w:val="auto"/>
        </w:rPr>
      </w:pPr>
    </w:p>
    <w:p>
      <w:pPr>
        <w:jc w:val="both"/>
        <w:ind w:firstLine="619"/>
        <w:spacing w:after="0" w:line="209" w:lineRule="auto"/>
        <w:rPr>
          <w:sz w:val="20"/>
          <w:szCs w:val="20"/>
          <w:color w:val="auto"/>
        </w:rPr>
      </w:pPr>
      <w:r>
        <w:rPr>
          <w:rFonts w:ascii="Times New Roman" w:cs="Times New Roman" w:eastAsia="Times New Roman" w:hAnsi="Times New Roman"/>
          <w:sz w:val="21"/>
          <w:szCs w:val="21"/>
          <w:u w:val="single" w:color="auto"/>
          <w:color w:val="auto"/>
        </w:rPr>
        <w:t>Section 5.06 Governmental Authorization</w:t>
      </w:r>
      <w:r>
        <w:rPr>
          <w:rFonts w:ascii="Times New Roman" w:cs="Times New Roman" w:eastAsia="Times New Roman" w:hAnsi="Times New Roman"/>
          <w:sz w:val="21"/>
          <w:szCs w:val="21"/>
          <w:color w:val="auto"/>
        </w:rPr>
        <w:t>. No material approval, consent, exemption, authorization or other action by, or notice to, or filing with, any Governmental Authority is necessary or required in connection with (a) the execution, delivery or performance by, or enforcement against, the Borrower or the Double E Joint Venture, as applicable, of this Agreement or any other Loan Document, or for the consummation of the Transactions, (b) the grant by the Borrower of the Liens granted by it pursuant to the Collateral Documents, (c) the perfection or maintenance of the Liens created under the Collateral Documents (including the priority thereof), if and to the extent required to be perfected hereunder, or (d) the exercise by the Administrative Agent or any Lender of its rights under the Loan Documents or the remedies in respect of the Collateral pursuant to the Collateral Documents, except for (i) filings, recordings and registrations with Governmental Authorities necessary to perfect the Liens on the Collateral granted by the Borrower in favor of the Secured Parties, (ii) 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Requirement) and (iii) those approvals, consents, exemptions, authorizations or other actions, notices or filings, the failure of which to obtain or make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39" w:right="339" w:bottom="1440" w:gutter="0" w:footer="0" w:header="0"/>
        </w:sectPr>
      </w:pPr>
    </w:p>
    <w:bookmarkStart w:id="186" w:name="page187"/>
    <w:bookmarkEnd w:id="186"/>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5.07</w:t>
      </w:r>
      <w:r>
        <w:rPr>
          <w:sz w:val="20"/>
          <w:szCs w:val="20"/>
          <w:color w:val="auto"/>
        </w:rPr>
        <w:tab/>
      </w:r>
      <w:r>
        <w:rPr>
          <w:rFonts w:ascii="Times New Roman" w:cs="Times New Roman" w:eastAsia="Times New Roman" w:hAnsi="Times New Roman"/>
          <w:sz w:val="20"/>
          <w:szCs w:val="20"/>
          <w:u w:val="single" w:color="auto"/>
          <w:color w:val="auto"/>
        </w:rPr>
        <w:t>Financial Statements; No Material Adverse Effect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20" w:lineRule="auto"/>
        <w:tabs>
          <w:tab w:leader="none" w:pos="1854"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Audited Financial Statements fairly present in all material respects the financial condition of the Double E Joint Venture and the Borrower, respectively, as of the date(s) thereof and (as applicable) its or their respective results of operations for the periods covered thereby in accordance with GAAP consistently applied throughout the periods covered thereby, except as otherwise expressly noted therein.</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there has been no event or circumstance, either individually or in the aggregate, that has had or could reasonably be expected to have a Material Adverse Effect on the Borrower or the Double E Joint Venture, since the delivery of the Audited Financial Statements.</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4"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each Credit Extension after the Closing Date, and measured as of that date of Credit Extension, to the knowledge of the Borrower, there has been no event or circumstance, either individually or in the aggregate, that has had or could reasonably be expected to have a Material Adverse Effect on the Borrower or the Double E Joint Venture, since the Closing Date.</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7" w:lineRule="auto"/>
        <w:tabs>
          <w:tab w:leader="none" w:pos="18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the Double E Joint Venture, do not have any Indebtedness or other obligations or liabilities, direct or contingent (other than (i) obligations arising under or in accordance with the Loan Documents, (ii) liabilities incurred in the ordinary course of business and (iii) liabilities disclosed in the Audited Financial Statements) that, either individually or in the aggregate, have had or could reasonably be expected to have a Material Adverse Effect on the Borrower or, as of the Closing Date, on the Double E Joint Venture.</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0"/>
          <w:szCs w:val="20"/>
          <w:u w:val="single" w:color="auto"/>
          <w:color w:val="auto"/>
        </w:rPr>
        <w:t>Section 5.08 Environmental Matters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5.08</w:t>
      </w:r>
      <w:r>
        <w:rPr>
          <w:rFonts w:ascii="Times New Roman" w:cs="Times New Roman" w:eastAsia="Times New Roman" w:hAnsi="Times New Roman"/>
          <w:sz w:val="20"/>
          <w:szCs w:val="20"/>
          <w:color w:val="auto"/>
        </w:rPr>
        <w:t xml:space="preserve"> or for matters that would not reasonably be expected to have, individually or in the aggregate, a Material Adverse Effect on the Borrower or, as of the Closing Date, on the Double E Joint Venture, (a) no unresolved Environmental Claim or penalty under Environmental Laws has been received or incurred by the Borrower or the Double E Joint Venture, and there are no judicial, administrative or other actions, suits or proceedings pending or, to the knowledge of the Borrower, threatened in writing against the Borrower or the Double E Joint Venture, which allege a violation of or liability under any Environmental Laws, (b) the Borrower and the Double E Joint Venture have obtained, and maintain in full force and effect, all permits, registrations and licenses required by Governmental Authorities under Environmental Laws for the conduct of their businesses and operations as currently conducted, and each of the Borrower and the Double E Joint Venture is, and has since its respective formation (or, following the fifth anniversary of its respective formation, in the last five (5) years) been, in compliance with the terms and conditions of all such permits, registrations and licenses and with all applicable Environmental Laws, (c) neither the Borrower nor the Double E Joint Venture is currently conducting, funding or responsible for any investigation, monitoring, remediation, remedial action or cleanup of any Release of Hazardous Materials, in each case that is required under Environmental Laws, (d) there has been no Release or, to the knowledge of the Borrower, threatened Release, of Hazardous Materials by the Borrower or the Double E Joint Venture or by any other person, at any property currently or formerly owned or operated by the Borrower or the Double E Joint Venture that would reasonably be expected to give rise to any liability of the Borrower or the Double E Joint Venture or Environmental Claim against the Borrower or the Double E Joint Venture under any Environmental Laws, (e) no Hazardous Material has been generated, owned or controlled by the Borrower or the Double E Joint Venture and transported to any location other than any property owned or operated by the Borrower or the Double E Joint Venture for disposal or Released at any location in a manner that would reasonably be expected to give rise to an Environmental Claim or other liability under Environmental Laws of the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39" w:right="339" w:bottom="1440" w:gutter="0" w:footer="0" w:header="0"/>
        </w:sectPr>
      </w:pPr>
    </w:p>
    <w:bookmarkStart w:id="187" w:name="page188"/>
    <w:bookmarkEnd w:id="187"/>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Double E Joint Venture, and (f) neither the Borrower nor the Double E Joint Venture has expressly retained or assumed, by contract or, to the Borrower’s knowledge, operation of law, any material liabilities or obligations of any other Person arising under Environmental Law. Representations and warranties of the Borrower and the Double E Joint Venture with respect to environmental matters are limited to those in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unless expressly stated.</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5.09 Litigation</w:t>
      </w:r>
      <w:r>
        <w:rPr>
          <w:rFonts w:ascii="Times New Roman" w:cs="Times New Roman" w:eastAsia="Times New Roman" w:hAnsi="Times New Roman"/>
          <w:sz w:val="21"/>
          <w:szCs w:val="21"/>
          <w:color w:val="auto"/>
        </w:rPr>
        <w:t xml:space="preserve">. Except as disclosed on </w:t>
      </w:r>
      <w:r>
        <w:rPr>
          <w:rFonts w:ascii="Times New Roman" w:cs="Times New Roman" w:eastAsia="Times New Roman" w:hAnsi="Times New Roman"/>
          <w:sz w:val="21"/>
          <w:szCs w:val="21"/>
          <w:u w:val="single" w:color="auto"/>
          <w:color w:val="auto"/>
        </w:rPr>
        <w:t>Schedule 5.09</w:t>
      </w:r>
      <w:r>
        <w:rPr>
          <w:rFonts w:ascii="Times New Roman" w:cs="Times New Roman" w:eastAsia="Times New Roman" w:hAnsi="Times New Roman"/>
          <w:sz w:val="21"/>
          <w:szCs w:val="21"/>
          <w:color w:val="auto"/>
        </w:rPr>
        <w:t>, there are no actions, suits, proceedings, claims, disputes or investigations pending or threatened in writing, at law, in equity, in arbitration or before any Governmental Authority, by or against the Borrower or the Double E Joint Venture or against any of their respective properties or revenues that either individually or in the aggregate, could reasonably be expected to have a Material Adverse Effect on the Borrower or, as of the Closing Date, on the Double E Joint Venture.</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5.10 Taxes</w:t>
      </w:r>
      <w:r>
        <w:rPr>
          <w:rFonts w:ascii="Times New Roman" w:cs="Times New Roman" w:eastAsia="Times New Roman" w:hAnsi="Times New Roman"/>
          <w:sz w:val="21"/>
          <w:szCs w:val="21"/>
          <w:color w:val="auto"/>
        </w:rPr>
        <w:t xml:space="preserve"> Each of the Borrower and the Double E Joint Venture has filed all U.S. federal and all other material tax returns required to be filed by it, and has paid all U.S. federal and other material Taxes levied or imposed on it or its properties that are due and payable, except those which are being contested in good faith by appropriate proceedings and for which adequate reserves have been provided in accordance with GAAP. There is no proposed written Tax deficiency or assessment known to the Borrower that would, if made, individually or in the aggregate, have a Material Adverse Effect on the Borrower or, as of the Closing Date, on the Double E Joint Venture. The Borrower is treated as a disregarded entity for U.S. federal income tax purposes.</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5.11</w:t>
      </w:r>
      <w:r>
        <w:rPr>
          <w:sz w:val="20"/>
          <w:szCs w:val="20"/>
          <w:color w:val="auto"/>
        </w:rPr>
        <w:tab/>
      </w:r>
      <w:r>
        <w:rPr>
          <w:rFonts w:ascii="Times New Roman" w:cs="Times New Roman" w:eastAsia="Times New Roman" w:hAnsi="Times New Roman"/>
          <w:sz w:val="20"/>
          <w:szCs w:val="20"/>
          <w:u w:val="single" w:color="auto"/>
          <w:color w:val="auto"/>
        </w:rPr>
        <w:t>Margin Regulations; Investment Company Act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36" w:lineRule="auto"/>
        <w:tabs>
          <w:tab w:leader="none" w:pos="185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not engaged nor will it engage, principally or as one of its important activities, in the business of purchasing or carrying Margin Stock, or extending credit for the purpose of purchasing or carrying Margin Stock, in either case in violation of Regulation U, and no proceeds of any Borrowings will be used for any purpose that violates Regulation U.</w:t>
      </w:r>
    </w:p>
    <w:p>
      <w:pPr>
        <w:spacing w:after="0" w:line="146" w:lineRule="exact"/>
        <w:rPr>
          <w:rFonts w:ascii="Times New Roman" w:cs="Times New Roman" w:eastAsia="Times New Roman" w:hAnsi="Times New Roman"/>
          <w:sz w:val="20"/>
          <w:szCs w:val="20"/>
          <w:color w:val="auto"/>
        </w:rPr>
      </w:pPr>
    </w:p>
    <w:p>
      <w:pPr>
        <w:ind w:left="620" w:firstLine="621"/>
        <w:spacing w:after="0" w:line="235" w:lineRule="auto"/>
        <w:tabs>
          <w:tab w:leader="none" w:pos="1853"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neither is or is required to be registered as an “investment company” under the Investment Company Act of 1940.</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5.12</w:t>
      </w:r>
      <w:r>
        <w:rPr>
          <w:sz w:val="20"/>
          <w:szCs w:val="20"/>
          <w:color w:val="auto"/>
        </w:rPr>
        <w:tab/>
      </w:r>
      <w:r>
        <w:rPr>
          <w:rFonts w:ascii="Times New Roman" w:cs="Times New Roman" w:eastAsia="Times New Roman" w:hAnsi="Times New Roman"/>
          <w:sz w:val="20"/>
          <w:szCs w:val="20"/>
          <w:u w:val="single" w:color="auto"/>
          <w:color w:val="auto"/>
        </w:rPr>
        <w:t>Energy Regulatory Matters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25" w:lineRule="auto"/>
        <w:tabs>
          <w:tab w:leader="none" w:pos="1854"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is not subject to the jurisdiction of the Federal Energy Regulatory Commission as a “natural gas company” pursuant to the Natural Gas Act and will not become subject to such jurisdiction as a result of the Loans contemplated in this Agreement.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Double E Joint Venture has obtained and accepted a certificate of public convenience and necessity issued by the Federal Energy Regulatory Commission for the operation of the Project and is in material compliance with the terms of that certificate; the Double E Joint Venture is a “natural gas company” subject to the jurisdiction of the Federal Energy Regulatory Commission pursuant to the Natural Gas Act.</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5.13 Ownership of Property</w:t>
      </w:r>
      <w:r>
        <w:rPr>
          <w:rFonts w:ascii="Times New Roman" w:cs="Times New Roman" w:eastAsia="Times New Roman" w:hAnsi="Times New Roman"/>
          <w:sz w:val="21"/>
          <w:szCs w:val="21"/>
          <w:color w:val="auto"/>
        </w:rPr>
        <w:t>. As of the Closing Date, the Borrower does not own nor has ever owned any Real Property. As of the date of each Credit Extension after the Closing Date, the Borrower does not own any Real Property other than Real Property expected to be contributed to the Double E Joint Venture within one hundred and twenty (120) days after the acquisition thereof. Each of the Borrower and the Double E Joint Venture has good and valid record title in fee simple to, or valid leasehold interests in, or easements or other limited property interests in, all Real Property and personal property (as applicable) necessary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39" w:right="339" w:bottom="1440" w:gutter="0" w:footer="0" w:header="0"/>
        </w:sectPr>
      </w:pPr>
    </w:p>
    <w:bookmarkStart w:id="188" w:name="page189"/>
    <w:bookmarkEnd w:id="188"/>
    <w:p>
      <w:pPr>
        <w:jc w:val="both"/>
        <w:spacing w:after="0" w:line="235" w:lineRule="auto"/>
        <w:rPr>
          <w:sz w:val="20"/>
          <w:szCs w:val="20"/>
          <w:color w:val="auto"/>
        </w:rPr>
      </w:pPr>
      <w:r>
        <w:rPr>
          <w:rFonts w:ascii="Times New Roman" w:cs="Times New Roman" w:eastAsia="Times New Roman" w:hAnsi="Times New Roman"/>
          <w:sz w:val="21"/>
          <w:szCs w:val="21"/>
          <w:color w:val="auto"/>
        </w:rPr>
        <w:t>conduct of its business, free and clear of all Liens except for Permitted Liens and except where the failure to have such title or other interest would not reasonably be expected to have, individually or in the aggregate, a Material Adverse Effect.</w:t>
      </w:r>
    </w:p>
    <w:p>
      <w:pPr>
        <w:spacing w:after="0" w:line="146"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u w:val="single" w:color="auto"/>
          <w:color w:val="auto"/>
        </w:rPr>
        <w:t>Section 5.14 Disclosure</w:t>
      </w:r>
      <w:r>
        <w:rPr>
          <w:rFonts w:ascii="Times New Roman" w:cs="Times New Roman" w:eastAsia="Times New Roman" w:hAnsi="Times New Roman"/>
          <w:sz w:val="21"/>
          <w:szCs w:val="21"/>
          <w:color w:val="auto"/>
        </w:rPr>
        <w:t>. As of the Closing Date, no report, financial statement, certificate or other written information furnished by or on behalf of the Borrower or the Double E Joint Venture (other than projected financial information, pro forma financial information, financial estimates, forecasts and forward-looking information and information of a general economic or industry nature) to any Agent or any Lender or any independent consultant in connection with the Transactions and the negotiation of this Agreement or delivered hereunder or under any other Loan Document (as modified or supplemented by other information so furnished), when taken as a whole, contains any untrue statement of a material fact or omits to state any material fact necessary to make the statements therein (when taken as a whole), in the light of the circumstances under which they were made, not materially misleading. With respect to projected financial information, pro forma financial information, financial estimates, forecasts and forward-looking information, the Borrower represents, as of the Closing Date, that such information was prepared in good faith based upon assumptions believed to be reasonable at the time of preparation; it being understood that such projections may vary from actual results and that such variances may be material.</w:t>
      </w:r>
    </w:p>
    <w:p>
      <w:pPr>
        <w:spacing w:after="0" w:line="151" w:lineRule="exact"/>
        <w:rPr>
          <w:sz w:val="20"/>
          <w:szCs w:val="20"/>
          <w:color w:val="auto"/>
        </w:rPr>
      </w:pPr>
    </w:p>
    <w:p>
      <w:pPr>
        <w:jc w:val="both"/>
        <w:ind w:firstLine="619"/>
        <w:spacing w:after="0" w:line="219" w:lineRule="auto"/>
        <w:rPr>
          <w:sz w:val="20"/>
          <w:szCs w:val="20"/>
          <w:color w:val="auto"/>
        </w:rPr>
      </w:pPr>
      <w:r>
        <w:rPr>
          <w:rFonts w:ascii="Times New Roman" w:cs="Times New Roman" w:eastAsia="Times New Roman" w:hAnsi="Times New Roman"/>
          <w:sz w:val="20"/>
          <w:szCs w:val="20"/>
          <w:u w:val="single" w:color="auto"/>
          <w:color w:val="auto"/>
        </w:rPr>
        <w:t>Section 5.15 Subsidiaries; Equity Interests</w:t>
      </w:r>
      <w:r>
        <w:rPr>
          <w:rFonts w:ascii="Times New Roman" w:cs="Times New Roman" w:eastAsia="Times New Roman" w:hAnsi="Times New Roman"/>
          <w:sz w:val="20"/>
          <w:szCs w:val="20"/>
          <w:color w:val="auto"/>
        </w:rPr>
        <w:t xml:space="preserve">. As of the Closing Date, the Borrower and the Double E Joint Venture do not have any Subsidiaries other than as set forth on </w:t>
      </w:r>
      <w:r>
        <w:rPr>
          <w:rFonts w:ascii="Times New Roman" w:cs="Times New Roman" w:eastAsia="Times New Roman" w:hAnsi="Times New Roman"/>
          <w:sz w:val="20"/>
          <w:szCs w:val="20"/>
          <w:u w:val="single" w:color="auto"/>
          <w:color w:val="auto"/>
        </w:rPr>
        <w:t>Schedule 5.15</w:t>
      </w:r>
      <w:r>
        <w:rPr>
          <w:rFonts w:ascii="Times New Roman" w:cs="Times New Roman" w:eastAsia="Times New Roman" w:hAnsi="Times New Roman"/>
          <w:sz w:val="20"/>
          <w:szCs w:val="20"/>
          <w:color w:val="auto"/>
        </w:rPr>
        <w:t xml:space="preserve">, and all of the outstanding Equity Interests owned by the Borrower and the Double E Joint Venture in any such Subsidiaries have been validly issued and are fully paid, and all Equity Interests owned by the Borrower and the Double E Joint Venture in any such Subsidiaries are owned free and clear of all Liens except (i) those created under the Collateral Documents and (ii) any other Permitted Lien. </w:t>
      </w:r>
      <w:r>
        <w:rPr>
          <w:rFonts w:ascii="Times New Roman" w:cs="Times New Roman" w:eastAsia="Times New Roman" w:hAnsi="Times New Roman"/>
          <w:sz w:val="20"/>
          <w:szCs w:val="20"/>
          <w:u w:val="single" w:color="auto"/>
          <w:color w:val="auto"/>
        </w:rPr>
        <w:t>Schedule 5.15</w:t>
      </w:r>
      <w:r>
        <w:rPr>
          <w:rFonts w:ascii="Times New Roman" w:cs="Times New Roman" w:eastAsia="Times New Roman" w:hAnsi="Times New Roman"/>
          <w:sz w:val="20"/>
          <w:szCs w:val="20"/>
          <w:color w:val="auto"/>
        </w:rPr>
        <w:t xml:space="preserve"> (a) sets forth the name and jurisdiction of the Borrower and</w:t>
      </w:r>
    </w:p>
    <w:p>
      <w:pPr>
        <w:spacing w:after="0" w:line="4" w:lineRule="exact"/>
        <w:rPr>
          <w:sz w:val="20"/>
          <w:szCs w:val="20"/>
          <w:color w:val="auto"/>
        </w:rPr>
      </w:pPr>
    </w:p>
    <w:p>
      <w:pPr>
        <w:ind w:firstLine="3"/>
        <w:spacing w:after="0" w:line="224" w:lineRule="auto"/>
        <w:tabs>
          <w:tab w:leader="none" w:pos="29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sets forth the ownership interest of the Borrower in each Subsidiary of the Borrower, including the percentage of such ownership as of the Closing Date.</w:t>
      </w:r>
    </w:p>
    <w:p>
      <w:pPr>
        <w:spacing w:after="0" w:line="146"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u w:val="single" w:color="auto"/>
          <w:color w:val="auto"/>
        </w:rPr>
        <w:t>Section 5.16 Security Documents</w:t>
      </w:r>
      <w:r>
        <w:rPr>
          <w:rFonts w:ascii="Times New Roman" w:cs="Times New Roman" w:eastAsia="Times New Roman" w:hAnsi="Times New Roman"/>
          <w:sz w:val="21"/>
          <w:szCs w:val="21"/>
          <w:color w:val="auto"/>
        </w:rPr>
        <w:t xml:space="preserve">. Each Collateral Document delivered pursuant to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6.12</w:t>
      </w:r>
      <w:r>
        <w:rPr>
          <w:rFonts w:ascii="Times New Roman" w:cs="Times New Roman" w:eastAsia="Times New Roman" w:hAnsi="Times New Roman"/>
          <w:sz w:val="21"/>
          <w:szCs w:val="21"/>
          <w:color w:val="auto"/>
        </w:rPr>
        <w:t xml:space="preserve">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in the jurisdiction of organization of the Borrower and the Pledgor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shall constitute fully perfected Liens on, and security interests in (to the extent intended to be created thereby), all right, title and interest of the grantors in such Collateral to the extent perfection can be obtained by filing financing statements, possession or control, in each case subject to no Liens other than Permitted Liens.</w:t>
      </w:r>
    </w:p>
    <w:p>
      <w:pPr>
        <w:spacing w:after="0" w:line="142"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u w:val="single" w:color="auto"/>
          <w:color w:val="auto"/>
        </w:rPr>
        <w:t>Section 5.17 Status as Senior Debt</w:t>
      </w:r>
      <w:r>
        <w:rPr>
          <w:rFonts w:ascii="Times New Roman" w:cs="Times New Roman" w:eastAsia="Times New Roman" w:hAnsi="Times New Roman"/>
          <w:sz w:val="21"/>
          <w:szCs w:val="21"/>
          <w:color w:val="auto"/>
        </w:rPr>
        <w:t xml:space="preserve">. The Obligations shall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right of payment with any other senior Indebtedness of the Borrower of the type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of Indebtedness and any Additional Pari Passu Permitted Debt;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the Term Loans and any Additional Pari Passu Permitted Debt shall rank junior in right of payment with any Super-Priority Permitted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39" w:right="339" w:bottom="1440" w:gutter="0" w:footer="0" w:header="0"/>
        </w:sectPr>
      </w:pPr>
    </w:p>
    <w:bookmarkStart w:id="189" w:name="page190"/>
    <w:bookmarkEnd w:id="189"/>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5.18</w:t>
      </w:r>
      <w:r>
        <w:rPr>
          <w:sz w:val="20"/>
          <w:szCs w:val="20"/>
          <w:color w:val="auto"/>
        </w:rPr>
        <w:tab/>
      </w:r>
      <w:r>
        <w:rPr>
          <w:rFonts w:ascii="Times New Roman" w:cs="Times New Roman" w:eastAsia="Times New Roman" w:hAnsi="Times New Roman"/>
          <w:sz w:val="20"/>
          <w:szCs w:val="20"/>
          <w:u w:val="single" w:color="auto"/>
          <w:color w:val="auto"/>
        </w:rPr>
        <w:t>ERISA Compliance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20" w:lineRule="auto"/>
        <w:tabs>
          <w:tab w:leader="none" w:pos="123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either individually or in the aggregate, reasonably be expected to result in a Material Adverse Effect on the Borrower, each Plan maintained by the Borrower or any ERISA Affiliate is in compliance with the applicable provisions of ERISA and the Code and the regulations and published interpretations thereunder and other federal or state Laws.</w:t>
      </w:r>
    </w:p>
    <w:p>
      <w:pPr>
        <w:spacing w:after="0" w:line="145" w:lineRule="exact"/>
        <w:rPr>
          <w:rFonts w:ascii="Times New Roman" w:cs="Times New Roman" w:eastAsia="Times New Roman" w:hAnsi="Times New Roman"/>
          <w:sz w:val="21"/>
          <w:szCs w:val="21"/>
          <w:color w:val="auto"/>
        </w:rPr>
      </w:pPr>
    </w:p>
    <w:p>
      <w:pPr>
        <w:jc w:val="both"/>
        <w:ind w:firstLine="621"/>
        <w:spacing w:after="0" w:line="211" w:lineRule="auto"/>
        <w:tabs>
          <w:tab w:leader="none" w:pos="1233"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No ERISA Event with respect to any Plan has occurred during the five (5) year period prior to the date on which this representation is made or deemed made, or since the inception of any Plan (whichever is more recent),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nor any ERISA Affiliate has engaged in a transaction that could be subject to Sections 4069 or 4212(c) of ERISA, except, with respect to each of the preceding clauses of this </w:t>
      </w:r>
      <w:r>
        <w:rPr>
          <w:rFonts w:ascii="Times New Roman" w:cs="Times New Roman" w:eastAsia="Times New Roman" w:hAnsi="Times New Roman"/>
          <w:sz w:val="21"/>
          <w:szCs w:val="21"/>
          <w:u w:val="single" w:color="auto"/>
          <w:color w:val="auto"/>
        </w:rPr>
        <w:t>Section 5.18(b)</w:t>
      </w:r>
      <w:r>
        <w:rPr>
          <w:rFonts w:ascii="Times New Roman" w:cs="Times New Roman" w:eastAsia="Times New Roman" w:hAnsi="Times New Roman"/>
          <w:sz w:val="21"/>
          <w:szCs w:val="21"/>
          <w:color w:val="auto"/>
        </w:rPr>
        <w:t>, as would not reasonably be expected, individually or in the aggregate, to result in a Material Adverse Effect on the Borrower.</w:t>
      </w:r>
    </w:p>
    <w:p>
      <w:pPr>
        <w:spacing w:after="0" w:line="145" w:lineRule="exact"/>
        <w:rPr>
          <w:rFonts w:ascii="Times New Roman" w:cs="Times New Roman" w:eastAsia="Times New Roman" w:hAnsi="Times New Roman"/>
          <w:sz w:val="21"/>
          <w:szCs w:val="21"/>
          <w:color w:val="auto"/>
        </w:rPr>
      </w:pPr>
    </w:p>
    <w:p>
      <w:pPr>
        <w:jc w:val="both"/>
        <w:ind w:firstLine="621"/>
        <w:spacing w:after="0" w:line="215" w:lineRule="auto"/>
        <w:tabs>
          <w:tab w:leader="none" w:pos="123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Plans of the Borrower and any ERISA Affiliate are funded to the extent required by the terms of each Plan, if any, and by Law or otherwise to comply with the requirements of any Law applicable in the jurisdiction in which the relevant pension scheme is maintained, and (ii) neither the Borrower nor any ERISA Affiliate maintains or contributes to a Plan that is, or is expected to be, in at risk status (as defined in Section 303(i)(4) of ERISA or Section 430(i)(4) of the Code), except, with respect to each of the preceding clauses of this </w:t>
      </w:r>
      <w:r>
        <w:rPr>
          <w:rFonts w:ascii="Times New Roman" w:cs="Times New Roman" w:eastAsia="Times New Roman" w:hAnsi="Times New Roman"/>
          <w:sz w:val="21"/>
          <w:szCs w:val="21"/>
          <w:u w:val="single" w:color="auto"/>
          <w:color w:val="auto"/>
        </w:rPr>
        <w:t>Section 5.18(c)</w:t>
      </w:r>
      <w:r>
        <w:rPr>
          <w:rFonts w:ascii="Times New Roman" w:cs="Times New Roman" w:eastAsia="Times New Roman" w:hAnsi="Times New Roman"/>
          <w:sz w:val="21"/>
          <w:szCs w:val="21"/>
          <w:color w:val="auto"/>
        </w:rPr>
        <w:t>, as would not reasonably be expected, individually or in the aggregate, to have a Material Adverse Effect on the Borrower.</w:t>
      </w:r>
    </w:p>
    <w:p>
      <w:pPr>
        <w:spacing w:after="0" w:line="14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u w:val="single" w:color="auto"/>
          <w:color w:val="auto"/>
        </w:rPr>
        <w:t>Section 5.19</w:t>
      </w:r>
      <w:r>
        <w:rPr>
          <w:sz w:val="20"/>
          <w:szCs w:val="20"/>
          <w:color w:val="auto"/>
        </w:rPr>
        <w:tab/>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21"/>
        <w:spacing w:after="0" w:line="213" w:lineRule="auto"/>
        <w:tabs>
          <w:tab w:leader="none" w:pos="123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use the proceeds of the Initial Term Loans to (a) refinance or repay in full the existing senior secured indebtedness of the Borrower incurred pursuant to the Existing Credit Agreement, (b) make distributions to the Pledgor, for purposes of repaying or redeeming in full the outstanding TPG Preferred Equity, (c) fund capital expenditures and other costs with respect to the Project, (d) make a distribution to the Sponsor and/or its affiliates in an amount equal to $85,000,000 on or before the date that is ten (10) Business Days after the Closing Date (the “</w:t>
      </w:r>
      <w:r>
        <w:rPr>
          <w:rFonts w:ascii="Times New Roman" w:cs="Times New Roman" w:eastAsia="Times New Roman" w:hAnsi="Times New Roman"/>
          <w:sz w:val="21"/>
          <w:szCs w:val="21"/>
          <w:b w:val="1"/>
          <w:bCs w:val="1"/>
          <w:color w:val="auto"/>
        </w:rPr>
        <w:t>Closing Date Distribution</w:t>
      </w:r>
      <w:r>
        <w:rPr>
          <w:rFonts w:ascii="Times New Roman" w:cs="Times New Roman" w:eastAsia="Times New Roman" w:hAnsi="Times New Roman"/>
          <w:sz w:val="21"/>
          <w:szCs w:val="21"/>
          <w:color w:val="auto"/>
        </w:rPr>
        <w:t>”), (e) fund the Debt Service Reserve Account in an amount equal to the DSR Requirement, (f) pay the fees and expenses incurred in connection with the Transactions and (g) fund general corporate purposes.</w:t>
      </w:r>
    </w:p>
    <w:p>
      <w:pPr>
        <w:spacing w:after="0" w:line="149" w:lineRule="exact"/>
        <w:rPr>
          <w:rFonts w:ascii="Times New Roman" w:cs="Times New Roman" w:eastAsia="Times New Roman" w:hAnsi="Times New Roman"/>
          <w:sz w:val="21"/>
          <w:szCs w:val="21"/>
          <w:color w:val="auto"/>
        </w:rPr>
      </w:pPr>
    </w:p>
    <w:p>
      <w:pPr>
        <w:jc w:val="both"/>
        <w:ind w:firstLine="621"/>
        <w:spacing w:after="0" w:line="228" w:lineRule="auto"/>
        <w:tabs>
          <w:tab w:leader="none" w:pos="123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the proceeds of the Delayed Draw Term Loans to (i) fund capital expenditures and other costs with respect to the Project, (ii) fund the Debt Service Reserve Account in an amount equal to the DSR Requirement, (iii) pay the fees and expenses incurred in connection with the Transactions, (iv) reimburse, in the form of distributions to the Sponsor and/or its affiliates, any amount of capital call fundings made by the Sponsor and/or its affiliates on behalf of the Borrower or the Double E Joint Venture as a result of the Borrower not being able to utilize any remaining Delayed 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0620"/>
          </w:cols>
          <w:pgMar w:left="940" w:top="1339" w:right="339" w:bottom="1440" w:gutter="0" w:footer="0" w:header="0"/>
        </w:sectPr>
      </w:pPr>
    </w:p>
    <w:bookmarkStart w:id="190" w:name="page191"/>
    <w:bookmarkEnd w:id="190"/>
    <w:p>
      <w:pPr>
        <w:ind w:left="620"/>
        <w:spacing w:after="0"/>
        <w:rPr>
          <w:sz w:val="20"/>
          <w:szCs w:val="20"/>
          <w:color w:val="auto"/>
        </w:rPr>
      </w:pPr>
      <w:r>
        <w:rPr>
          <w:rFonts w:ascii="Times New Roman" w:cs="Times New Roman" w:eastAsia="Times New Roman" w:hAnsi="Times New Roman"/>
          <w:sz w:val="20"/>
          <w:szCs w:val="20"/>
          <w:color w:val="auto"/>
        </w:rPr>
        <w:t>Loan Commitments for such capital call fundings due to its inability to make the representation set forth in Section 5.07(c) and</w:t>
      </w:r>
    </w:p>
    <w:p>
      <w:pPr>
        <w:ind w:left="920" w:hanging="298"/>
        <w:spacing w:after="0"/>
        <w:tabs>
          <w:tab w:leader="none" w:pos="92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 general corporate purposes.</w:t>
      </w:r>
    </w:p>
    <w:p>
      <w:pPr>
        <w:spacing w:after="0" w:line="149" w:lineRule="exact"/>
        <w:rPr>
          <w:rFonts w:ascii="Times New Roman" w:cs="Times New Roman" w:eastAsia="Times New Roman" w:hAnsi="Times New Roman"/>
          <w:sz w:val="21"/>
          <w:szCs w:val="21"/>
          <w:color w:val="auto"/>
        </w:rPr>
      </w:pPr>
    </w:p>
    <w:p>
      <w:pPr>
        <w:ind w:left="620" w:firstLine="621"/>
        <w:spacing w:after="0" w:line="235" w:lineRule="auto"/>
        <w:tabs>
          <w:tab w:leader="none" w:pos="185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apply the proceeds from any Nuveen Incremental Term Facility towards the Incremental Term Facility Uses.</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5.20</w:t>
      </w:r>
      <w:r>
        <w:rPr>
          <w:sz w:val="20"/>
          <w:szCs w:val="20"/>
          <w:color w:val="auto"/>
        </w:rPr>
        <w:tab/>
      </w:r>
      <w:r>
        <w:rPr>
          <w:rFonts w:ascii="Times New Roman" w:cs="Times New Roman" w:eastAsia="Times New Roman" w:hAnsi="Times New Roman"/>
          <w:sz w:val="20"/>
          <w:szCs w:val="20"/>
          <w:u w:val="single" w:color="auto"/>
          <w:color w:val="auto"/>
        </w:rPr>
        <w:t>FCPA; USA PATRIOT Act; Anti-Terrorism Laws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25" w:lineRule="auto"/>
        <w:tabs>
          <w:tab w:leader="none" w:pos="185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the Double E Joint Venture and their respective directors, officers, and employees (acting for or on behalf of the Borrower or the Double E Joint Venture), and to the knowledge of the Borrower, their respective agents and controlled Subsidiaries, are in compliance with the Foreign Corrupt Practices Act of 1977, as amended, and the rules and regulations promulgated thereunder (the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and all other applicable anti-corruption laws. The Borrower and the Double E Joint Venture have instituted and maintain or are subject to policies and procedures designed to promote and achieve continued compliance with applicable laws, including the FCPA, bearing in mind the nature and scope of their existing business activities.</w:t>
      </w:r>
    </w:p>
    <w:p>
      <w:pPr>
        <w:spacing w:after="0" w:line="150" w:lineRule="exact"/>
        <w:rPr>
          <w:rFonts w:ascii="Times New Roman" w:cs="Times New Roman" w:eastAsia="Times New Roman" w:hAnsi="Times New Roman"/>
          <w:sz w:val="20"/>
          <w:szCs w:val="20"/>
          <w:color w:val="auto"/>
        </w:rPr>
      </w:pPr>
    </w:p>
    <w:p>
      <w:pPr>
        <w:jc w:val="both"/>
        <w:ind w:left="620" w:firstLine="621"/>
        <w:spacing w:after="0" w:line="215" w:lineRule="auto"/>
        <w:tabs>
          <w:tab w:leader="none" w:pos="1853"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applicable, the Borrower, the Double E Joint Venture and their respective directors, officers and employees (acting for or on behalf of the Borrower or the Double E Joint Venture), and to the knowledge of the Borrower, their respective agents and controlled Subsidiaries, are in compliance with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and (ii) applicable portions, if any, of the USA PATRIOT Act.</w:t>
      </w:r>
    </w:p>
    <w:p>
      <w:pPr>
        <w:spacing w:after="0" w:line="145" w:lineRule="exact"/>
        <w:rPr>
          <w:rFonts w:ascii="Times New Roman" w:cs="Times New Roman" w:eastAsia="Times New Roman" w:hAnsi="Times New Roman"/>
          <w:sz w:val="21"/>
          <w:szCs w:val="21"/>
          <w:color w:val="auto"/>
        </w:rPr>
      </w:pPr>
    </w:p>
    <w:p>
      <w:pPr>
        <w:ind w:left="620" w:firstLine="621"/>
        <w:spacing w:after="0" w:line="235" w:lineRule="auto"/>
        <w:tabs>
          <w:tab w:leader="none" w:pos="185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Borrower nor the Double E Joint Venture or their respective directors, officers, and employees or, to the knowledge of the Borrower, their respective agents and controlled Subsidiaries, is a Sanctioned Person.</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5.21</w:t>
      </w:r>
      <w:r>
        <w:rPr>
          <w:sz w:val="20"/>
          <w:szCs w:val="20"/>
          <w:color w:val="auto"/>
        </w:rPr>
        <w:tab/>
      </w: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No Default or Event of Default has occurred and is continuing.</w:t>
      </w:r>
    </w:p>
    <w:p>
      <w:pPr>
        <w:spacing w:after="0" w:line="171"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5.22 Nature of Business</w:t>
      </w:r>
      <w:r>
        <w:rPr>
          <w:rFonts w:ascii="Times New Roman" w:cs="Times New Roman" w:eastAsia="Times New Roman" w:hAnsi="Times New Roman"/>
          <w:sz w:val="21"/>
          <w:szCs w:val="21"/>
          <w:color w:val="auto"/>
        </w:rPr>
        <w:t>. Neither the Borrower nor the Double E Joint Venture has conducted any business other than the development, construction, ownership, financing, operation and maintenance of the Project and, in each case, activities related and incidental thereto.</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5.23 Accounts</w:t>
      </w:r>
      <w:r>
        <w:rPr>
          <w:rFonts w:ascii="Times New Roman" w:cs="Times New Roman" w:eastAsia="Times New Roman" w:hAnsi="Times New Roman"/>
          <w:sz w:val="21"/>
          <w:szCs w:val="21"/>
          <w:color w:val="auto"/>
        </w:rPr>
        <w:t>. Other than the Collateral Accounts and the Excluded Accounts, the Borrower does not have any “deposit accounts” or “securities accounts” as those terms are defined in Section 9-102(a) and Section 8-501, respectively, of the UCC, except any such account that will be terminated within thirty (30) days after the Closing Date.</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w:t>
      </w:r>
    </w:p>
    <w:p>
      <w:pPr>
        <w:ind w:left="4300"/>
        <w:spacing w:after="0"/>
        <w:rPr>
          <w:sz w:val="20"/>
          <w:szCs w:val="20"/>
          <w:color w:val="auto"/>
        </w:rPr>
      </w:pPr>
      <w:r>
        <w:rPr>
          <w:rFonts w:ascii="Times New Roman" w:cs="Times New Roman" w:eastAsia="Times New Roman" w:hAnsi="Times New Roman"/>
          <w:sz w:val="21"/>
          <w:szCs w:val="21"/>
          <w:color w:val="auto"/>
        </w:rPr>
        <w:t>AFFIRMATIVE COVENANTS</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Until Payment in Full, from and after the Closing Date, the Borrower shall, and solely to the extent </w:t>
      </w:r>
      <w:r>
        <w:rPr>
          <w:rFonts w:ascii="Times New Roman" w:cs="Times New Roman" w:eastAsia="Times New Roman" w:hAnsi="Times New Roman"/>
          <w:sz w:val="21"/>
          <w:szCs w:val="21"/>
          <w:u w:val="single" w:color="auto"/>
          <w:color w:val="auto"/>
        </w:rPr>
        <w:t>Sections 6.02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6.05(c)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6.16</w:t>
      </w:r>
      <w:r>
        <w:rPr>
          <w:rFonts w:ascii="Times New Roman" w:cs="Times New Roman" w:eastAsia="Times New Roman" w:hAnsi="Times New Roman"/>
          <w:sz w:val="21"/>
          <w:szCs w:val="21"/>
          <w:color w:val="auto"/>
        </w:rPr>
        <w:t xml:space="preserve"> expressly apply to the Double E Joint Venture, shall take Required Action to cause the Double E Joint Venture to (it being further understood and agreed that, as to any applicable covenant or obligation, if after the Borrower has taken Required Action with respect to the Double E Joint Venture and the Double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37" w:right="339" w:bottom="1440" w:gutter="0" w:footer="0" w:header="0"/>
        </w:sectPr>
      </w:pPr>
    </w:p>
    <w:bookmarkStart w:id="191" w:name="page192"/>
    <w:bookmarkEnd w:id="191"/>
    <w:p>
      <w:pPr>
        <w:spacing w:after="0" w:line="269" w:lineRule="auto"/>
        <w:rPr>
          <w:sz w:val="20"/>
          <w:szCs w:val="20"/>
          <w:color w:val="auto"/>
        </w:rPr>
      </w:pPr>
      <w:r>
        <w:rPr>
          <w:rFonts w:ascii="Times New Roman" w:cs="Times New Roman" w:eastAsia="Times New Roman" w:hAnsi="Times New Roman"/>
          <w:sz w:val="21"/>
          <w:szCs w:val="21"/>
          <w:color w:val="auto"/>
        </w:rPr>
        <w:t>E Joint Venture has not complied with such covenant or obligation, no Default or other breach of such covenant or obligation shall have occurred):</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6.01</w:t>
      </w:r>
      <w:r>
        <w:rPr>
          <w:sz w:val="20"/>
          <w:szCs w:val="20"/>
          <w:color w:val="auto"/>
        </w:rPr>
        <w:tab/>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11" w:lineRule="auto"/>
        <w:tabs>
          <w:tab w:leader="none" w:pos="185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fiscal year ended December 31, 2025, deliver to the Administrative Agent for prompt further distribution to each Lender, within one hundred twenty (120) days after the end of each fiscal year, a balance sheet of the Borrower and, as at the end of such fiscal year, the related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(other than resulting from the impending maturity of any Indebtedness);</w:t>
      </w:r>
    </w:p>
    <w:p>
      <w:pPr>
        <w:spacing w:after="0" w:line="151" w:lineRule="exact"/>
        <w:rPr>
          <w:rFonts w:ascii="Times New Roman" w:cs="Times New Roman" w:eastAsia="Times New Roman" w:hAnsi="Times New Roman"/>
          <w:sz w:val="21"/>
          <w:szCs w:val="21"/>
          <w:color w:val="auto"/>
        </w:rPr>
      </w:pPr>
    </w:p>
    <w:p>
      <w:pPr>
        <w:jc w:val="both"/>
        <w:ind w:left="620" w:firstLine="621"/>
        <w:spacing w:after="0" w:line="210" w:lineRule="auto"/>
        <w:tabs>
          <w:tab w:leader="none" w:pos="185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the Administrative Agent for prompt further distribution to each Lender, within forty-five (45) days after the end of each of the first three (3) fiscal quarters of each fiscal year of the Borrower, commencing with the fiscal quarter ending March 31, 2026, an unaudited balance sheet of the Borrower as at the end of such fiscal quarter and in comparative format, the prior fiscal year-end, and the related unaudited statements of income or operations for such fiscal quarter and the portion of the fiscal year then ended, setting forth in comparative form the figures for the corresponding fiscal quarter of the previous fiscal year and the corresponding portion of the previous fiscal year, and statements of stockholders’ equity for the current fiscal quarter and statement of cash flows for the portion of the fiscal year then ended, setting forth in each case in comparative form, the figures for the corresponding portion of the previous fiscal year, all in reasonable detail and certified by a Responsible Officer of the Borrower as fairly presenting in all material respects the financial condition, results of operations, stockholders’ equity and cash flows of the Borrower in accordance with GAAP, subject only to normal year-end audit adjustments and the absence of footnotes;</w:t>
      </w:r>
    </w:p>
    <w:p>
      <w:pPr>
        <w:spacing w:after="0" w:line="150" w:lineRule="exact"/>
        <w:rPr>
          <w:rFonts w:ascii="Times New Roman" w:cs="Times New Roman" w:eastAsia="Times New Roman" w:hAnsi="Times New Roman"/>
          <w:sz w:val="21"/>
          <w:szCs w:val="21"/>
          <w:color w:val="auto"/>
        </w:rPr>
      </w:pPr>
    </w:p>
    <w:p>
      <w:pPr>
        <w:jc w:val="both"/>
        <w:ind w:left="620" w:firstLine="621"/>
        <w:spacing w:after="0" w:line="211" w:lineRule="auto"/>
        <w:tabs>
          <w:tab w:leader="none" w:pos="185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fiscal year ended December 31, 2025, deliver to the Administrative Agent for prompt further distribution to each Lender, within one hundred twenty (120) days after the end of each fiscal year, a balance sheet of the Double E Joint Venture and, as at the end of such fiscal year, the related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contain any qualifications or exceptions as to the scope of such audit or any “going concern” explanatory paragraph or like qualification (other than resulting from the impending maturity of any Indebtedness); and</w:t>
      </w:r>
    </w:p>
    <w:p>
      <w:pPr>
        <w:spacing w:after="0" w:line="151" w:lineRule="exact"/>
        <w:rPr>
          <w:rFonts w:ascii="Times New Roman" w:cs="Times New Roman" w:eastAsia="Times New Roman" w:hAnsi="Times New Roman"/>
          <w:sz w:val="21"/>
          <w:szCs w:val="21"/>
          <w:color w:val="auto"/>
        </w:rPr>
      </w:pPr>
    </w:p>
    <w:p>
      <w:pPr>
        <w:jc w:val="both"/>
        <w:ind w:left="620" w:firstLine="621"/>
        <w:spacing w:after="0" w:line="217" w:lineRule="auto"/>
        <w:tabs>
          <w:tab w:leader="none" w:pos="185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the Administrative Agent for prompt further distribution to each Lender, within forty-five (45) days after the end of each of the first three (3) fiscal quarters of each fiscal year of the Double E Joint Venture, commencing with the fiscal quarter ending March 31, 2026, a balance sheet of the Double E Joint Venture as at the end of such fiscal quarter and in comparative format, the prior fiscal year-end and the related statements of income or operations for such fiscal quarter and the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65" w:right="339" w:bottom="1440" w:gutter="0" w:footer="0" w:header="0"/>
        </w:sectPr>
      </w:pPr>
    </w:p>
    <w:bookmarkStart w:id="192" w:name="page193"/>
    <w:bookmarkEnd w:id="192"/>
    <w:p>
      <w:pPr>
        <w:jc w:val="both"/>
        <w:ind w:left="620"/>
        <w:spacing w:after="0" w:line="213" w:lineRule="auto"/>
        <w:rPr>
          <w:sz w:val="20"/>
          <w:szCs w:val="20"/>
          <w:color w:val="auto"/>
        </w:rPr>
      </w:pPr>
      <w:r>
        <w:rPr>
          <w:rFonts w:ascii="Times New Roman" w:cs="Times New Roman" w:eastAsia="Times New Roman" w:hAnsi="Times New Roman"/>
          <w:sz w:val="21"/>
          <w:szCs w:val="21"/>
          <w:color w:val="auto"/>
        </w:rPr>
        <w:t>fiscal year then ended, setting forth in comparative form the figures for the corresponding fiscal quarter of the previous fiscal year and the corresponding portion of the previous fiscal year, and statements of stockholders’ equity for the current fiscal quarter and statement of cash flows for the portion of the fiscal year then ended, setting forth in each case in comparative form, the figures for the corresponding portion of the previous fiscal year, all in reasonable detail and certified by a Responsible Officer of the Borrower as fairly presenting in all material respects the financial condition, results of operations, stockholders’ equity and cash flows of the Double E Joint Venture, in accordance with GAAP, subject only to normal year-end audit adjustments and the absence of footnotes;</w:t>
      </w:r>
    </w:p>
    <w:p>
      <w:pPr>
        <w:spacing w:after="0" w:line="17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Documents required to be delivered pursuant to this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may be delivered electronically and if so delivered, shall be deemed to have been delivered on the date (i) on which the Borrower (or any direct or indirect parent of the Borrower) posts such documents, or provides a link thereto on the website on the Internet at the Borrower’s website, or (ii) on which such documents are posted on the Borrower’s behalf on IntraLinks, Debtdomain, Roadshow Access (each if applicable) or another relevant website, if any, to which each Lender and the Administrative Agent have access (whether a commercial, third-party website or whether sponsored by the Administrative Agent), in each case the access thereto may be subject to password protection and may require customary acknowledgements, including with respect to confidentiality;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upon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60"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6.02 Maintenance of Insurance</w:t>
      </w:r>
      <w:r>
        <w:rPr>
          <w:rFonts w:ascii="Times New Roman" w:cs="Times New Roman" w:eastAsia="Times New Roman" w:hAnsi="Times New Roman"/>
          <w:sz w:val="21"/>
          <w:szCs w:val="21"/>
          <w:color w:val="auto"/>
        </w:rPr>
        <w:t>. Maintain with financially sound and reputable insurance companies, insurance with respect to the Borrower’s and the Double E Joint Venture’s properties and business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except where the failure to maintain such insurance would not, individually or in the aggregate, reasonably be expected to have a Material Adverse Effect on the Borrower or the Double E Joint Venture.</w:t>
      </w:r>
    </w:p>
    <w:p>
      <w:pPr>
        <w:spacing w:after="0" w:line="146"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6.03 Energy Regulatory Matters</w:t>
      </w:r>
      <w:r>
        <w:rPr>
          <w:rFonts w:ascii="Times New Roman" w:cs="Times New Roman" w:eastAsia="Times New Roman" w:hAnsi="Times New Roman"/>
          <w:sz w:val="21"/>
          <w:szCs w:val="21"/>
          <w:color w:val="auto"/>
        </w:rPr>
        <w:t>. The Borrower shall not be subject to the jurisdiction of the Federal Energy Regulatory Commission as a “natural gas company” pursuant to the Natural Gas Act and shall not become subject to such jurisdiction as a result of the Loans contemplated in this Agreement. Double E Joint Venture is a “natural gas company” subject to the jurisdiction of the Federal Energy Regulatory Commission pursuant to the Natural Gas Act, and as such, Double E Joint Venture shall comply with all applicable regulations and requirements of the Federal Energy Regulatory Commission and with the terms of and conditions of its certificate of public convenience and necessity for the Project, except to the extent that its failure to comply would not result in a Material Adverse Effect on the Double 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39" w:right="339" w:bottom="1440" w:gutter="0" w:footer="0" w:header="0"/>
        </w:sectPr>
      </w:pPr>
    </w:p>
    <w:bookmarkStart w:id="193" w:name="page194"/>
    <w:bookmarkEnd w:id="193"/>
    <w:p>
      <w:pPr>
        <w:ind w:left="620"/>
        <w:spacing w:after="0"/>
        <w:tabs>
          <w:tab w:leader="none" w:pos="1880" w:val="left"/>
        </w:tabs>
        <w:rPr>
          <w:sz w:val="20"/>
          <w:szCs w:val="20"/>
          <w:color w:val="auto"/>
        </w:rPr>
      </w:pPr>
      <w:r>
        <w:rPr>
          <w:rFonts w:ascii="Times New Roman" w:cs="Times New Roman" w:eastAsia="Times New Roman" w:hAnsi="Times New Roman"/>
          <w:sz w:val="21"/>
          <w:szCs w:val="21"/>
          <w:u w:val="single" w:color="auto"/>
          <w:color w:val="auto"/>
        </w:rPr>
        <w:t>Section 6.04</w:t>
      </w:r>
      <w:r>
        <w:rPr>
          <w:sz w:val="20"/>
          <w:szCs w:val="20"/>
          <w:color w:val="auto"/>
        </w:rPr>
        <w:tab/>
      </w:r>
      <w:r>
        <w:rPr>
          <w:rFonts w:ascii="Times New Roman" w:cs="Times New Roman" w:eastAsia="Times New Roman" w:hAnsi="Times New Roman"/>
          <w:sz w:val="21"/>
          <w:szCs w:val="21"/>
          <w:u w:val="single" w:color="auto"/>
          <w:color w:val="auto"/>
        </w:rPr>
        <w:t>Certificates; Other Information</w:t>
      </w:r>
      <w:r>
        <w:rPr>
          <w:rFonts w:ascii="Times New Roman" w:cs="Times New Roman" w:eastAsia="Times New Roman" w:hAnsi="Times New Roman"/>
          <w:sz w:val="21"/>
          <w:szCs w:val="21"/>
          <w:color w:val="auto"/>
        </w:rPr>
        <w:t>. Deliver to the Administrative Agent for prompt further distribution to each</w:t>
      </w:r>
    </w:p>
    <w:p>
      <w:pPr>
        <w:spacing w:after="0"/>
        <w:rPr>
          <w:sz w:val="20"/>
          <w:szCs w:val="20"/>
          <w:color w:val="auto"/>
        </w:rPr>
      </w:pPr>
      <w:r>
        <w:rPr>
          <w:rFonts w:ascii="Times New Roman" w:cs="Times New Roman" w:eastAsia="Times New Roman" w:hAnsi="Times New Roman"/>
          <w:sz w:val="21"/>
          <w:szCs w:val="21"/>
          <w:color w:val="auto"/>
        </w:rPr>
        <w:t>Lender:</w:t>
      </w:r>
    </w:p>
    <w:p>
      <w:pPr>
        <w:spacing w:after="0" w:line="149" w:lineRule="exact"/>
        <w:rPr>
          <w:sz w:val="20"/>
          <w:szCs w:val="20"/>
          <w:color w:val="auto"/>
        </w:rPr>
      </w:pPr>
    </w:p>
    <w:p>
      <w:pPr>
        <w:ind w:left="620" w:firstLine="621"/>
        <w:spacing w:after="0" w:line="235" w:lineRule="auto"/>
        <w:tabs>
          <w:tab w:leader="none" w:pos="185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later than five (5) Business Days after the actual delivery of the financial statements referred to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 duly completed Compliance Certificate signed by a Responsible Officer of the Borrower;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2" w:lineRule="auto"/>
        <w:tabs>
          <w:tab w:leader="none" w:pos="1853"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case no later than five (5) Business Days after actual receipt thereof, (i) (A) each Development Budget Amendment, Proposed Operating Budget, Operating Budget, Operating Budget Amendment and any other budget of the Double E Joint Venture relating to the Project, (B) each Construction Opportunity and Construction Opportunity Budget and any amendment thereto, (C) each amendment to the Capacity Policy or the Project Execution Plan, (D) each Capital Call Forecast and Capital Call Notice, and (E) other reports and information provided to the Borrower pursuant to and as defined in the JV LLC Agreement (in each case, other than ministerial documentation) (with capitalized terms used in this clause (i) but not defined in this Agreement having the meanings given to such terms in the JV LLC Agreement) and (ii) any amendment, waiver or other modification of the JV LLC Agreement;</w:t>
      </w:r>
    </w:p>
    <w:p>
      <w:pPr>
        <w:spacing w:after="0" w:line="149" w:lineRule="exact"/>
        <w:rPr>
          <w:rFonts w:ascii="Times New Roman" w:cs="Times New Roman" w:eastAsia="Times New Roman" w:hAnsi="Times New Roman"/>
          <w:sz w:val="21"/>
          <w:szCs w:val="21"/>
          <w:color w:val="auto"/>
        </w:rPr>
      </w:pPr>
    </w:p>
    <w:p>
      <w:pPr>
        <w:jc w:val="both"/>
        <w:ind w:left="620" w:firstLine="621"/>
        <w:spacing w:after="0" w:line="217" w:lineRule="auto"/>
        <w:tabs>
          <w:tab w:leader="none" w:pos="185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with the fiscal year ending December 31, 2026, within thirty (30) days after the end of each fiscal year, a completed “Responsible Investing Toolkit”-survey (in the form delivered to the Borrower on February 5, 2026);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compliance with this covenant shall be satisfied solely by the delivery of such survey and (ii) any failure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demonstrate, achieve, maintain or otherwise satisfy any specific criteria, levels, ratings or scores (or similar measurements) shall not constitute a Default or other breach of this covenant or the obligations hereunder;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solely to the extent an “Operating Budget”, under and as defined in the JV LLC Agreement, is no longer produced to the Borrower and delivered to the Administrative Agent in accordance with </w:t>
      </w:r>
      <w:r>
        <w:rPr>
          <w:rFonts w:ascii="Times New Roman" w:cs="Times New Roman" w:eastAsia="Times New Roman" w:hAnsi="Times New Roman"/>
          <w:sz w:val="21"/>
          <w:szCs w:val="21"/>
          <w:u w:val="single" w:color="auto"/>
          <w:color w:val="auto"/>
        </w:rPr>
        <w:t>Section 6.04(b)</w:t>
      </w:r>
      <w:r>
        <w:rPr>
          <w:rFonts w:ascii="Times New Roman" w:cs="Times New Roman" w:eastAsia="Times New Roman" w:hAnsi="Times New Roman"/>
          <w:sz w:val="21"/>
          <w:szCs w:val="21"/>
          <w:color w:val="auto"/>
        </w:rPr>
        <w:t>, within thirty (30) days prior to the end of each fiscal year, the Annual Budget of Double E Joint Venture; and</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and in any case no later than five (5) Business Days, such material amendments and additional material information regarding the business, legal, financial or corporate affairs of the Borrower, or compliance with the terms of the Loan Documents, as the Administrative Agent or any Lender through the Administrative Agent may from time to time reasonably request.</w:t>
      </w:r>
    </w:p>
    <w:p>
      <w:pPr>
        <w:spacing w:after="0" w:line="133"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21"/>
          <w:szCs w:val="21"/>
          <w:u w:val="single" w:color="auto"/>
          <w:color w:val="auto"/>
        </w:rPr>
        <w:t>Section 6.05</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Promptly, and in any case no later than 5 (five) Business Days after a Responsible Officer of the</w:t>
      </w:r>
    </w:p>
    <w:p>
      <w:pPr>
        <w:spacing w:after="0" w:line="205" w:lineRule="auto"/>
        <w:rPr>
          <w:sz w:val="20"/>
          <w:szCs w:val="20"/>
          <w:color w:val="auto"/>
        </w:rPr>
      </w:pPr>
      <w:r>
        <w:rPr>
          <w:rFonts w:ascii="Times New Roman" w:cs="Times New Roman" w:eastAsia="Times New Roman" w:hAnsi="Times New Roman"/>
          <w:sz w:val="21"/>
          <w:szCs w:val="21"/>
          <w:color w:val="auto"/>
        </w:rPr>
        <w:t>Borrower has obtained knowledge thereof, notify the Administrative Agent:</w:t>
      </w:r>
    </w:p>
    <w:p>
      <w:pPr>
        <w:ind w:left="1860" w:hanging="619"/>
        <w:spacing w:after="0"/>
        <w:tabs>
          <w:tab w:leader="none" w:pos="18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Default or Event of Default;</w:t>
      </w:r>
    </w:p>
    <w:p>
      <w:pPr>
        <w:spacing w:after="0" w:line="149" w:lineRule="exact"/>
        <w:rPr>
          <w:rFonts w:ascii="Times New Roman" w:cs="Times New Roman" w:eastAsia="Times New Roman" w:hAnsi="Times New Roman"/>
          <w:sz w:val="21"/>
          <w:szCs w:val="21"/>
          <w:color w:val="auto"/>
        </w:rPr>
      </w:pPr>
    </w:p>
    <w:p>
      <w:pPr>
        <w:ind w:left="620" w:firstLine="621"/>
        <w:spacing w:after="0" w:line="235" w:lineRule="auto"/>
        <w:tabs>
          <w:tab w:leader="none" w:pos="1853"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matter that has resulted or would reasonably be expected to result in a Material Adverse Effect on the Borrower or the Double E Joint Venture;</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filing or commencement of any material action, suit, litigation or proceeding, whether at law or in equity by or before any Governmental Authority, (i) against the Borrower or the Double E Joint Venture, or (ii) with respect to any Loan Document;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changes in the beneficial ownership of the Borrower or the Double 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26" w:right="339" w:bottom="1440" w:gutter="0" w:footer="0" w:header="0"/>
        </w:sectPr>
      </w:pPr>
    </w:p>
    <w:bookmarkStart w:id="194" w:name="page195"/>
    <w:bookmarkEnd w:id="194"/>
    <w:p>
      <w:pPr>
        <w:ind w:left="1860" w:hanging="619"/>
        <w:spacing w:after="0"/>
        <w:tabs>
          <w:tab w:leader="none" w:pos="186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Casualty Event reasonably expected by the Borrower to be in excess of $5,000,000; and</w:t>
      </w:r>
    </w:p>
    <w:p>
      <w:pPr>
        <w:spacing w:after="0" w:line="182" w:lineRule="exact"/>
        <w:rPr>
          <w:rFonts w:ascii="Times New Roman" w:cs="Times New Roman" w:eastAsia="Times New Roman" w:hAnsi="Times New Roman"/>
          <w:sz w:val="20"/>
          <w:szCs w:val="20"/>
          <w:color w:val="auto"/>
        </w:rPr>
      </w:pPr>
    </w:p>
    <w:p>
      <w:pPr>
        <w:ind w:left="620" w:firstLine="621"/>
        <w:spacing w:after="0" w:line="235" w:lineRule="auto"/>
        <w:tabs>
          <w:tab w:leader="none" w:pos="1857"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 material ERISA Event with respect to which the Borrower has received a written notice from the Double E Joint Venture.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accompanied by a written statement of a Responsible Officer of the Borrower</w:t>
      </w:r>
    </w:p>
    <w:p>
      <w:pPr>
        <w:spacing w:after="0" w:line="37" w:lineRule="exact"/>
        <w:rPr>
          <w:sz w:val="20"/>
          <w:szCs w:val="20"/>
          <w:color w:val="auto"/>
        </w:rPr>
      </w:pPr>
    </w:p>
    <w:p>
      <w:pPr>
        <w:jc w:val="both"/>
        <w:ind w:firstLine="3"/>
        <w:spacing w:after="0" w:line="251" w:lineRule="auto"/>
        <w:tabs>
          <w:tab w:leader="none" w:pos="309"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stating that such notice is being delivered pursuant to Section 6.05(a), (b), (c), (d), (e) or (f) (as applicable) and (y) describing in reasonable detail of the occurrence referred to therein and stating in reasonable detail what action the Borrower has taken and proposes to take with respect thereto.</w:t>
      </w:r>
    </w:p>
    <w:p>
      <w:pPr>
        <w:spacing w:after="0" w:line="149"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6.06 Payment of Tax Obligations</w:t>
      </w:r>
      <w:r>
        <w:rPr>
          <w:rFonts w:ascii="Times New Roman" w:cs="Times New Roman" w:eastAsia="Times New Roman" w:hAnsi="Times New Roman"/>
          <w:sz w:val="21"/>
          <w:szCs w:val="21"/>
          <w:color w:val="auto"/>
        </w:rPr>
        <w:t>. Pay, discharge or otherwise satisfy as the same shall become due and payable in the normal conduct of the Borrower’s and the Double E Joint Venture’s business, all of their material obligations and liabilities in respect of U.S. federal income and other material Taxes imposed upon them or upon their income or profits or in respect of their property, except, in each case, to the extent any such Tax is being contested in good faith and by appropriate proceedings for which appropriate reserves have been established in accordance with GAAP.</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6.07</w:t>
      </w:r>
      <w:r>
        <w:rPr>
          <w:sz w:val="20"/>
          <w:szCs w:val="20"/>
          <w:color w:val="auto"/>
        </w:rPr>
        <w:tab/>
      </w:r>
      <w:r>
        <w:rPr>
          <w:rFonts w:ascii="Times New Roman" w:cs="Times New Roman" w:eastAsia="Times New Roman" w:hAnsi="Times New Roman"/>
          <w:sz w:val="20"/>
          <w:szCs w:val="20"/>
          <w:u w:val="single" w:color="auto"/>
          <w:color w:val="auto"/>
        </w:rPr>
        <w:t>Preservation of Existence, Etc</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620" w:firstLine="621"/>
        <w:spacing w:after="0" w:line="235" w:lineRule="auto"/>
        <w:tabs>
          <w:tab w:leader="none" w:pos="1854"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Preserve, renew and maintain in full force and effect the Borrower’s and the Double E Joint Venture’s legal existence under the Laws of the jurisdiction of their organization; and</w:t>
      </w:r>
    </w:p>
    <w:p>
      <w:pPr>
        <w:spacing w:after="0" w:line="145" w:lineRule="exact"/>
        <w:rPr>
          <w:rFonts w:ascii="Times New Roman" w:cs="Times New Roman" w:eastAsia="Times New Roman" w:hAnsi="Times New Roman"/>
          <w:sz w:val="21"/>
          <w:szCs w:val="21"/>
          <w:color w:val="auto"/>
        </w:rPr>
      </w:pPr>
    </w:p>
    <w:p>
      <w:pPr>
        <w:ind w:left="620" w:firstLine="621"/>
        <w:spacing w:after="0" w:line="235" w:lineRule="auto"/>
        <w:tabs>
          <w:tab w:leader="none" w:pos="185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all reasonable action to maintain all rights, privileges (including their good standing where applicable in the relevant jurisdiction), permits, licenses and franchises necessary or desirable in the normal conduct of their business,</w:t>
      </w:r>
    </w:p>
    <w:p>
      <w:pPr>
        <w:spacing w:after="0" w:line="172" w:lineRule="exact"/>
        <w:rPr>
          <w:sz w:val="20"/>
          <w:szCs w:val="20"/>
          <w:color w:val="auto"/>
        </w:rPr>
      </w:pPr>
    </w:p>
    <w:p>
      <w:pPr>
        <w:jc w:val="both"/>
        <w:ind w:left="620" w:firstLine="619"/>
        <w:spacing w:after="0" w:line="256" w:lineRule="auto"/>
        <w:rPr>
          <w:sz w:val="20"/>
          <w:szCs w:val="20"/>
          <w:color w:val="auto"/>
        </w:rPr>
      </w:pPr>
      <w:r>
        <w:rPr>
          <w:rFonts w:ascii="Times New Roman" w:cs="Times New Roman" w:eastAsia="Times New Roman" w:hAnsi="Times New Roman"/>
          <w:sz w:val="21"/>
          <w:szCs w:val="21"/>
          <w:color w:val="auto"/>
        </w:rPr>
        <w:t xml:space="preserve">except, in each case, (i) to the extent that failure to do so would not reasonably be expected to have, individually or in the aggregate, a Material Adverse Effect on the Borrower or the Double E Joint Venture, or (ii) pursuant to a transaction permitted by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6.08</w:t>
      </w:r>
      <w:r>
        <w:rPr>
          <w:sz w:val="20"/>
          <w:szCs w:val="20"/>
          <w:color w:val="auto"/>
        </w:rPr>
        <w:tab/>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25" w:lineRule="auto"/>
        <w:tabs>
          <w:tab w:leader="none" w:pos="1854"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in all material respects with the requirements of all Laws, including applicable Sanctions, anti-corruption and anti-money laundering rules and regulations, with respect to the Borrower and the Double E Joint Venture, and all material orders, writs, injunctions and decrees applicable to them or to their business or property.</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or be subject to policies and procedures designed to promote and achieve continued compliance with (i) the FCPA in all respects and (ii) all other applicable laws in all material respects, in each case bearing in mind the nature and scope of the Borrower’s and Double E Joint Venture’s business activities.</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6.09 Books and Records</w:t>
      </w:r>
      <w:r>
        <w:rPr>
          <w:rFonts w:ascii="Times New Roman" w:cs="Times New Roman" w:eastAsia="Times New Roman" w:hAnsi="Times New Roman"/>
          <w:sz w:val="21"/>
          <w:szCs w:val="21"/>
          <w:color w:val="auto"/>
        </w:rPr>
        <w:t>. Maintain proper books of record and account, in which entries are full, true and correct in all material respects and are in conformity with GAAP consistently applied and which reflect all material financial transactions and matters involving the material assets and business of the Borrower and the Double E Joint Venture,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39" w:right="339" w:bottom="1440" w:gutter="0" w:footer="0" w:header="0"/>
        </w:sectPr>
      </w:pPr>
    </w:p>
    <w:bookmarkStart w:id="195" w:name="page196"/>
    <w:bookmarkEnd w:id="195"/>
    <w:p>
      <w:pPr>
        <w:jc w:val="both"/>
        <w:ind w:firstLine="619"/>
        <w:spacing w:after="0" w:line="219" w:lineRule="auto"/>
        <w:rPr>
          <w:sz w:val="20"/>
          <w:szCs w:val="20"/>
          <w:color w:val="auto"/>
        </w:rPr>
      </w:pPr>
      <w:r>
        <w:rPr>
          <w:rFonts w:ascii="Times New Roman" w:cs="Times New Roman" w:eastAsia="Times New Roman" w:hAnsi="Times New Roman"/>
          <w:sz w:val="20"/>
          <w:szCs w:val="20"/>
          <w:u w:val="single" w:color="auto"/>
          <w:color w:val="auto"/>
        </w:rPr>
        <w:t>Section 6.10 Inspection Rights</w:t>
      </w:r>
      <w:r>
        <w:rPr>
          <w:rFonts w:ascii="Times New Roman" w:cs="Times New Roman" w:eastAsia="Times New Roman" w:hAnsi="Times New Roman"/>
          <w:sz w:val="20"/>
          <w:szCs w:val="20"/>
          <w:color w:val="auto"/>
        </w:rPr>
        <w:t xml:space="preserve">. Permit representatives and independent contractors of the Administrative Agent, Collateral Agent and each Lender to visit and inspect any of the Borrower’s or the Double E Joint Venture’s corporate offices, to examine their corporate, financial and operating records, and make copies thereof or abstracts therefrom, and to discuss their affairs, finances and accounts with their directors, officers, and independent public accountants (subject to such accountants’ customary policies and procedures), in each case at the sole expense of the Administrative Agent, Collateral Agent and each Lender, as applicable, and at such reasonable times during normal business hours and upon reasonable advance written notice to the Borrower or the Double E Joint Venture, as applicable, and subject to the confidentiality provisions set forth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the Administrative Agent shall not exercise such rights more often than one (1) time during any calendar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when an Event of Default exists, the Administrative Agent, the Collateral Agent or any Lender (or any of their respective representatives or independent contractors) may do any of the foregoing at the expense of the Borrower or the Double E Joint Venture, as applicable, at any time during normal business hours and upon reasonable advance notice. Notwithstanding anything to the contrary in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the Borrower and the Double E Joint Venture shall not be required to disclose, or permit the inspection, examination or making copies or abstracts of, or discussion of, any document, information or other matter that (i) constitutes non-financial trade secrets or non-financial proprietary information, (ii) in respect of which disclosure to the Administrative Agent, the Collateral Agent or any Lender (or their respective representatives or contractors) is prohibited by Law, or (iii) is subject to attorney-client or similar privilege or constitutes attorney work-product.</w:t>
      </w:r>
    </w:p>
    <w:p>
      <w:pPr>
        <w:spacing w:after="0" w:line="145"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u w:val="single" w:color="auto"/>
          <w:color w:val="auto"/>
        </w:rPr>
        <w:t>Section 6.11 Additional Collateral</w:t>
      </w:r>
      <w:r>
        <w:rPr>
          <w:rFonts w:ascii="Times New Roman" w:cs="Times New Roman" w:eastAsia="Times New Roman" w:hAnsi="Times New Roman"/>
          <w:sz w:val="21"/>
          <w:szCs w:val="21"/>
          <w:color w:val="auto"/>
        </w:rPr>
        <w:t>. Take all action necessary or reasonably requested by the Administrative Agent or the Collateral Agent to ensure that the Collateral Requirement continues to be satisfied, including if reasonably requested by the Administrative Agent or, at the direction of the Administrative Agent, the Collateral Agent, within ten (10) Business Days, after such request (or such longer period as (x) may be reasonably necessary to deliver items that are not, with commercially reasonable efforts, deliverable within such initial period or (y) that the Administrative Agent in its discretion or the Collateral Agent (as directed by the Administrative Agent) may agree in writing in its judgment), deliver to the Collateral Agent any items necessary from time to time to satisfy the Collateral Requirement with respect to perfection and existence of security interests with respect to property of the Borrower acquired after the Closing Date and subject to the Collateral Requirement.</w:t>
      </w:r>
    </w:p>
    <w:p>
      <w:pPr>
        <w:spacing w:after="0" w:line="150"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6.12 Further Assurances</w:t>
      </w:r>
      <w:r>
        <w:rPr>
          <w:rFonts w:ascii="Times New Roman" w:cs="Times New Roman" w:eastAsia="Times New Roman" w:hAnsi="Times New Roman"/>
          <w:sz w:val="21"/>
          <w:szCs w:val="21"/>
          <w:color w:val="auto"/>
        </w:rPr>
        <w:t>. Promptly upon reasonable request by the Administrative Agent or the Collateral Agent (at the direction of the Administrative Agent) (a) correct any material defect or error that may be discovered in the execution, acknowledgment, filing or recordation of the First Lien Intercreditor Agreement or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the First Lien Intercreditor Agreement or the Collateral Documents, to the extent required pursuant to the Collateral Requirement.</w:t>
      </w:r>
    </w:p>
    <w:p>
      <w:pPr>
        <w:spacing w:after="0" w:line="150"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6.13 Separateness</w:t>
      </w:r>
      <w:r>
        <w:rPr>
          <w:rFonts w:ascii="Times New Roman" w:cs="Times New Roman" w:eastAsia="Times New Roman" w:hAnsi="Times New Roman"/>
          <w:sz w:val="21"/>
          <w:szCs w:val="21"/>
          <w:color w:val="auto"/>
        </w:rPr>
        <w:t>. Each of the Borrower and the Double E Joint Venture shall not take any action that is reasonably likely to result in its separate existence being ignored or in its assets and liabilities being substantively consolidated with any other Person in a bankruptcy, reorganization, or other insolvency proceeding. Without limiting the foregoing and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3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1"/>
          <w:szCs w:val="21"/>
          <w:color w:val="auto"/>
        </w:rPr>
        <w:t>contemplated by the Loan Documents, each of the Borrower and the Double E Joint Venture shall, at all times:</w:t>
      </w:r>
    </w:p>
    <w:p>
      <w:pPr>
        <w:spacing w:after="0" w:line="171" w:lineRule="exact"/>
        <w:rPr>
          <w:sz w:val="20"/>
          <w:szCs w:val="20"/>
          <w:color w:val="auto"/>
        </w:rPr>
      </w:pPr>
    </w:p>
    <w:p>
      <w:pPr>
        <w:ind w:left="620" w:firstLine="621"/>
        <w:spacing w:after="0" w:line="235" w:lineRule="auto"/>
        <w:tabs>
          <w:tab w:leader="none" w:pos="1854"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in all material respects its own business in its own name and through authorized agents pursuant to its Organization Documents;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separate bank accounts in its own name and separate from those of any Affiliate; and</w:t>
      </w:r>
    </w:p>
    <w:p>
      <w:pPr>
        <w:spacing w:after="0" w:line="171"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4"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allow funds or other assets to be commingled with the funds and other assets of, held by, or registered in the name of, any Affiliate, and maintain its assets in such a manner that it is not costly or difficult to identify or ascertain such assets.</w:t>
      </w:r>
    </w:p>
    <w:p>
      <w:pPr>
        <w:spacing w:after="0" w:line="146"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6.14 Maintenance of Properties</w:t>
      </w:r>
      <w:r>
        <w:rPr>
          <w:rFonts w:ascii="Times New Roman" w:cs="Times New Roman" w:eastAsia="Times New Roman" w:hAnsi="Times New Roman"/>
          <w:sz w:val="21"/>
          <w:szCs w:val="21"/>
          <w:color w:val="auto"/>
        </w:rPr>
        <w:t>. Except if the failure to do so could not reasonably be expected to have, individually or in the aggregate, a Material Adverse Effect, maintain, preserve and protect all of the Borrower’s and the Double E Joint Venture’s material properties and equipment necessary in the operation of their business in good working order, repair and condition, ordinary wear and tear excepted and fire, casualty or condemnation excepted.</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6.15 Maintenance of Collateral Accounts</w:t>
      </w:r>
      <w:r>
        <w:rPr>
          <w:rFonts w:ascii="Times New Roman" w:cs="Times New Roman" w:eastAsia="Times New Roman" w:hAnsi="Times New Roman"/>
          <w:sz w:val="21"/>
          <w:szCs w:val="21"/>
          <w:color w:val="auto"/>
        </w:rPr>
        <w:t xml:space="preserve">. Maintain each Collateral Account and Excluded Account, to the extent required under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or any other applicable provision of any Loan Document.</w:t>
      </w:r>
    </w:p>
    <w:p>
      <w:pPr>
        <w:spacing w:after="0" w:line="146"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6.16 Accounting Changes</w:t>
      </w:r>
      <w:r>
        <w:rPr>
          <w:rFonts w:ascii="Times New Roman" w:cs="Times New Roman" w:eastAsia="Times New Roman" w:hAnsi="Times New Roman"/>
          <w:sz w:val="21"/>
          <w:szCs w:val="21"/>
          <w:color w:val="auto"/>
        </w:rPr>
        <w:t>. Promptly, and in any case no later than ten (10) Business Days after any change in their respective fiscal years, the Borrower or the Double E Joint Venture, as applicable, shall provide written notice to the Administrative Agent or any such change in its fiscal year, in which case, the Borrower and the Administrative Agent will, and are hereby authorized by the Lenders to, make any adjustments to this Agreement that are necessary to reflect such change in fiscal year.</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6.17 Preservation of Status as Senior Debt</w:t>
      </w:r>
      <w:r>
        <w:rPr>
          <w:rFonts w:ascii="Times New Roman" w:cs="Times New Roman" w:eastAsia="Times New Roman" w:hAnsi="Times New Roman"/>
          <w:sz w:val="21"/>
          <w:szCs w:val="21"/>
          <w:color w:val="auto"/>
        </w:rPr>
        <w:t xml:space="preserve">. This Agreement, and the Obligations evidenced hereby, are and will at all times rank in right of payment at least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without preference or priority, with all other senior Indebtedness of the Borrower (including any other Pari Passu Permitted Debt), whether now existing or hereafter outstanding; provided, however, that any Super-Priority Permitted Indebtedness shall rank senior in right of payment and enforcement to the Obligations and all other obligations under any Pari Passu Permitted Debt.</w:t>
      </w:r>
    </w:p>
    <w:p>
      <w:pPr>
        <w:spacing w:after="0" w:line="146"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6.18 Maintenance of Rating</w:t>
      </w:r>
      <w:r>
        <w:rPr>
          <w:rFonts w:ascii="Times New Roman" w:cs="Times New Roman" w:eastAsia="Times New Roman" w:hAnsi="Times New Roman"/>
          <w:sz w:val="21"/>
          <w:szCs w:val="21"/>
          <w:color w:val="auto"/>
        </w:rPr>
        <w:t>. Use commercially reasonable efforts to (i) assist the Sole Lead Arranger in the process of obtaining (on or prior to December 31, 2026 or such earlier date as reasonably agreed between the Administrative Agent and the Borrower) and thereafter (ii) maintain, a private letter credit rating (but not to obtain or maintain any specific rating) from any one of S&amp;P, Fitch, Moody’s and Kroll, or any other rating agency mutually agreed by the Administrative Agent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39" w:right="339" w:bottom="1440" w:gutter="0" w:footer="0" w:header="0"/>
        </w:sectPr>
      </w:pPr>
    </w:p>
    <w:bookmarkStart w:id="197" w:name="page198"/>
    <w:bookmarkEnd w:id="197"/>
    <w:p>
      <w:pPr>
        <w:ind w:left="5000"/>
        <w:spacing w:after="0"/>
        <w:rPr>
          <w:sz w:val="20"/>
          <w:szCs w:val="20"/>
          <w:color w:val="auto"/>
        </w:rPr>
      </w:pPr>
      <w:r>
        <w:rPr>
          <w:rFonts w:ascii="Times New Roman" w:cs="Times New Roman" w:eastAsia="Times New Roman" w:hAnsi="Times New Roman"/>
          <w:sz w:val="21"/>
          <w:szCs w:val="21"/>
          <w:color w:val="auto"/>
        </w:rPr>
        <w:t>Article VII</w:t>
      </w:r>
    </w:p>
    <w:p>
      <w:pPr>
        <w:ind w:left="4460"/>
        <w:spacing w:after="0"/>
        <w:rPr>
          <w:sz w:val="20"/>
          <w:szCs w:val="20"/>
          <w:color w:val="auto"/>
        </w:rPr>
      </w:pPr>
      <w:r>
        <w:rPr>
          <w:rFonts w:ascii="Times New Roman" w:cs="Times New Roman" w:eastAsia="Times New Roman" w:hAnsi="Times New Roman"/>
          <w:sz w:val="21"/>
          <w:szCs w:val="21"/>
          <w:color w:val="auto"/>
        </w:rPr>
        <w:t>NEGATIVE COVENANTS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Until Payment in Full, from and after the Closing Date:</w:t>
      </w:r>
    </w:p>
    <w:p>
      <w:pPr>
        <w:spacing w:after="0" w:line="184"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7.01 Liens</w:t>
      </w:r>
      <w:r>
        <w:rPr>
          <w:rFonts w:ascii="Times New Roman" w:cs="Times New Roman" w:eastAsia="Times New Roman" w:hAnsi="Times New Roman"/>
          <w:sz w:val="21"/>
          <w:szCs w:val="21"/>
          <w:color w:val="auto"/>
        </w:rPr>
        <w:t>. The Borrower shall not create, incur, assume or suffer to exist any Lien upon any of its property, assets or revenues, whether now owned or hereafter acquired, except for Permitted Liens.</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7.02 Indebtedness</w:t>
      </w:r>
      <w:r>
        <w:rPr>
          <w:rFonts w:ascii="Times New Roman" w:cs="Times New Roman" w:eastAsia="Times New Roman" w:hAnsi="Times New Roman"/>
          <w:sz w:val="21"/>
          <w:szCs w:val="21"/>
          <w:color w:val="auto"/>
        </w:rPr>
        <w:t>. The Borrower shall not create, incur, assume or suffer to exist any Indebtedness, except for Permitted Debt.</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7.03</w:t>
      </w:r>
      <w:r>
        <w:rPr>
          <w:sz w:val="20"/>
          <w:szCs w:val="20"/>
          <w:color w:val="auto"/>
        </w:rPr>
        <w:tab/>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The Borrower shall not make or hold any Investments, except for Permitted Investments.</w:t>
      </w:r>
    </w:p>
    <w:p>
      <w:pPr>
        <w:spacing w:after="0" w:line="171"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7.04 Fundamental Changes</w:t>
      </w:r>
      <w:r>
        <w:rPr>
          <w:rFonts w:ascii="Times New Roman" w:cs="Times New Roman" w:eastAsia="Times New Roman" w:hAnsi="Times New Roman"/>
          <w:sz w:val="21"/>
          <w:szCs w:val="21"/>
          <w:color w:val="auto"/>
        </w:rPr>
        <w:t>. The Borrower shall not merge, dissolve, liquidate, consolidate with or into another Person, or Dispose of (whether in one transaction or in a series of transactions) all or substantially all of its assets (whether now owned or hereafter acquired) to or in favor of any Person or take any action or consent to any action (including the admission of any additional equity owner or member or the filing of any election) that would cause it to be treated as other than a disregarded entity for tax purposes, except for Permitted Fundamental Changes.</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7.05</w:t>
      </w:r>
      <w:r>
        <w:rPr>
          <w:sz w:val="20"/>
          <w:szCs w:val="20"/>
          <w:color w:val="auto"/>
        </w:rPr>
        <w:tab/>
      </w:r>
      <w:r>
        <w:rPr>
          <w:rFonts w:ascii="Times New Roman" w:cs="Times New Roman" w:eastAsia="Times New Roman" w:hAnsi="Times New Roman"/>
          <w:sz w:val="20"/>
          <w:szCs w:val="20"/>
          <w:u w:val="single" w:color="auto"/>
          <w:color w:val="auto"/>
        </w:rPr>
        <w:t>Dispositions</w:t>
      </w:r>
      <w:r>
        <w:rPr>
          <w:rFonts w:ascii="Times New Roman" w:cs="Times New Roman" w:eastAsia="Times New Roman" w:hAnsi="Times New Roman"/>
          <w:sz w:val="20"/>
          <w:szCs w:val="20"/>
          <w:color w:val="auto"/>
        </w:rPr>
        <w:t>. The Borrower shall not make any Disposition, except for Permitted Dispositions.</w:t>
      </w:r>
    </w:p>
    <w:p>
      <w:pPr>
        <w:spacing w:after="0" w:line="171"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7.06 Speculative Transactions</w:t>
      </w:r>
      <w:r>
        <w:rPr>
          <w:rFonts w:ascii="Times New Roman" w:cs="Times New Roman" w:eastAsia="Times New Roman" w:hAnsi="Times New Roman"/>
          <w:sz w:val="21"/>
          <w:szCs w:val="21"/>
          <w:color w:val="auto"/>
        </w:rPr>
        <w:t>. The Borrower shall not enter into any Interest Rate Hedge Agreements except the Secured Interest Rate Hedge Agreements (including all Hedge Transactions thereunder) provided by the Hedge Banks.</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7.07 Restricted Payments</w:t>
      </w:r>
      <w:r>
        <w:rPr>
          <w:rFonts w:ascii="Times New Roman" w:cs="Times New Roman" w:eastAsia="Times New Roman" w:hAnsi="Times New Roman"/>
          <w:sz w:val="21"/>
          <w:szCs w:val="21"/>
          <w:color w:val="auto"/>
        </w:rPr>
        <w:t xml:space="preserve">. The Borrower shall not declare or make any Restricted Payment, except (in each case of the following, except for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solely to the extent of funds available in accordance with </w:t>
      </w:r>
      <w:r>
        <w:rPr>
          <w:rFonts w:ascii="Times New Roman" w:cs="Times New Roman" w:eastAsia="Times New Roman" w:hAnsi="Times New Roman"/>
          <w:sz w:val="21"/>
          <w:szCs w:val="21"/>
          <w:u w:val="single" w:color="auto"/>
          <w:color w:val="auto"/>
        </w:rPr>
        <w:t>Section 2.15(h)(ix)(A)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2.15(i)(i)</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620" w:firstLine="621"/>
        <w:spacing w:after="0" w:line="235" w:lineRule="auto"/>
        <w:tabs>
          <w:tab w:leader="none" w:pos="185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if permitted pursuant to </w:t>
      </w:r>
      <w:r>
        <w:rPr>
          <w:rFonts w:ascii="Times New Roman" w:cs="Times New Roman" w:eastAsia="Times New Roman" w:hAnsi="Times New Roman"/>
          <w:sz w:val="21"/>
          <w:szCs w:val="21"/>
          <w:u w:val="single" w:color="auto"/>
          <w:color w:val="auto"/>
        </w:rPr>
        <w:t>Section 2.13(d)(ii)</w:t>
      </w:r>
      <w:r>
        <w:rPr>
          <w:rFonts w:ascii="Times New Roman" w:cs="Times New Roman" w:eastAsia="Times New Roman" w:hAnsi="Times New Roman"/>
          <w:sz w:val="21"/>
          <w:szCs w:val="21"/>
          <w:color w:val="auto"/>
        </w:rPr>
        <w:t>, make a Restricted Payment on the date of the funding of the applicable Incremental Term Loans;</w:t>
      </w:r>
    </w:p>
    <w:p>
      <w:pPr>
        <w:spacing w:after="0" w:line="145" w:lineRule="exact"/>
        <w:rPr>
          <w:rFonts w:ascii="Times New Roman" w:cs="Times New Roman" w:eastAsia="Times New Roman" w:hAnsi="Times New Roman"/>
          <w:sz w:val="21"/>
          <w:szCs w:val="21"/>
          <w:color w:val="auto"/>
        </w:rPr>
      </w:pPr>
    </w:p>
    <w:p>
      <w:pPr>
        <w:ind w:left="620" w:firstLine="621"/>
        <w:spacing w:after="0" w:line="235" w:lineRule="auto"/>
        <w:tabs>
          <w:tab w:leader="none" w:pos="185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Date Distribution and the distributions to the Pledgor on the Closing Date for purposes of repaying or redeeming in full the outstanding TPG Preferred Equity;</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reimbursements, in the form of Restricted Payments to the Sponsor and/or its affiliates, of any amount of capital call fundings made by the Sponsor and/or its affiliates on behalf of the Borrower or the Double E Joint Venture as a result of the Borrower not being able to utilize any remaining Delayed Draw Loan Commitments for such capital call fundings due to its inability to make the representation set forth in Section 5.07(c);</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Payments that are made in an amount equal to the amount of Excluded Proceeds previously received and the Borrower elects to apply under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Restricted Payments using proceeds of Pari Passu Permitted Debt shall be subject to satisfaction of the Restricted Payment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26" w:right="339" w:bottom="1440" w:gutter="0" w:footer="0" w:header="0"/>
        </w:sectPr>
      </w:pPr>
    </w:p>
    <w:bookmarkStart w:id="198" w:name="page199"/>
    <w:bookmarkEnd w:id="198"/>
    <w:p>
      <w:pPr>
        <w:ind w:left="620" w:firstLine="621"/>
        <w:spacing w:after="0" w:line="235" w:lineRule="auto"/>
        <w:tabs>
          <w:tab w:leader="none" w:pos="1854"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Restricted Payments, the Borrower and its Subsidiaries may enter into and consummate transactions expressly permitted by any provision of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7.08</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7.08(d)</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07" w:lineRule="auto"/>
        <w:tabs>
          <w:tab w:leader="none" w:pos="1857"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make Restricted Payments to any direct or indirect parent of the Borrower, with respect to each taxable year ending after the Closing Date for which the Borrower is treated as a partnership or disregarded entity for U.S. federal income tax purposes, the payment of distributions to the Borrower’s equity owners in an aggregate amount equal to the product of (A) the net taxable income of the Borrower for such taxable year, reduced by any cumulative and taxable loss of the Borrower with respect to all prior taxable years to the extent such cumulative net taxable loss is actually deductible by the equity owners against such taxable income if such loss had been incurred in the taxable year in question (assuming that the equity owners have no items of income, gain, loss, deduction or credit other than through the Borrower) and has not previously been taken into account in determining Permitted Tax Distributions and (B) the assumed tax rate, which reflects the highest marginal U.S. federal, state and local income tax rates applicable to an individual resident or corporation (whichever is higher) doing business in New York, NY (taking into account the character of the taxable income in question (long-term capital gain, qualified dividend income, etc.), the deductibility of state and local income taxes for U.S. federal income tax purposes (and any applicable limitation thereon) and not taking into account any basis adjustments under Section 743 of the Code (or any comparable provisions of state and local law), but not taking into account any partner-level calculations or deductions, including any applicable deduction attributable to Section 199A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distributions under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with respect to any such taxable year may be made in installments during the course of the taxable year using reasonable estimates of the anticipated aggregate amount of distributions for such taxable year, with (x) any excess of aggregate installments with respect to any such taxable year over the actual amount of distributions permitted for such taxable year reducing any distributions under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with respect to the immediately subsequent taxable year (and, to the extent such excess is not fully absorbed in the immediately subsequent taxable year, the following year(s)) and (y) any excess of the actual amounts of distributions permitted for such taxable year over the aggregate installments with respect to any such taxable year increasing any distributions under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with respect to the immediately subsequent taxable year (any such Restricted Payment permitted under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Permitted Tax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proceeds are transferred from amounts on deposit in or credited to the Distribution Account or the Distribution Suspense Account,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each of the Restricted Payment Conditions shall be satisfied at the time of the making of any such Restricted Payment from the Distribution Suspense Account;</w:t>
      </w:r>
    </w:p>
    <w:p>
      <w:pPr>
        <w:spacing w:after="0" w:line="156"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with funds available in the Distribution Account, from the Distribution Account;</w:t>
      </w:r>
    </w:p>
    <w:p>
      <w:pPr>
        <w:spacing w:after="0" w:line="171"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declare and make Restricted Payments on the Closing Date with a portion of the proceeds from the Initial Term Loans to the Pledgor, for purposes of repaying or redeeming in full the outstanding TPG Preferred Equity; and</w:t>
      </w:r>
    </w:p>
    <w:p>
      <w:pPr>
        <w:spacing w:after="0" w:line="145" w:lineRule="exact"/>
        <w:rPr>
          <w:rFonts w:ascii="Times New Roman" w:cs="Times New Roman" w:eastAsia="Times New Roman" w:hAnsi="Times New Roman"/>
          <w:sz w:val="21"/>
          <w:szCs w:val="21"/>
          <w:color w:val="auto"/>
        </w:rPr>
      </w:pPr>
    </w:p>
    <w:p>
      <w:pPr>
        <w:ind w:left="620" w:firstLine="621"/>
        <w:spacing w:after="0" w:line="235" w:lineRule="auto"/>
        <w:tabs>
          <w:tab w:leader="none" w:pos="184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make any Restricted Payment with funds available in the Distribution Suspense Account, so long as the Restricted Payment Conditions are satisfied.</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7.08 Transactions with Affiliates</w:t>
      </w:r>
      <w:r>
        <w:rPr>
          <w:rFonts w:ascii="Times New Roman" w:cs="Times New Roman" w:eastAsia="Times New Roman" w:hAnsi="Times New Roman"/>
          <w:sz w:val="21"/>
          <w:szCs w:val="21"/>
          <w:color w:val="auto"/>
        </w:rPr>
        <w:t>. The Borrower shall not, directly or indirectly, enter into any transaction of any kind with any Affiliate of the Borrower, whether or not in the ordinary course of business, other than (a) transactions on terms substantially as favorable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39" w:right="339" w:bottom="1440" w:gutter="0" w:footer="0" w:header="0"/>
        </w:sectPr>
      </w:pPr>
    </w:p>
    <w:bookmarkStart w:id="199" w:name="page200"/>
    <w:bookmarkEnd w:id="199"/>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Borrower as would be obtainable by the Borrower at the time in a comparable arm’s-length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any such transaction involving amounts exceeding $3,000,000 in the aggregate, the Borrower shall have given the Administrative Agent prior written notice of such transaction, together with a certificate of a Responsible Officer of the Borrower certifying that such transaction satisfies the requirements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(b) the Transactions and the payment of Transaction Expenses as part of or in connection with the Transactions, (c) any transaction with or contribution made to the Double E Joint Venture pursuant to the terms of the JV LLC Agreement, (d) Restricted Payments permitted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Investments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(e) the payment of customary fees and reasonable out of pocket costs to, and indemnities provided on behalf of, directors, managers, officers, employees and consultants of the Borrower (or any direct or indirect parent of the Borrower) in the ordinary course of business to the extent attributable to the ownership or operation of the Borrower to the extent such amounts are paid out of an Excluded Account, and (f) transactions pursuant to agreements in existence on the Closing Date and set forth on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xml:space="preserve"> or any amendment thereto to the extent such an amendment is not adverse to the Lenders in any material respect.</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7.09 Subsidiaries</w:t>
      </w:r>
      <w:r>
        <w:rPr>
          <w:rFonts w:ascii="Times New Roman" w:cs="Times New Roman" w:eastAsia="Times New Roman" w:hAnsi="Times New Roman"/>
          <w:sz w:val="21"/>
          <w:szCs w:val="21"/>
          <w:color w:val="auto"/>
        </w:rPr>
        <w:t>. The Borrower (a) shall have no direct Subsidiaries other than the Double E Joint Venture and (b) shall not consent to the creation of, nor suffer to permit any Person to become, any Subsidiary of the Double E Joint Venture, other than in connection with a Special Construction Project or Construction Opportunity (each as defined in the JV LLC Agreement), without having first obtained the consent of the Administrative Agent, which consent shall not be unreasonably withheld, conditioned or delayed.</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7.10 Amendments to Borrower’s Organization Documents</w:t>
      </w:r>
      <w:r>
        <w:rPr>
          <w:rFonts w:ascii="Times New Roman" w:cs="Times New Roman" w:eastAsia="Times New Roman" w:hAnsi="Times New Roman"/>
          <w:sz w:val="21"/>
          <w:szCs w:val="21"/>
          <w:color w:val="auto"/>
        </w:rPr>
        <w:t>. The Borrower shall not alter, modify or terminate its Organization Documents in a manner that is materially adverse to the interests of the Agents or the Lenders.</w:t>
      </w:r>
    </w:p>
    <w:p>
      <w:pPr>
        <w:spacing w:after="0" w:line="13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7.11</w:t>
      </w:r>
      <w:r>
        <w:rPr>
          <w:sz w:val="20"/>
          <w:szCs w:val="20"/>
          <w:color w:val="auto"/>
        </w:rPr>
        <w:tab/>
      </w:r>
      <w:r>
        <w:rPr>
          <w:rFonts w:ascii="Times New Roman" w:cs="Times New Roman" w:eastAsia="Times New Roman" w:hAnsi="Times New Roman"/>
          <w:sz w:val="20"/>
          <w:szCs w:val="20"/>
          <w:u w:val="single" w:color="auto"/>
          <w:color w:val="auto"/>
        </w:rPr>
        <w:t>Change in Nature of Business</w:t>
      </w:r>
      <w:r>
        <w:rPr>
          <w:rFonts w:ascii="Times New Roman" w:cs="Times New Roman" w:eastAsia="Times New Roman" w:hAnsi="Times New Roman"/>
          <w:sz w:val="20"/>
          <w:szCs w:val="20"/>
          <w:color w:val="auto"/>
        </w:rPr>
        <w:t>.</w:t>
      </w:r>
    </w:p>
    <w:p>
      <w:pPr>
        <w:jc w:val="both"/>
        <w:ind w:left="620" w:firstLine="621"/>
        <w:spacing w:after="0" w:line="207" w:lineRule="auto"/>
        <w:tabs>
          <w:tab w:leader="none" w:pos="185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 directly operate any material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the following (and activities incidental thereto) shall not constitute the operation of a business and shall in all cases be permitted to the extent not otherwise restricted under the terms of this Agreement: (i) the maintenance of its legal existence (including the ability to incur fees, costs and expenses relating to such maintenance and performance of activities relating to its officers, directors, managers and employees and those of its direct or indirect parent companies), (ii) the entering into, and performance of its obligations with respect to, the Loan Documents and any other Indebtedness expressly permitted under the Loan Documents, the consummation of the Transactions and the consummation of any other transaction otherwise expressly permitted by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(iii) financing activities permitted by the Loan Documents, including the issuance of securities, incurrence of debt, payment of dividends, and making contributions to the Double E Joint Venture in accordance with the terms of this Agreement, (iv) participating in tax, accounting and other administrative matters, including compliance with applicable law and legal, tax and accounting matters related thereto and activities relating to its officers and directors, (v) holding any cash and Cash Equivalents, (vi) holding any other property intended to be contributed to the Double E Joint Venture or received by it as a distribution from the Double E Joint Venture and making further distributions with such property to the extent that those distributions are expressly permitted by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(vii) holding any property or assets received by it in connection with the receipt of any Excluded Proceeds, (viii) providing indemnification to officers and directors, (ix) holding director meetings, preparing organizational records and other organizational activities required to maintain its separate organizational structure or to comply with applicable law, (x) filing tax reports and paying taxes and other customary obligations related thereto in the ordinary course (and contesting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39" w:right="339" w:bottom="1440" w:gutter="0" w:footer="0" w:header="0"/>
        </w:sectPr>
      </w:pPr>
    </w:p>
    <w:bookmarkStart w:id="200" w:name="page201"/>
    <w:bookmarkEnd w:id="200"/>
    <w:p>
      <w:pPr>
        <w:jc w:val="both"/>
        <w:ind w:left="620"/>
        <w:spacing w:after="0" w:line="211" w:lineRule="auto"/>
        <w:rPr>
          <w:sz w:val="20"/>
          <w:szCs w:val="20"/>
          <w:color w:val="auto"/>
        </w:rPr>
      </w:pPr>
      <w:r>
        <w:rPr>
          <w:rFonts w:ascii="Times New Roman" w:cs="Times New Roman" w:eastAsia="Times New Roman" w:hAnsi="Times New Roman"/>
          <w:sz w:val="21"/>
          <w:szCs w:val="21"/>
          <w:color w:val="auto"/>
        </w:rPr>
        <w:t xml:space="preserve">taxes), (xi) entering into and performance of obligations with respect to contracts and other arrangements in connection with the activities contemplated by this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(xii) the preparation of reports to Governmental Authorities and to Pledgor, (xiii) the consummation of transactions contemplated by the JV LLC Agreement, (xiv) the performance of obligations under and compliance with its Organization Documents, any demands or requests from or requirements of a Governmental Authority or any applicable law, ordinance, regulation, rule, order, judgment, decree or permit, including as a result of or in connection with the activities of its Subsidiaries; and (xv) any activities incidental to the foregoing or customary for passive holding companies. The Borrower shall not incur any Liens on Equity Interests of the Double E Joint Venture other than those for the benefit of any Secured Parties, the representatives to the First Lien Intercreditor Agreement and the creditors represented by such representatives and as permitted by the penultimate paragraph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1860" w:hanging="619"/>
        <w:spacing w:after="0"/>
        <w:tabs>
          <w:tab w:leader="none" w:pos="18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not have any employees.</w:t>
      </w:r>
    </w:p>
    <w:p>
      <w:pPr>
        <w:spacing w:after="0" w:line="171"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7.12 Capital Expenditures</w:t>
      </w:r>
      <w:r>
        <w:rPr>
          <w:rFonts w:ascii="Times New Roman" w:cs="Times New Roman" w:eastAsia="Times New Roman" w:hAnsi="Times New Roman"/>
          <w:sz w:val="21"/>
          <w:szCs w:val="21"/>
          <w:color w:val="auto"/>
        </w:rPr>
        <w:t xml:space="preserve">. The Borrower shall not make or incur any Capital Expenditures other than (i) its pro rata share of the amount required to fund the Project, (ii) Capital Expenditures made using Excluded Proceeds or using cash and Cash Equivalents in any Excluded Account, (iii) Capital Expenditures using proceeds of the Loans as set forth in </w:t>
      </w:r>
      <w:r>
        <w:rPr>
          <w:rFonts w:ascii="Times New Roman" w:cs="Times New Roman" w:eastAsia="Times New Roman" w:hAnsi="Times New Roman"/>
          <w:sz w:val="21"/>
          <w:szCs w:val="21"/>
          <w:u w:val="single" w:color="auto"/>
          <w:color w:val="auto"/>
        </w:rPr>
        <w:t>Section 5.19</w:t>
      </w:r>
      <w:r>
        <w:rPr>
          <w:rFonts w:ascii="Times New Roman" w:cs="Times New Roman" w:eastAsia="Times New Roman" w:hAnsi="Times New Roman"/>
          <w:sz w:val="21"/>
          <w:szCs w:val="21"/>
          <w:color w:val="auto"/>
        </w:rPr>
        <w:t xml:space="preserve"> or (iv) in connection with a Committed Capacity Contract, Permitted Expansion or the Compression Addition, Capital Expenditures made using proceeds of Incremental Term Loans.</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0"/>
          <w:szCs w:val="20"/>
          <w:u w:val="single" w:color="auto"/>
          <w:color w:val="auto"/>
        </w:rPr>
        <w:t>Section 7.13 Actions under the JV LLC Agreement</w:t>
      </w:r>
      <w:r>
        <w:rPr>
          <w:rFonts w:ascii="Times New Roman" w:cs="Times New Roman" w:eastAsia="Times New Roman" w:hAnsi="Times New Roman"/>
          <w:sz w:val="20"/>
          <w:szCs w:val="20"/>
          <w:color w:val="auto"/>
        </w:rPr>
        <w:t>. (i) To the extent that the Borrower has consent rights under any section of the JV LLC Agreement, the Borrower shall not consent to any amendment or termination of the JV LLC Agreement to the extent such amendment or termination would reasonably be expected to materially and adversely affect distributions by the Double E Joint Venture, in each case without the approval of the Administrative Agent (which approval shall not be unreasonably withheld, conditioned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may the Borrower amend the provisions of Section 3.10, Section 5.3, Section 6.12 (to the extent constituting Required Consent Rights), Section 6.13 (to the extent constituting Required Consent Rights) or Section 8.1 of the JV LLC Agreement, or the defined terms related thereto set forth in Section 1.1 of the JV LLC Agreement, in each case without having first obtained the consent of the Administrative Agent, which consent shall not be unreasonably withheld, conditioned or delayed), and (ii) to the extent that the Borrower has consent rights under Section 6.12 or Section 6.13 of the JV LLC Agreement (any such consent right of the Borrower, a “</w:t>
      </w:r>
      <w:r>
        <w:rPr>
          <w:rFonts w:ascii="Times New Roman" w:cs="Times New Roman" w:eastAsia="Times New Roman" w:hAnsi="Times New Roman"/>
          <w:sz w:val="20"/>
          <w:szCs w:val="20"/>
          <w:b w:val="1"/>
          <w:bCs w:val="1"/>
          <w:color w:val="auto"/>
        </w:rPr>
        <w:t>Required Consent Right</w:t>
      </w:r>
      <w:r>
        <w:rPr>
          <w:rFonts w:ascii="Times New Roman" w:cs="Times New Roman" w:eastAsia="Times New Roman" w:hAnsi="Times New Roman"/>
          <w:sz w:val="20"/>
          <w:szCs w:val="20"/>
          <w:color w:val="auto"/>
        </w:rPr>
        <w:t>”), the Borrower shall not consent to the Double E Joint Venture with respect to: (a) Section 6.12(s) of the JV LLC Agreement and entry into capital leases or sale lease-backs or creation of Liens by the Double E Joint Venture in an aggregate principal amount in excess of $20,000,000 (other than with respect to Permitted Debt or Permitted Liens), (b) the creation of subsidiaries of the Double E Joint Venture (other than the creation of subsidiaries that are ring-fenced and are investing in projects that do not materially and adversely impact the Project or subsidiaries created in connection with a Construction Opportunity or Special Construction Opportunity (each as defined in the JV LLC Agreement)) (c) issuances or repurchases of equity or debt interests in the Double E Joint Venture (other than (1) as permitted by Section 4.1, Section 4.2(f), Section 3.21 and Section 3.22 of the JV LLC Agreement, (2) an equity issuance in connection with a Permitted Expansion or the Compression Addition that does not result in (x) the Borrower owning less than 55% of all Equity Interests in the Double E Joint Venture or (y) a reduction in the amount or priority of distributions otherwise payable to the Borrower from the Double E Joint Venture from and after the Commercial Operation Date of such Permitted Expansion or the Compression Addition (a “</w:t>
      </w:r>
      <w:r>
        <w:rPr>
          <w:rFonts w:ascii="Times New Roman" w:cs="Times New Roman" w:eastAsia="Times New Roman" w:hAnsi="Times New Roman"/>
          <w:sz w:val="20"/>
          <w:szCs w:val="20"/>
          <w:b w:val="1"/>
          <w:bCs w:val="1"/>
          <w:color w:val="auto"/>
        </w:rPr>
        <w:t>Qualified Equity Issuance</w:t>
      </w:r>
      <w:r>
        <w:rPr>
          <w:rFonts w:ascii="Times New Roman" w:cs="Times New Roman" w:eastAsia="Times New Roman" w:hAnsi="Times New Roman"/>
          <w:sz w:val="20"/>
          <w:szCs w:val="20"/>
          <w:color w:val="auto"/>
        </w:rPr>
        <w:t>”), or (3) an equity issuance the Net Proceeds of which are used to prepay the Term Loan Facility and which in the case of this clause (3) does not result in an increase to the Total Debt to EBITDA Ratio after giving effect to such equity issuance and prepayment on a pro forma basis), (d)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39" w:right="339" w:bottom="1440" w:gutter="0" w:footer="0" w:header="0"/>
        </w:sectPr>
      </w:pPr>
    </w:p>
    <w:bookmarkStart w:id="201" w:name="page202"/>
    <w:bookmarkEnd w:id="201"/>
    <w:p>
      <w:pPr>
        <w:jc w:val="both"/>
        <w:spacing w:after="0" w:line="209" w:lineRule="auto"/>
        <w:rPr>
          <w:sz w:val="20"/>
          <w:szCs w:val="20"/>
          <w:color w:val="auto"/>
        </w:rPr>
      </w:pPr>
      <w:r>
        <w:rPr>
          <w:rFonts w:ascii="Times New Roman" w:cs="Times New Roman" w:eastAsia="Times New Roman" w:hAnsi="Times New Roman"/>
          <w:sz w:val="21"/>
          <w:szCs w:val="21"/>
          <w:color w:val="auto"/>
        </w:rPr>
        <w:t>pursuant to Section 6.12(j) of the JV LLC Agreement (other than Dispositions the Net Proceeds of which are used to prepay the Term Loan Facility and which does not result in an increase to the Total Debt to EBITDA Ratio after giving effect to such Disposition and prepayment on a pro forma basis, or with respect to Dispositions that are not Material Dispositions), (e) taking any action under any of Sections 6.12(a), 6.12(e) of the JV LLC Agreement (other than to the extent the Restricted Payment Conditions have then been met), Section 6.12(g) of the JV LLC Agreement (other than capital contributions made using Excluded Proceeds), Section 6.12(i) of the JV LLC Agreement solely with respect to terminating any Material Contract or Transaction Document (as defined in the JV LLC Agreement), Sections 6.12(u)(i)-(iii) of the JV LLC Agreement, Sections 6.13(c), 6.13(d) or 6.13(e) of the JV LLC Agreement (other than any new series or class of equity created in connection with a Qualified Equity Issuance), (f) compliance with Sanctions and (g) changes in nature of business (which business of the Double E Joint Venture shall be development, construction, ownership, financing, operation and maintenance of the Project and activities related and incidental thereto), in each case without having first obtained the consent of the Administrative Agent, which consent shall not be unreasonably withheld, conditioned or delayed, and (iii) the Borrower shall not consent to any amendment, terminations, modifications or waivers to the JV LLC Agreement that would reasonably be expected to result in a Material Adverse Effect on the Borrower or the Double E Joint Venture without the prior written consent of the Administrative Agent.</w:t>
      </w:r>
    </w:p>
    <w:p>
      <w:pPr>
        <w:spacing w:after="0" w:line="150"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7.14 Accounting Changes; Change in Fiscal Year</w:t>
      </w:r>
      <w:r>
        <w:rPr>
          <w:rFonts w:ascii="Times New Roman" w:cs="Times New Roman" w:eastAsia="Times New Roman" w:hAnsi="Times New Roman"/>
          <w:sz w:val="21"/>
          <w:szCs w:val="21"/>
          <w:color w:val="auto"/>
        </w:rPr>
        <w:t>. The Borrower shall not make any change in accounting treatment and reporting practices or tax reporting treatment except as (a) required by GAAP, consistently applied, or required by Law and, to the extent material, disclosed to the Administrative Agent and (b) agreed to by its independent public accountants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or the Double E Joint Venture may change its fiscal year in accordance with </w:t>
      </w:r>
      <w:r>
        <w:rPr>
          <w:rFonts w:ascii="Times New Roman" w:cs="Times New Roman" w:eastAsia="Times New Roman" w:hAnsi="Times New Roman"/>
          <w:sz w:val="21"/>
          <w:szCs w:val="21"/>
          <w:u w:val="single" w:color="auto"/>
          <w:color w:val="auto"/>
        </w:rPr>
        <w:t>Section 6.16</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7.15 Sanctions</w:t>
      </w:r>
      <w:r>
        <w:rPr>
          <w:rFonts w:ascii="Times New Roman" w:cs="Times New Roman" w:eastAsia="Times New Roman" w:hAnsi="Times New Roman"/>
          <w:sz w:val="21"/>
          <w:szCs w:val="21"/>
          <w:color w:val="auto"/>
        </w:rPr>
        <w:t xml:space="preserve"> The Borrower shall not request any Loan, and shall ensure that its directors, officers, employees and agents shall not directly or knowingly indirectly use the proceeds of any Loans (a) in further of an offer, payment, promise to pay, or authorization of the payment or giving of money, or anything else of value, in violation of any applicable anti-corruption and anti-money laundering rules and regulations, including applicable portions (if any) of the USA PATRIOT Act, (b) for the purpose of funding or financing any activities, business or transaction of or with any Sanctioned Person, or in any Sanctioned Country, in each case in violation of Sanctions applicable to any party hereto, or (c) in any other manner that would result in liability to any party hereto under any applicable Sanctions or the violation of any Sanctions by any such Person.</w:t>
      </w:r>
    </w:p>
    <w:p>
      <w:pPr>
        <w:spacing w:after="0" w:line="150"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u w:val="single" w:color="auto"/>
          <w:color w:val="auto"/>
        </w:rPr>
        <w:t>Section 7.16 Negative Pledge Agreements</w:t>
      </w:r>
      <w:r>
        <w:rPr>
          <w:rFonts w:ascii="Times New Roman" w:cs="Times New Roman" w:eastAsia="Times New Roman" w:hAnsi="Times New Roman"/>
          <w:sz w:val="21"/>
          <w:szCs w:val="21"/>
          <w:color w:val="auto"/>
        </w:rPr>
        <w:t xml:space="preserve">. The Borrower shall not enter into any agreement or instrument that by its terms prohibits the granting of Liens to the Collateral Agent pursuant to the Collateral Documents, in each case other than (a) any contractual encumbrances or restrictions in effect on the Closing Date under any agreements related to Indebtedness existing on the Closing Date or any permitted renewal, extension or refinancing thereof that does not expand the scope of any such encumbrance or restriction, (b) any agreements governing any purchase money Liens or capital lease obligations otherwise permitted hereby (in which case, any prohibition or limitation shall only be effective against the assets which are the subject thereof), (c) customary restrictions contained in an agreement relating to Dispositions (to the extent permitted pursuant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(d) customary provisions restricting assignment of such agreement and (e) restrictions on cash or other deposits or net worth imposed by customers under contracts entered into in the ordinary course of business which do not impair in any material respect the ability of the Borrower to comply with its obligations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39" w:right="339" w:bottom="1440" w:gutter="0" w:footer="0" w:header="0"/>
        </w:sectPr>
      </w:pPr>
    </w:p>
    <w:bookmarkStart w:id="202" w:name="page203"/>
    <w:bookmarkEnd w:id="202"/>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7.17 Total Debt to EBITDA Ratio</w:t>
      </w:r>
      <w:r>
        <w:rPr>
          <w:rFonts w:ascii="Times New Roman" w:cs="Times New Roman" w:eastAsia="Times New Roman" w:hAnsi="Times New Roman"/>
          <w:sz w:val="21"/>
          <w:szCs w:val="21"/>
          <w:color w:val="auto"/>
        </w:rPr>
        <w:t>. Commencing with the Quarterly Payment Date occurring on March 31, 2027, the Borrower shall not permit the Total Debt to EBITDA Ratio for any Test Period ending on the applicable Quarterly Payment Date set forth in the table below to exceed the Total Debt to EBITDA Ratio set forth for such fiscal quarter in the table below (for the avoidance of doubt, any calculation of Borrower EBITDA for purposes of this covenant shall, at the option of the Borrower, reflect the Borrower EBITDA Adjustment):</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97"/>
        </w:trPr>
        <w:tc>
          <w:tcPr>
            <w:tcW w:w="4840" w:type="dxa"/>
            <w:vAlign w:val="bottom"/>
          </w:tcPr>
          <w:p>
            <w:pPr>
              <w:ind w:left="1740"/>
              <w:spacing w:after="0"/>
              <w:rPr>
                <w:sz w:val="20"/>
                <w:szCs w:val="20"/>
                <w:color w:val="auto"/>
              </w:rPr>
            </w:pPr>
            <w:r>
              <w:rPr>
                <w:rFonts w:ascii="Times New Roman" w:cs="Times New Roman" w:eastAsia="Times New Roman" w:hAnsi="Times New Roman"/>
                <w:sz w:val="21"/>
                <w:szCs w:val="21"/>
                <w:b w:val="1"/>
                <w:bCs w:val="1"/>
                <w:color w:val="auto"/>
              </w:rPr>
              <w:t>Quarterly Payment Date</w:t>
            </w:r>
          </w:p>
        </w:tc>
        <w:tc>
          <w:tcPr>
            <w:tcW w:w="5200" w:type="dxa"/>
            <w:vAlign w:val="bottom"/>
          </w:tcPr>
          <w:p>
            <w:pPr>
              <w:ind w:left="940"/>
              <w:spacing w:after="0"/>
              <w:rPr>
                <w:sz w:val="20"/>
                <w:szCs w:val="20"/>
                <w:color w:val="auto"/>
              </w:rPr>
            </w:pPr>
            <w:r>
              <w:rPr>
                <w:rFonts w:ascii="Times New Roman" w:cs="Times New Roman" w:eastAsia="Times New Roman" w:hAnsi="Times New Roman"/>
                <w:sz w:val="21"/>
                <w:szCs w:val="21"/>
                <w:b w:val="1"/>
                <w:bCs w:val="1"/>
                <w:color w:val="auto"/>
              </w:rPr>
              <w:t>Maximum Total Debt to EBITDA Ratio</w:t>
            </w:r>
          </w:p>
        </w:tc>
      </w:tr>
      <w:tr>
        <w:trPr>
          <w:trHeight w:val="183"/>
        </w:trPr>
        <w:tc>
          <w:tcPr>
            <w:tcW w:w="484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3/31/2027</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10.75:1.00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6/30/2027</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10.75:1.00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9/30/2027</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10.50:1.00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12/31/2027</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10.50:1.00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3/31/2028</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10.25:1.00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6/30/2028</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10.25:1.00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9/30/2028</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10.00:1.00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12/31/2028</w:t>
            </w:r>
          </w:p>
        </w:tc>
        <w:tc>
          <w:tcPr>
            <w:tcW w:w="520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7"/>
              </w:rPr>
              <w:t>10.00:1.00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3/31/2029</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9.75:1.00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6/30/2029</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9.75:1.00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9/30/2029</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9.50:1.00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12/31/2029</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9.50:1.00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3/31/2030</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9.25:1.00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6/30/2030</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9.00:1.00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9/30/2030</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8.75:1.00</w:t>
            </w:r>
          </w:p>
        </w:tc>
      </w:tr>
      <w:tr>
        <w:trPr>
          <w:trHeight w:val="170"/>
        </w:trPr>
        <w:tc>
          <w:tcPr>
            <w:tcW w:w="484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r>
      <w:tr>
        <w:trPr>
          <w:trHeight w:val="274"/>
        </w:trPr>
        <w:tc>
          <w:tcPr>
            <w:tcW w:w="484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12/31/2030</w:t>
            </w:r>
          </w:p>
        </w:tc>
        <w:tc>
          <w:tcPr>
            <w:tcW w:w="520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8"/>
              </w:rPr>
              <w:t>8.50:1.00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-4909820</wp:posOffset>
            </wp:positionV>
            <wp:extent cx="6377305" cy="52717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6377305" cy="5271770"/>
                    </a:xfrm>
                    <a:prstGeom prst="rect">
                      <a:avLst/>
                    </a:prstGeom>
                    <a:noFill/>
                  </pic:spPr>
                </pic:pic>
              </a:graphicData>
            </a:graphic>
          </wp:anchor>
        </w:drawing>
      </w:r>
    </w:p>
    <w:p>
      <w:pPr>
        <w:spacing w:after="0" w:line="1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and each fiscal quarter thereafter</w:t>
      </w:r>
    </w:p>
    <w:p>
      <w:pPr>
        <w:spacing w:after="0" w:line="200" w:lineRule="exact"/>
        <w:rPr>
          <w:sz w:val="20"/>
          <w:szCs w:val="20"/>
          <w:color w:val="auto"/>
        </w:rPr>
      </w:pPr>
    </w:p>
    <w:p>
      <w:pPr>
        <w:spacing w:after="0" w:line="280"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u w:val="single" w:color="auto"/>
          <w:color w:val="auto"/>
        </w:rPr>
        <w:t>Section 7.18 Debt Service Coverage Ratio</w:t>
      </w:r>
      <w:r>
        <w:rPr>
          <w:rFonts w:ascii="Times New Roman" w:cs="Times New Roman" w:eastAsia="Times New Roman" w:hAnsi="Times New Roman"/>
          <w:sz w:val="21"/>
          <w:szCs w:val="21"/>
          <w:color w:val="auto"/>
        </w:rPr>
        <w:t>. Commencing with the Quarterly Payment Date occurring on June 30, 2026, the Borrower shall not permit the Debt Service Coverage Ratio for any Test Period ending on the applicable Quarterly Payment Date set forth in the table below to be less than the Debt Service Coverage Ratio set forth for such fiscal quarter in the table below (for the avoidance of doubt, any calculation of Borrower EBITDA for purposes of this covenant shall, at the option of the Borrower, reflect the Borrower EBITDA Adjustment):</w:t>
      </w:r>
    </w:p>
    <w:p>
      <w:pPr>
        <w:spacing w:after="0" w:line="1" w:lineRule="exact"/>
        <w:rPr>
          <w:sz w:val="20"/>
          <w:szCs w:val="20"/>
          <w:color w:val="auto"/>
        </w:rPr>
      </w:pPr>
    </w:p>
    <w:tbl>
      <w:tblPr>
        <w:tblLayout w:type="fixed"/>
        <w:tblInd w:w="530" w:type="dxa"/>
        <w:tblCellMar>
          <w:top w:w="0" w:type="dxa"/>
          <w:left w:w="0" w:type="dxa"/>
          <w:bottom w:w="0" w:type="dxa"/>
          <w:right w:w="0" w:type="dxa"/>
        </w:tblCellMar>
      </w:tblPr>
      <w:tr>
        <w:trPr>
          <w:trHeight w:val="272"/>
        </w:trPr>
        <w:tc>
          <w:tcPr>
            <w:tcW w:w="5040" w:type="dxa"/>
            <w:vAlign w:val="bottom"/>
            <w:tcBorders>
              <w:top w:val="single" w:sz="8" w:color="auto"/>
              <w:left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21"/>
                <w:szCs w:val="21"/>
                <w:b w:val="1"/>
                <w:bCs w:val="1"/>
                <w:color w:val="auto"/>
              </w:rPr>
              <w:t>Quarterly Payment Date</w:t>
            </w:r>
          </w:p>
        </w:tc>
        <w:tc>
          <w:tcPr>
            <w:tcW w:w="5000" w:type="dxa"/>
            <w:vAlign w:val="bottom"/>
            <w:tcBorders>
              <w:top w:val="single" w:sz="8" w:color="auto"/>
              <w:right w:val="single" w:sz="8" w:color="auto"/>
            </w:tcBorders>
          </w:tcPr>
          <w:p>
            <w:pPr>
              <w:jc w:val="right"/>
              <w:ind w:right="357"/>
              <w:spacing w:after="0"/>
              <w:rPr>
                <w:sz w:val="20"/>
                <w:szCs w:val="20"/>
                <w:color w:val="auto"/>
              </w:rPr>
            </w:pPr>
            <w:r>
              <w:rPr>
                <w:rFonts w:ascii="Times New Roman" w:cs="Times New Roman" w:eastAsia="Times New Roman" w:hAnsi="Times New Roman"/>
                <w:sz w:val="21"/>
                <w:szCs w:val="21"/>
                <w:b w:val="1"/>
                <w:bCs w:val="1"/>
                <w:color w:val="auto"/>
              </w:rPr>
              <w:t>Minimum Debt Service Coverage Ratio</w:t>
            </w:r>
          </w:p>
        </w:tc>
      </w:tr>
      <w:tr>
        <w:trPr>
          <w:trHeight w:val="188"/>
        </w:trPr>
        <w:tc>
          <w:tcPr>
            <w:tcW w:w="5040" w:type="dxa"/>
            <w:vAlign w:val="bottom"/>
            <w:tcBorders>
              <w:left w:val="single" w:sz="8" w:color="auto"/>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r>
      <w:tr>
        <w:trPr>
          <w:trHeight w:val="274"/>
        </w:trPr>
        <w:tc>
          <w:tcPr>
            <w:tcW w:w="5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6/30/2026</w:t>
            </w:r>
          </w:p>
        </w:tc>
        <w:tc>
          <w:tcPr>
            <w:tcW w:w="5000" w:type="dxa"/>
            <w:vAlign w:val="bottom"/>
            <w:tcBorders>
              <w:right w:val="single" w:sz="8" w:color="auto"/>
            </w:tcBorders>
          </w:tcPr>
          <w:p>
            <w:pPr>
              <w:jc w:val="right"/>
              <w:ind w:right="1957"/>
              <w:spacing w:after="0"/>
              <w:rPr>
                <w:sz w:val="20"/>
                <w:szCs w:val="20"/>
                <w:color w:val="auto"/>
              </w:rPr>
            </w:pPr>
            <w:r>
              <w:rPr>
                <w:rFonts w:ascii="Times New Roman" w:cs="Times New Roman" w:eastAsia="Times New Roman" w:hAnsi="Times New Roman"/>
                <w:sz w:val="21"/>
                <w:szCs w:val="21"/>
                <w:color w:val="auto"/>
              </w:rPr>
              <w:t>1.000:1.00</w:t>
            </w:r>
          </w:p>
        </w:tc>
      </w:tr>
      <w:tr>
        <w:trPr>
          <w:trHeight w:val="170"/>
        </w:trPr>
        <w:tc>
          <w:tcPr>
            <w:tcW w:w="5040" w:type="dxa"/>
            <w:vAlign w:val="bottom"/>
            <w:tcBorders>
              <w:left w:val="single" w:sz="8" w:color="auto"/>
              <w:bottom w:val="single" w:sz="8" w:color="auto"/>
              <w:right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r>
      <w:tr>
        <w:trPr>
          <w:trHeight w:val="274"/>
        </w:trPr>
        <w:tc>
          <w:tcPr>
            <w:tcW w:w="5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9/30/2026</w:t>
            </w:r>
          </w:p>
        </w:tc>
        <w:tc>
          <w:tcPr>
            <w:tcW w:w="5000" w:type="dxa"/>
            <w:vAlign w:val="bottom"/>
            <w:tcBorders>
              <w:right w:val="single" w:sz="8" w:color="auto"/>
            </w:tcBorders>
          </w:tcPr>
          <w:p>
            <w:pPr>
              <w:jc w:val="right"/>
              <w:ind w:right="1957"/>
              <w:spacing w:after="0"/>
              <w:rPr>
                <w:sz w:val="20"/>
                <w:szCs w:val="20"/>
                <w:color w:val="auto"/>
              </w:rPr>
            </w:pPr>
            <w:r>
              <w:rPr>
                <w:rFonts w:ascii="Times New Roman" w:cs="Times New Roman" w:eastAsia="Times New Roman" w:hAnsi="Times New Roman"/>
                <w:sz w:val="21"/>
                <w:szCs w:val="21"/>
                <w:color w:val="auto"/>
              </w:rPr>
              <w:t>1.000:1.00</w:t>
            </w:r>
          </w:p>
        </w:tc>
      </w:tr>
      <w:tr>
        <w:trPr>
          <w:trHeight w:val="170"/>
        </w:trPr>
        <w:tc>
          <w:tcPr>
            <w:tcW w:w="5040" w:type="dxa"/>
            <w:vAlign w:val="bottom"/>
            <w:tcBorders>
              <w:left w:val="single" w:sz="8" w:color="auto"/>
              <w:bottom w:val="single" w:sz="8" w:color="auto"/>
              <w:right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r>
      <w:tr>
        <w:trPr>
          <w:trHeight w:val="274"/>
        </w:trPr>
        <w:tc>
          <w:tcPr>
            <w:tcW w:w="5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12/31/2026</w:t>
            </w:r>
          </w:p>
        </w:tc>
        <w:tc>
          <w:tcPr>
            <w:tcW w:w="5000" w:type="dxa"/>
            <w:vAlign w:val="bottom"/>
            <w:tcBorders>
              <w:right w:val="single" w:sz="8" w:color="auto"/>
            </w:tcBorders>
          </w:tcPr>
          <w:p>
            <w:pPr>
              <w:jc w:val="right"/>
              <w:ind w:right="1957"/>
              <w:spacing w:after="0"/>
              <w:rPr>
                <w:sz w:val="20"/>
                <w:szCs w:val="20"/>
                <w:color w:val="auto"/>
              </w:rPr>
            </w:pPr>
            <w:r>
              <w:rPr>
                <w:rFonts w:ascii="Times New Roman" w:cs="Times New Roman" w:eastAsia="Times New Roman" w:hAnsi="Times New Roman"/>
                <w:sz w:val="21"/>
                <w:szCs w:val="21"/>
                <w:color w:val="auto"/>
              </w:rPr>
              <w:t>1.000:1.00</w:t>
            </w:r>
          </w:p>
        </w:tc>
      </w:tr>
      <w:tr>
        <w:trPr>
          <w:trHeight w:val="170"/>
        </w:trPr>
        <w:tc>
          <w:tcPr>
            <w:tcW w:w="5040" w:type="dxa"/>
            <w:vAlign w:val="bottom"/>
            <w:tcBorders>
              <w:left w:val="single" w:sz="8" w:color="auto"/>
              <w:bottom w:val="single" w:sz="8" w:color="auto"/>
              <w:right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r>
      <w:tr>
        <w:trPr>
          <w:trHeight w:val="274"/>
        </w:trPr>
        <w:tc>
          <w:tcPr>
            <w:tcW w:w="5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3/31/2027</w:t>
            </w:r>
          </w:p>
        </w:tc>
        <w:tc>
          <w:tcPr>
            <w:tcW w:w="5000" w:type="dxa"/>
            <w:vAlign w:val="bottom"/>
            <w:tcBorders>
              <w:right w:val="single" w:sz="8" w:color="auto"/>
            </w:tcBorders>
          </w:tcPr>
          <w:p>
            <w:pPr>
              <w:jc w:val="right"/>
              <w:ind w:right="1957"/>
              <w:spacing w:after="0"/>
              <w:rPr>
                <w:sz w:val="20"/>
                <w:szCs w:val="20"/>
                <w:color w:val="auto"/>
              </w:rPr>
            </w:pPr>
            <w:r>
              <w:rPr>
                <w:rFonts w:ascii="Times New Roman" w:cs="Times New Roman" w:eastAsia="Times New Roman" w:hAnsi="Times New Roman"/>
                <w:sz w:val="21"/>
                <w:szCs w:val="21"/>
                <w:color w:val="auto"/>
              </w:rPr>
              <w:t>1.000:1.00</w:t>
            </w:r>
          </w:p>
        </w:tc>
      </w:tr>
      <w:tr>
        <w:trPr>
          <w:trHeight w:val="170"/>
        </w:trPr>
        <w:tc>
          <w:tcPr>
            <w:tcW w:w="5040" w:type="dxa"/>
            <w:vAlign w:val="bottom"/>
            <w:tcBorders>
              <w:left w:val="single" w:sz="8" w:color="auto"/>
              <w:bottom w:val="single" w:sz="8" w:color="auto"/>
              <w:right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339" w:right="339" w:bottom="5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39" w:right="339" w:bottom="523" w:gutter="0" w:footer="0" w:header="0"/>
          <w:type w:val="continuous"/>
        </w:sectPr>
      </w:pPr>
    </w:p>
    <w:bookmarkStart w:id="203" w:name="page204"/>
    <w:bookmarkEnd w:id="203"/>
    <w:tbl>
      <w:tblPr>
        <w:tblLayout w:type="fixed"/>
        <w:tblInd w:w="520" w:type="dxa"/>
        <w:tblCellMar>
          <w:top w:w="0" w:type="dxa"/>
          <w:left w:w="0" w:type="dxa"/>
          <w:bottom w:w="0" w:type="dxa"/>
          <w:right w:w="0" w:type="dxa"/>
        </w:tblCellMar>
      </w:tblPr>
      <w:tr>
        <w:trPr>
          <w:trHeight w:val="272"/>
        </w:trPr>
        <w:tc>
          <w:tcPr>
            <w:tcW w:w="5020" w:type="dxa"/>
            <w:vAlign w:val="bottom"/>
          </w:tcPr>
          <w:p>
            <w:pPr>
              <w:ind w:left="1740"/>
              <w:spacing w:after="0"/>
              <w:rPr>
                <w:sz w:val="20"/>
                <w:szCs w:val="20"/>
                <w:color w:val="auto"/>
              </w:rPr>
            </w:pPr>
            <w:r>
              <w:rPr>
                <w:rFonts w:ascii="Times New Roman" w:cs="Times New Roman" w:eastAsia="Times New Roman" w:hAnsi="Times New Roman"/>
                <w:sz w:val="21"/>
                <w:szCs w:val="21"/>
                <w:b w:val="1"/>
                <w:bCs w:val="1"/>
                <w:color w:val="auto"/>
              </w:rPr>
              <w:t>Quarterly Payment Date</w:t>
            </w:r>
          </w:p>
        </w:tc>
        <w:tc>
          <w:tcPr>
            <w:tcW w:w="5020" w:type="dxa"/>
            <w:vAlign w:val="bottom"/>
          </w:tcPr>
          <w:p>
            <w:pPr>
              <w:jc w:val="right"/>
              <w:ind w:right="357"/>
              <w:spacing w:after="0"/>
              <w:rPr>
                <w:sz w:val="20"/>
                <w:szCs w:val="20"/>
                <w:color w:val="auto"/>
              </w:rPr>
            </w:pPr>
            <w:r>
              <w:rPr>
                <w:rFonts w:ascii="Times New Roman" w:cs="Times New Roman" w:eastAsia="Times New Roman" w:hAnsi="Times New Roman"/>
                <w:sz w:val="21"/>
                <w:szCs w:val="21"/>
                <w:b w:val="1"/>
                <w:bCs w:val="1"/>
                <w:color w:val="auto"/>
              </w:rPr>
              <w:t>Minimum Debt Service Coverage Ratio</w:t>
            </w:r>
          </w:p>
        </w:tc>
      </w:tr>
      <w:tr>
        <w:trPr>
          <w:trHeight w:val="209"/>
        </w:trPr>
        <w:tc>
          <w:tcPr>
            <w:tcW w:w="50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6/30/2027</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1.000:1.00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9/30/2027</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1.025:1.00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12/31/2027</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1.050:1.00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3/31/2028</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1.075:1.00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6/30/2028</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1.100:1.00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9/30/2028</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1.125:1.00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12/31/2028</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1.150:1.00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3/31/2029</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1.175:1.00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6/30/2029</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1.200:1.00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9/30/2029</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1.225:1.00</w:t>
            </w:r>
          </w:p>
        </w:tc>
      </w:tr>
      <w:tr>
        <w:trPr>
          <w:trHeight w:val="170"/>
        </w:trPr>
        <w:tc>
          <w:tcPr>
            <w:tcW w:w="50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74"/>
        </w:trPr>
        <w:tc>
          <w:tcPr>
            <w:tcW w:w="5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12/31/2029</w:t>
            </w:r>
          </w:p>
        </w:tc>
        <w:tc>
          <w:tcPr>
            <w:tcW w:w="5020" w:type="dxa"/>
            <w:vAlign w:val="bottom"/>
          </w:tcPr>
          <w:p>
            <w:pPr>
              <w:jc w:val="right"/>
              <w:ind w:right="1957"/>
              <w:spacing w:after="0"/>
              <w:rPr>
                <w:sz w:val="20"/>
                <w:szCs w:val="20"/>
                <w:color w:val="auto"/>
              </w:rPr>
            </w:pPr>
            <w:r>
              <w:rPr>
                <w:rFonts w:ascii="Times New Roman" w:cs="Times New Roman" w:eastAsia="Times New Roman" w:hAnsi="Times New Roman"/>
                <w:sz w:val="21"/>
                <w:szCs w:val="21"/>
                <w:color w:val="auto"/>
              </w:rPr>
              <w:t>1.250:1.00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-3435985</wp:posOffset>
            </wp:positionV>
            <wp:extent cx="6377305" cy="37985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5">
                      <a:extLst>
                        <a:ext uri="{28A0092B-C50C-407E-A947-70E740481C1C}"/>
                      </a:extLst>
                    </a:blip>
                    <a:srcRect/>
                    <a:stretch>
                      <a:fillRect/>
                    </a:stretch>
                  </pic:blipFill>
                  <pic:spPr bwMode="auto">
                    <a:xfrm>
                      <a:off x="0" y="0"/>
                      <a:ext cx="6377305" cy="3798570"/>
                    </a:xfrm>
                    <a:prstGeom prst="rect">
                      <a:avLst/>
                    </a:prstGeom>
                    <a:noFill/>
                  </pic:spPr>
                </pic:pic>
              </a:graphicData>
            </a:graphic>
          </wp:anchor>
        </w:drawing>
      </w:r>
    </w:p>
    <w:p>
      <w:pPr>
        <w:spacing w:after="0" w:line="1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and each fiscal quarter thereafter</w:t>
      </w:r>
    </w:p>
    <w:p>
      <w:pPr>
        <w:spacing w:after="0" w:line="200" w:lineRule="exact"/>
        <w:rPr>
          <w:sz w:val="20"/>
          <w:szCs w:val="20"/>
          <w:color w:val="auto"/>
        </w:rPr>
      </w:pPr>
    </w:p>
    <w:p>
      <w:pPr>
        <w:spacing w:after="0" w:line="280"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7.19 Accounts</w:t>
      </w:r>
      <w:r>
        <w:rPr>
          <w:rFonts w:ascii="Times New Roman" w:cs="Times New Roman" w:eastAsia="Times New Roman" w:hAnsi="Times New Roman"/>
          <w:sz w:val="21"/>
          <w:szCs w:val="21"/>
          <w:color w:val="auto"/>
        </w:rPr>
        <w:t>. The Borrower shall not have any “account” with a “bank” (within the meaning of Sections 4-104(a)(1) and 4-105(1) of the UCC, respectively) other than (a) the Collateral Accounts, (b) the Excluded Accounts, and (c) any other account that will be terminated within thirty (30) days after the Closing Date.</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VIII</w:t>
      </w:r>
    </w:p>
    <w:p>
      <w:pPr>
        <w:ind w:left="3800"/>
        <w:spacing w:after="0"/>
        <w:rPr>
          <w:sz w:val="20"/>
          <w:szCs w:val="20"/>
          <w:color w:val="auto"/>
        </w:rPr>
      </w:pPr>
      <w:r>
        <w:rPr>
          <w:rFonts w:ascii="Times New Roman" w:cs="Times New Roman" w:eastAsia="Times New Roman" w:hAnsi="Times New Roman"/>
          <w:sz w:val="21"/>
          <w:szCs w:val="21"/>
          <w:color w:val="auto"/>
        </w:rPr>
        <w:t>EVENTS OF DEFAULT AND REMEDIES</w:t>
      </w:r>
    </w:p>
    <w:p>
      <w:pPr>
        <w:spacing w:after="0" w:line="149"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8.01 Events of Default</w:t>
      </w:r>
      <w:r>
        <w:rPr>
          <w:rFonts w:ascii="Times New Roman" w:cs="Times New Roman" w:eastAsia="Times New Roman" w:hAnsi="Times New Roman"/>
          <w:sz w:val="21"/>
          <w:szCs w:val="21"/>
          <w:color w:val="auto"/>
        </w:rPr>
        <w:t>. Any of the following from and after the Closing Date shall constitute an event of default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left="620" w:firstLine="621"/>
        <w:spacing w:after="0" w:line="218" w:lineRule="auto"/>
        <w:tabs>
          <w:tab w:leader="none" w:pos="1854"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Borrower fails to pay (i) when and as required to be paid herein, any amount of principal of any Loan, or (ii) within three (3) Business Days after the same becomes due, any interest on any Loan or any other amount payable hereunder or with respect to any other Loan Document;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a failure to pay caused by administrative or technical error shall not constitute an Event of Default if payment is made within five (5) Business Days of the discovery of such error or of the Administrative Agent notifying the Borrower of such error; or</w:t>
      </w:r>
    </w:p>
    <w:p>
      <w:pPr>
        <w:spacing w:after="0" w:line="140" w:lineRule="exact"/>
        <w:rPr>
          <w:rFonts w:ascii="Times New Roman" w:cs="Times New Roman" w:eastAsia="Times New Roman" w:hAnsi="Times New Roman"/>
          <w:sz w:val="21"/>
          <w:szCs w:val="21"/>
          <w:color w:val="auto"/>
        </w:rPr>
      </w:pPr>
    </w:p>
    <w:p>
      <w:pPr>
        <w:ind w:left="620" w:firstLine="621"/>
        <w:spacing w:after="0" w:line="237" w:lineRule="auto"/>
        <w:tabs>
          <w:tab w:leader="none" w:pos="1853"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Covenants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Borrower fails to perform or observe any term, covenant or agreement contained in any of </w:t>
      </w:r>
      <w:r>
        <w:rPr>
          <w:rFonts w:ascii="Times New Roman" w:cs="Times New Roman" w:eastAsia="Times New Roman" w:hAnsi="Times New Roman"/>
          <w:sz w:val="21"/>
          <w:szCs w:val="21"/>
          <w:u w:val="single" w:color="auto"/>
          <w:color w:val="auto"/>
        </w:rPr>
        <w:t>Section 6.05(a)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6.07(a)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or</w:t>
      </w:r>
    </w:p>
    <w:p>
      <w:pPr>
        <w:spacing w:after="0" w:line="141" w:lineRule="exact"/>
        <w:rPr>
          <w:rFonts w:ascii="Times New Roman" w:cs="Times New Roman" w:eastAsia="Times New Roman" w:hAnsi="Times New Roman"/>
          <w:sz w:val="21"/>
          <w:szCs w:val="21"/>
          <w:color w:val="auto"/>
        </w:rPr>
      </w:pPr>
    </w:p>
    <w:p>
      <w:pPr>
        <w:jc w:val="both"/>
        <w:ind w:left="620" w:firstLine="621"/>
        <w:spacing w:after="0" w:line="228" w:lineRule="auto"/>
        <w:tabs>
          <w:tab w:leader="none" w:pos="1854"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Borrower or the Pledgor fails to perform or observe any other covenant (not specified in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on its part to be performed or observed and such failure continues for thirty</w:t>
      </w:r>
    </w:p>
    <w:p>
      <w:pPr>
        <w:spacing w:after="0" w:line="1" w:lineRule="exact"/>
        <w:rPr>
          <w:rFonts w:ascii="Times New Roman" w:cs="Times New Roman" w:eastAsia="Times New Roman" w:hAnsi="Times New Roman"/>
          <w:sz w:val="20"/>
          <w:szCs w:val="20"/>
          <w:color w:val="auto"/>
        </w:rPr>
      </w:pPr>
    </w:p>
    <w:p>
      <w:pPr>
        <w:jc w:val="both"/>
        <w:ind w:left="620" w:firstLine="2"/>
        <w:spacing w:after="0" w:line="218" w:lineRule="auto"/>
        <w:tabs>
          <w:tab w:leader="none" w:pos="103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written notice thereof by the Administrative Agent to the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such failure does not involve (w) the payment of money to any Person, (x) the delivery of financial statements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(y) the delivery of Compliance Certificates pursuant to </w:t>
      </w:r>
      <w:r>
        <w:rPr>
          <w:rFonts w:ascii="Times New Roman" w:cs="Times New Roman" w:eastAsia="Times New Roman" w:hAnsi="Times New Roman"/>
          <w:sz w:val="21"/>
          <w:szCs w:val="21"/>
          <w:u w:val="single" w:color="auto"/>
          <w:color w:val="auto"/>
        </w:rPr>
        <w:t>Section 6.04(a)</w:t>
      </w:r>
      <w:r>
        <w:rPr>
          <w:rFonts w:ascii="Times New Roman" w:cs="Times New Roman" w:eastAsia="Times New Roman" w:hAnsi="Times New Roman"/>
          <w:sz w:val="21"/>
          <w:szCs w:val="21"/>
          <w:color w:val="auto"/>
        </w:rPr>
        <w:t xml:space="preserve"> or (z) the delivery of the Operating Budget</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type w:val="continuous"/>
        </w:sectPr>
      </w:pPr>
    </w:p>
    <w:bookmarkStart w:id="204" w:name="page205"/>
    <w:bookmarkEnd w:id="204"/>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Section 6.04(b)</w:t>
      </w:r>
      <w:r>
        <w:rPr>
          <w:rFonts w:ascii="Times New Roman" w:cs="Times New Roman" w:eastAsia="Times New Roman" w:hAnsi="Times New Roman"/>
          <w:sz w:val="21"/>
          <w:szCs w:val="21"/>
          <w:color w:val="auto"/>
        </w:rPr>
        <w:t xml:space="preserve"> (or the Annual Budget pursuant to </w:t>
      </w:r>
      <w:r>
        <w:rPr>
          <w:rFonts w:ascii="Times New Roman" w:cs="Times New Roman" w:eastAsia="Times New Roman" w:hAnsi="Times New Roman"/>
          <w:sz w:val="21"/>
          <w:szCs w:val="21"/>
          <w:u w:val="single" w:color="auto"/>
          <w:color w:val="auto"/>
        </w:rPr>
        <w:t>Section 6.04(d)</w:t>
      </w:r>
      <w:r>
        <w:rPr>
          <w:rFonts w:ascii="Times New Roman" w:cs="Times New Roman" w:eastAsia="Times New Roman" w:hAnsi="Times New Roman"/>
          <w:sz w:val="21"/>
          <w:szCs w:val="21"/>
          <w:color w:val="auto"/>
        </w:rPr>
        <w:t xml:space="preserve">, as applicable) and, in each case, is not susceptible to cure within such thirty (30) days from the earlier of the date a Responsible Officer of the Borrower obtains knowledge thereof or the Administrative Agent provides notice to the Borrower thereof and (ii) such Person is proceeding with diligence and good faith to cure such Default and such Default is susceptible to cure, such thirty (30)-day period shall be extended as may be necessary to cure such failure, such extended period not to exceed ninety (90) days in the aggregate (inclusive of the original thirty (30)-day period);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Borrower has taken all Required Actions then required of Borrower hereunder and the Double E Joint Venture has not complied with any covenant contained in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to the extent applicable to it, such action or omission of Double E Joint Venture shall not constitute or give rise to a Default or Event of Default; or</w:t>
      </w:r>
    </w:p>
    <w:p>
      <w:pPr>
        <w:spacing w:after="0" w:line="148" w:lineRule="exact"/>
        <w:rPr>
          <w:sz w:val="20"/>
          <w:szCs w:val="20"/>
          <w:color w:val="auto"/>
        </w:rPr>
      </w:pPr>
    </w:p>
    <w:p>
      <w:pPr>
        <w:jc w:val="both"/>
        <w:ind w:firstLine="621"/>
        <w:spacing w:after="0" w:line="221" w:lineRule="auto"/>
        <w:tabs>
          <w:tab w:leader="none" w:pos="123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Any representation, warranty, certification or statement of fact made or deemed made by or on behalf of the Borrower herein, or by the Borrower or the Pledgor in any other Loan Document (including by the Borrower in respect of the Double E Joint Venture), or in any certificate required to be delivered in connection herewith or therewith shall be incorrect in any material respect when made or deemed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(i) the Borrower was not aware that such representation or warranty was incorrect at the time such representation or warranty was made, (ii) the fact, event or circumstance resulting in such incorrect representation or warranty is capable of being cured, corrected or otherwise remedied (including through the receipt and application of indemnification proceeds received from the prior owners of the Borrower or any Affiliate thereof), and (iii) such fact, event or circumstance resulting in such incorrect representation or warranty shall have been cured, corrected or otherwise remedied within thirty (30) days from the earlier date a Responsible Officer of the Borrower obtains knowledge thereof or the Administrative Agent provides notice to the Borrower thereof, such false or incorrect representation or warranty shall not constitute a Default or an Event of Default for purposes of the Loan Documents; or</w:t>
      </w:r>
    </w:p>
    <w:p>
      <w:pPr>
        <w:spacing w:after="0" w:line="145" w:lineRule="exact"/>
        <w:rPr>
          <w:rFonts w:ascii="Times New Roman" w:cs="Times New Roman" w:eastAsia="Times New Roman" w:hAnsi="Times New Roman"/>
          <w:sz w:val="20"/>
          <w:szCs w:val="20"/>
          <w:color w:val="auto"/>
        </w:rPr>
      </w:pPr>
    </w:p>
    <w:p>
      <w:pPr>
        <w:jc w:val="both"/>
        <w:ind w:firstLine="621"/>
        <w:spacing w:after="0" w:line="209" w:lineRule="auto"/>
        <w:tabs>
          <w:tab w:leader="none" w:pos="1234"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Cross Payment Default; Cross-Acceleration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Borrower or the Double E Joint Venture (i) fails to make any payment beyond the applicable grace period with respect thereto, if any, (whether by scheduled maturity, required prepayment, acceleration, demand, or otherwise) in respect of any Indebtedness (other than Indebtedness for borrowed money hereunder) having an aggregate principal amount of not less than the Threshold Amount, or (ii) fails to observe or perform any other agreement or condition relating to any such Indebtedness, or any other event occurs, and, in each case, continues beyond the applicable grace period with respect thereto, the effect of which default or other event is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 (e)(ii)</w:t>
      </w:r>
      <w:r>
        <w:rPr>
          <w:rFonts w:ascii="Times New Roman" w:cs="Times New Roman" w:eastAsia="Times New Roman" w:hAnsi="Times New Roman"/>
          <w:sz w:val="21"/>
          <w:szCs w:val="21"/>
          <w:color w:val="auto"/>
        </w:rPr>
        <w:t xml:space="preserve"> shall not apply to: (A) secured Indebtedness that becomes due as a result of the voluntary sale or transfer of the property or assets securing such Indebtedness, if such sale or transfer is permitted hereunder and under the documents providing for such Indebtedness; (B) Indebtedness consisting of any Secured Interest Rate Hedge Agreements, unless such Secured Interest Rate Hedge Agreement has been terminated and the Swap Termination Amount is in excess of the Threshold Amount; and (C) any event requiring a prepayment or offer to purchase pursuant to customary asset sale or change of control provisions; or</w:t>
      </w:r>
    </w:p>
    <w:p>
      <w:pPr>
        <w:spacing w:after="0" w:line="149" w:lineRule="exact"/>
        <w:rPr>
          <w:rFonts w:ascii="Times New Roman" w:cs="Times New Roman" w:eastAsia="Times New Roman" w:hAnsi="Times New Roman"/>
          <w:sz w:val="21"/>
          <w:szCs w:val="21"/>
          <w:color w:val="auto"/>
        </w:rPr>
      </w:pPr>
    </w:p>
    <w:p>
      <w:pPr>
        <w:jc w:val="both"/>
        <w:ind w:firstLine="621"/>
        <w:spacing w:after="0" w:line="226" w:lineRule="auto"/>
        <w:tabs>
          <w:tab w:leader="none" w:pos="1237"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Pay Debts; Attachment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 The Borrower or the Double E Joint Venture becomes unable or admits in writing its inability or fails generally to pay its debts as they become due, (ii) any writ or warrant of attachment or execution or similar process is issued or levied against all or any material part of the property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0620"/>
          </w:cols>
          <w:pgMar w:left="940" w:top="1339" w:right="339" w:bottom="1440" w:gutter="0" w:footer="0" w:header="0"/>
        </w:sectPr>
      </w:pPr>
    </w:p>
    <w:bookmarkStart w:id="205" w:name="page206"/>
    <w:bookmarkEnd w:id="205"/>
    <w:p>
      <w:pPr>
        <w:jc w:val="both"/>
        <w:spacing w:after="0" w:line="217" w:lineRule="auto"/>
        <w:rPr>
          <w:sz w:val="20"/>
          <w:szCs w:val="20"/>
          <w:color w:val="auto"/>
        </w:rPr>
      </w:pPr>
      <w:r>
        <w:rPr>
          <w:rFonts w:ascii="Times New Roman" w:cs="Times New Roman" w:eastAsia="Times New Roman" w:hAnsi="Times New Roman"/>
          <w:sz w:val="21"/>
          <w:szCs w:val="21"/>
          <w:color w:val="auto"/>
        </w:rPr>
        <w:t>and is not released, vacated or fully bonded within sixty (60) days after its issue or levy, or (iii) any final, non-appealable judgments for declaratory or injunctive relief shall have been entered against the Borrower or the Double E Joint Venture that could reasonably be expected to have a Material Adverse Effect on the Borrower or the Double E Joint Venture (other than any such judgment, the execution of which was effectively stayed within sixty (60) days after its entry and continues to be stayed); or</w:t>
      </w:r>
    </w:p>
    <w:p>
      <w:pPr>
        <w:spacing w:after="0" w:line="142" w:lineRule="exact"/>
        <w:rPr>
          <w:sz w:val="20"/>
          <w:szCs w:val="20"/>
          <w:color w:val="auto"/>
        </w:rPr>
      </w:pPr>
    </w:p>
    <w:p>
      <w:pPr>
        <w:jc w:val="both"/>
        <w:ind w:firstLine="621"/>
        <w:spacing w:after="0" w:line="212" w:lineRule="auto"/>
        <w:tabs>
          <w:tab w:leader="none" w:pos="123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Insolvency Proceedings, Etc</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Borrower or the Double E Joint Venture institutes or consents to the institution of any proceeding under any Debtor Relief Law, inability or fail generally to pay its debts as they become due,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days; or any proceeding under any Debtor Relief Law relating to any such Person or to all or any material part of its property is instituted without the consent of such Person and continues undismissed or unstayed for sixty (60) days, or an order for relief is entered in any such proceeding; or</w:t>
      </w:r>
    </w:p>
    <w:p>
      <w:pPr>
        <w:spacing w:after="0" w:line="142" w:lineRule="exact"/>
        <w:rPr>
          <w:rFonts w:ascii="Times New Roman" w:cs="Times New Roman" w:eastAsia="Times New Roman" w:hAnsi="Times New Roman"/>
          <w:sz w:val="21"/>
          <w:szCs w:val="21"/>
          <w:color w:val="auto"/>
        </w:rPr>
      </w:pPr>
    </w:p>
    <w:p>
      <w:pPr>
        <w:jc w:val="both"/>
        <w:ind w:firstLine="621"/>
        <w:spacing w:after="0" w:line="218" w:lineRule="auto"/>
        <w:tabs>
          <w:tab w:leader="none" w:pos="123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There is entered against the Borrower or the Double E Joint Venture a final non-appealable judgment or order for the payment 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stayed or bonded pending an appeal for a period of ninety (90) consecutive days; or</w:t>
      </w:r>
    </w:p>
    <w:p>
      <w:pPr>
        <w:spacing w:after="0" w:line="140" w:lineRule="exact"/>
        <w:rPr>
          <w:rFonts w:ascii="Times New Roman" w:cs="Times New Roman" w:eastAsia="Times New Roman" w:hAnsi="Times New Roman"/>
          <w:sz w:val="21"/>
          <w:szCs w:val="21"/>
          <w:color w:val="auto"/>
        </w:rPr>
      </w:pPr>
    </w:p>
    <w:p>
      <w:pPr>
        <w:jc w:val="both"/>
        <w:ind w:firstLine="621"/>
        <w:spacing w:after="0" w:line="212" w:lineRule="auto"/>
        <w:tabs>
          <w:tab w:leader="none" w:pos="1226"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of Loan Documents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Any material provision of any Loan Document, at any time after its execution and delivery and for any reason other than as expressly permitted hereunder or thereunder (including as a result of a transaction permitted under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or as a result of acts or omissions by the Administrative Agent or Collateral Agent or any Lender or the satisfaction in full of all the Obligations, ceases to be in full force and effect; or the Borrower or the Pledgor contests in writing the validity or enforceability of any provision of any Loan Document or the validity or priority of a Lien as required by the Collateral Documents on a material portion of the Collateral; or the Borrower or the Pledgor denies in writing that it has any or further liability or obligation under any Loan Document (other than as a result of repayment in full of the Obligations and termination of the Aggregate Commitments), or purports in writing to revoke or rescind any Loan Document; or</w:t>
      </w:r>
    </w:p>
    <w:p>
      <w:pPr>
        <w:spacing w:after="0" w:line="146" w:lineRule="exact"/>
        <w:rPr>
          <w:rFonts w:ascii="Times New Roman" w:cs="Times New Roman" w:eastAsia="Times New Roman" w:hAnsi="Times New Roman"/>
          <w:sz w:val="21"/>
          <w:szCs w:val="21"/>
          <w:color w:val="auto"/>
        </w:rPr>
      </w:pPr>
    </w:p>
    <w:p>
      <w:pPr>
        <w:ind w:left="1220" w:hanging="599"/>
        <w:spacing w:after="0"/>
        <w:tabs>
          <w:tab w:leader="none" w:pos="122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Abandonment</w:t>
      </w:r>
      <w:r>
        <w:rPr>
          <w:rFonts w:ascii="Times New Roman" w:cs="Times New Roman" w:eastAsia="Times New Roman" w:hAnsi="Times New Roman"/>
          <w:sz w:val="21"/>
          <w:szCs w:val="21"/>
          <w:color w:val="auto"/>
        </w:rPr>
        <w:t>. Abandonment has occurred and is continuing; or</w:t>
      </w:r>
    </w:p>
    <w:p>
      <w:pPr>
        <w:spacing w:after="0" w:line="167"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There occurs any Change of Control; or</w:t>
      </w:r>
    </w:p>
    <w:p>
      <w:pPr>
        <w:spacing w:after="0" w:line="171" w:lineRule="exact"/>
        <w:rPr>
          <w:rFonts w:ascii="Times New Roman" w:cs="Times New Roman" w:eastAsia="Times New Roman" w:hAnsi="Times New Roman"/>
          <w:sz w:val="21"/>
          <w:szCs w:val="21"/>
          <w:color w:val="auto"/>
        </w:rPr>
      </w:pPr>
    </w:p>
    <w:p>
      <w:pPr>
        <w:jc w:val="both"/>
        <w:ind w:firstLine="621"/>
        <w:spacing w:after="0" w:line="221" w:lineRule="auto"/>
        <w:tabs>
          <w:tab w:leader="none" w:pos="1226"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 An ERISA Event occurs which has resulted or would reasonably be expected to result in a Material Adverse Effect, or (ii) the Borrower or any ERISA Affiliate fails to pay when due, after the expiration of any applicable grace period, any installment payment with respect to its withdrawal liability under Section 4201 of ERISA under a Multiemployer Plan and a Material Adverse Effect would reasonably be expected to result;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0620"/>
          </w:cols>
          <w:pgMar w:left="940" w:top="1339" w:right="339" w:bottom="1440" w:gutter="0" w:footer="0" w:header="0"/>
        </w:sectPr>
      </w:pPr>
    </w:p>
    <w:bookmarkStart w:id="206" w:name="page207"/>
    <w:bookmarkEnd w:id="206"/>
    <w:p>
      <w:pPr>
        <w:jc w:val="both"/>
        <w:ind w:left="620" w:firstLine="621"/>
        <w:spacing w:after="0" w:line="218" w:lineRule="auto"/>
        <w:tabs>
          <w:tab w:leader="none" w:pos="1846"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 xml:space="preserve">. Any Material Contract shall have been terminated,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no Event of Default with respect to the termination of a Material Contract shall be deemed to have occurred under this </w:t>
      </w:r>
      <w:r>
        <w:rPr>
          <w:rFonts w:ascii="Times New Roman" w:cs="Times New Roman" w:eastAsia="Times New Roman" w:hAnsi="Times New Roman"/>
          <w:sz w:val="21"/>
          <w:szCs w:val="21"/>
          <w:u w:val="single" w:color="auto"/>
          <w:color w:val="auto"/>
        </w:rPr>
        <w:t>clause (m)</w:t>
      </w:r>
      <w:r>
        <w:rPr>
          <w:rFonts w:ascii="Times New Roman" w:cs="Times New Roman" w:eastAsia="Times New Roman" w:hAnsi="Times New Roman"/>
          <w:sz w:val="21"/>
          <w:szCs w:val="21"/>
          <w:color w:val="auto"/>
        </w:rPr>
        <w:t xml:space="preserve"> so long as such Material Contract has been replaced within six (6) months of the occurrence of a Default under this </w:t>
      </w:r>
      <w:r>
        <w:rPr>
          <w:rFonts w:ascii="Times New Roman" w:cs="Times New Roman" w:eastAsia="Times New Roman" w:hAnsi="Times New Roman"/>
          <w:sz w:val="21"/>
          <w:szCs w:val="21"/>
          <w:u w:val="single" w:color="auto"/>
          <w:color w:val="auto"/>
        </w:rPr>
        <w:t>clause (m)</w:t>
      </w:r>
      <w:r>
        <w:rPr>
          <w:rFonts w:ascii="Times New Roman" w:cs="Times New Roman" w:eastAsia="Times New Roman" w:hAnsi="Times New Roman"/>
          <w:sz w:val="21"/>
          <w:szCs w:val="21"/>
          <w:color w:val="auto"/>
        </w:rPr>
        <w:t xml:space="preserve"> by a replacement agreement on substantially similar terms or otherwise in form and substance reasonably acceptable to the Administrative Agent; or</w:t>
      </w:r>
    </w:p>
    <w:p>
      <w:pPr>
        <w:spacing w:after="0" w:line="144" w:lineRule="exact"/>
        <w:rPr>
          <w:rFonts w:ascii="Times New Roman" w:cs="Times New Roman" w:eastAsia="Times New Roman" w:hAnsi="Times New Roman"/>
          <w:sz w:val="21"/>
          <w:szCs w:val="21"/>
          <w:color w:val="auto"/>
        </w:rPr>
      </w:pPr>
    </w:p>
    <w:p>
      <w:pPr>
        <w:jc w:val="both"/>
        <w:ind w:left="620" w:firstLine="621"/>
        <w:spacing w:after="0" w:line="217" w:lineRule="auto"/>
        <w:tabs>
          <w:tab w:leader="none" w:pos="1853"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Permit</w:t>
      </w:r>
      <w:r>
        <w:rPr>
          <w:rFonts w:ascii="Times New Roman" w:cs="Times New Roman" w:eastAsia="Times New Roman" w:hAnsi="Times New Roman"/>
          <w:sz w:val="21"/>
          <w:szCs w:val="21"/>
          <w:color w:val="auto"/>
        </w:rPr>
        <w:t>. Any Material Permit shall have been revoked and (i) such Material Permit has not been reinstated or replaced or (ii) such revocation has not otherwise been cured within 90 days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initial 90-day period shall automatically renew for one (1) additional period of 90 days so long as (x) the Double E Joint Venture is diligently seeking to reinstate or replace such revoked Material Permit and (y) no Material Adverse Effect on the Borrower or the Double E Joint Venture has occurred and is continuing as a result of such revocation).</w:t>
      </w:r>
    </w:p>
    <w:p>
      <w:pPr>
        <w:spacing w:after="0" w:line="146"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8.02 Remedies Upon Event of Default</w:t>
      </w:r>
      <w:r>
        <w:rPr>
          <w:rFonts w:ascii="Times New Roman" w:cs="Times New Roman" w:eastAsia="Times New Roman" w:hAnsi="Times New Roman"/>
          <w:sz w:val="21"/>
          <w:szCs w:val="21"/>
          <w:color w:val="auto"/>
        </w:rPr>
        <w:t>. If any Event of Default occurs and is continuing, the Administrative Agent may and, at the request of the Required Lenders, shall take any or all of the following actions:</w:t>
      </w:r>
    </w:p>
    <w:p>
      <w:pPr>
        <w:spacing w:after="0" w:line="146" w:lineRule="exact"/>
        <w:rPr>
          <w:sz w:val="20"/>
          <w:szCs w:val="20"/>
          <w:color w:val="auto"/>
        </w:rPr>
      </w:pPr>
    </w:p>
    <w:p>
      <w:pPr>
        <w:ind w:left="1240" w:firstLine="620"/>
        <w:spacing w:after="0" w:line="235" w:lineRule="auto"/>
        <w:tabs>
          <w:tab w:leader="none" w:pos="246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the Commitments and thereupon the Commitments shall terminate immediately, and the Lenders shall not be obligated, to make any additional Credit Extensions;</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72"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refuse to make (or permit to be made) any payments from any Collateral Account or any Proceeds (as defined in the UCC) or other funds held by Collateral Agent or Administrative Agent under the Loan Documents or on behalf of Borrower;</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0" w:lineRule="auto"/>
        <w:tabs>
          <w:tab w:leader="none" w:pos="2477"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unpaid principal amount of all outstanding Loans, all interest accrued and unpaid thereon, any unpaid fees accrued hereunder and all other Obligations and other amounts owing or payable hereunder or under any other Loan Document to be immediately due and payable, without presentment, demand, protest or other notice of any kind, all of which are hereby expressly waived by the Borrower; and</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6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on behalf of itself and the Lenders, and direct the Collateral Agent to exercise, all rights and remedies available to it and the Lenders, including under the Loan Documents, pursuant to the UCC, applicable Law, or at equity;</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upon the occurrence of an Event of Default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8.01(g)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of an actual or deemed entry of an order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relief with respect to Borrower under the Bankruptcy Code, the Commitments shall automatically terminate, the obligation of each Lender to make Loans shall automatically terminate, the Obligations, including the unpaid principal amount of all outstanding Loans and other amounts as aforesaid, shall automatically become due and payable, in each case without further act of the Administrative Agent or any Lender.</w:t>
      </w:r>
    </w:p>
    <w:p>
      <w:pPr>
        <w:spacing w:after="0" w:line="144"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8.03 Application of Funds</w:t>
      </w:r>
      <w:r>
        <w:rPr>
          <w:rFonts w:ascii="Times New Roman" w:cs="Times New Roman" w:eastAsia="Times New Roman" w:hAnsi="Times New Roman"/>
          <w:sz w:val="21"/>
          <w:szCs w:val="21"/>
          <w:color w:val="auto"/>
        </w:rPr>
        <w:t xml:space="preserve">. After the exercise of remedies provided for in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(or after the Loans have automatically become immediately due and payable), the Commitments have been reduced accordingly, any amounts or other distributions received on account of the Obligations, including any proceeds of Collateral, shall be applied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35"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1"/>
          <w:szCs w:val="21"/>
          <w:color w:val="auto"/>
        </w:rPr>
        <w:t>Administrative Agent in the following order (to the fullest extent permitted by mandatory provisions of applicable Law):</w:t>
      </w:r>
    </w:p>
    <w:p>
      <w:pPr>
        <w:spacing w:after="0" w:line="19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payment of that portion of the Obligations constituting fees, indemnities, expenses and other amounts (other than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principal and interest, but including Attorney Costs payable under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payable to the Administrative Agent or the Collateral Agent in its capacity as such;</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payment of that portion of the Super-Priority Permitted Indebtedness constituting fees, indemnities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amounts (other than principal and interest) payable to the applicable Secured Parties, ratably among them in proportion to the amounts described in this clause Second payable to them;</w:t>
      </w:r>
    </w:p>
    <w:p>
      <w:pPr>
        <w:spacing w:after="0" w:line="1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payment of that portion of the Super-Priority Permitted Indebtedness constituting accrued and unpaid interest on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Indebtedness, and any fees, premiums and scheduled periodic payments due under Super-Priority Hedging Debt, ratably among the applicable Secured Parties in proportion to the respective amounts described in this clause Third payable to them;</w:t>
      </w:r>
    </w:p>
    <w:p>
      <w:pPr>
        <w:spacing w:after="0" w:line="15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(a) to payment of that portion of the Super-Priority Permitted Indebtedness constituting unpaid principal, (b)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discharge or cash collateralize that portion of Super-Priority Letter of Credit Debt comprising the undrawn amount of letters of credit (in an amount equal to 103% of the undrawn amount of such letters of credit as of such date), and (c) to payment of any Swap Termination Amounts in connection with Super-Priority Hedging Debt, ratably among the applicable Secured Parties in proportion to the respective amounts described in this clause Fourth held by them;</w:t>
      </w:r>
    </w:p>
    <w:p>
      <w:pPr>
        <w:spacing w:after="0" w:line="18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to payment of that portion of the Obligations constituting fees, indemnities and other amounts (other than principal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interest) payable to the Lenders (including Attorney Costs payable under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ratably among them in proportion to the amounts described in this clause Fifth payable to them;</w:t>
      </w:r>
    </w:p>
    <w:p>
      <w:pPr>
        <w:spacing w:after="0" w:line="1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payment of that portion of the Obligations constituting accrued and unpaid interest on the Loans together with amounts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owing in accordance with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and any fees, premiums, ratably among the applicable Secured Parties in proportion to the respective amounts described in this clause Sixth payable to them;</w:t>
      </w:r>
    </w:p>
    <w:p>
      <w:pPr>
        <w:spacing w:after="0" w:line="15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to payment of that portion of the Obligations constituting unpaid principal of the Loans, ratably among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Secured Parties in proportion to the respective amounts described in this clause Seventh held by them;</w:t>
      </w:r>
    </w:p>
    <w:p>
      <w:pPr>
        <w:spacing w:after="0" w:line="1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to the payment of all other Obligations of the Borrower that are due and payable to the Administrative Agent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Secured Parties on such date, ratably based upon the respective aggregate amounts of all such Obligations owing to the Administrative Agent and the other Secured Parties on such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39" w:right="339" w:bottom="1440" w:gutter="0" w:footer="0" w:header="0"/>
        </w:sectPr>
      </w:pPr>
    </w:p>
    <w:bookmarkStart w:id="208" w:name="page209"/>
    <w:bookmarkEnd w:id="208"/>
    <w:p>
      <w:pPr>
        <w:ind w:left="620"/>
        <w:spacing w:after="0"/>
        <w:rPr>
          <w:sz w:val="20"/>
          <w:szCs w:val="20"/>
          <w:color w:val="auto"/>
        </w:rPr>
      </w:pPr>
      <w:r>
        <w:rPr>
          <w:rFonts w:ascii="Times New Roman" w:cs="Times New Roman" w:eastAsia="Times New Roman" w:hAnsi="Times New Roman"/>
          <w:sz w:val="21"/>
          <w:szCs w:val="21"/>
          <w:i w:val="1"/>
          <w:iCs w:val="1"/>
          <w:color w:val="auto"/>
        </w:rPr>
        <w:t>Last</w:t>
      </w:r>
      <w:r>
        <w:rPr>
          <w:rFonts w:ascii="Times New Roman" w:cs="Times New Roman" w:eastAsia="Times New Roman" w:hAnsi="Times New Roman"/>
          <w:sz w:val="21"/>
          <w:szCs w:val="21"/>
          <w:color w:val="auto"/>
        </w:rPr>
        <w:t>, the balance, if any, after all of the Obligations have been paid in full, to the Borrower or as otherwise required by Law.</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In connection with the directing of payments described above, the Administrative Agent shall be entitled to receive and rely upon information provided by the Secured Parties in respect the amount of Obligations owing to such party, including without limitation in respect of amounts owing under Secured Interest Rate Hedge Agreements.</w:t>
      </w:r>
    </w:p>
    <w:p>
      <w:pPr>
        <w:spacing w:after="0" w:line="1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IX</w:t>
      </w:r>
    </w:p>
    <w:p>
      <w:pPr>
        <w:ind w:left="3320"/>
        <w:spacing w:after="0"/>
        <w:rPr>
          <w:sz w:val="20"/>
          <w:szCs w:val="20"/>
          <w:color w:val="auto"/>
        </w:rPr>
      </w:pPr>
      <w:r>
        <w:rPr>
          <w:rFonts w:ascii="Times New Roman" w:cs="Times New Roman" w:eastAsia="Times New Roman" w:hAnsi="Times New Roman"/>
          <w:sz w:val="21"/>
          <w:szCs w:val="21"/>
          <w:color w:val="auto"/>
        </w:rPr>
        <w:t>ADMINISTRATIVE AGENT AND OTHER AGENTS</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9.01</w:t>
      </w:r>
      <w:r>
        <w:rPr>
          <w:sz w:val="20"/>
          <w:szCs w:val="20"/>
          <w:color w:val="auto"/>
        </w:rPr>
        <w:tab/>
      </w:r>
      <w:r>
        <w:rPr>
          <w:rFonts w:ascii="Times New Roman" w:cs="Times New Roman" w:eastAsia="Times New Roman" w:hAnsi="Times New Roman"/>
          <w:sz w:val="20"/>
          <w:szCs w:val="20"/>
          <w:u w:val="single" w:color="auto"/>
          <w:color w:val="auto"/>
        </w:rPr>
        <w:t>Appointment and Authorization of Agents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08" w:lineRule="auto"/>
        <w:tabs>
          <w:tab w:leader="none" w:pos="1854"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(in its capacities as a Lender and on behalf of itself and its Affiliates as potential counterparts to Secured Interest Rate Hedge Agreements)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Participant, and no implied covenants, functions, responsibilities, discretion, judgment,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5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3"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(in its capacities as a Lender and on behalf of itself and its Affiliates as potential counterparts to Secured Interest Rate Hedge Agreements) hereby (i) agrees that it will be bound by and will take no actions contrary to the provisions of the First Lien Intercreditor Agreement and (ii) authorizes the Administrative Agent to enter into the First Lien Intercreditor Agreement as the First Lien Term Representative on behalf of such Lender.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4"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 9.09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are solely for the benefit of the Administrative Agent and the Lenders, and the Borrower shall not have rights as a third-party beneficiary of any of such provisions.</w:t>
      </w:r>
    </w:p>
    <w:p>
      <w:pPr>
        <w:spacing w:after="0" w:line="145" w:lineRule="exact"/>
        <w:rPr>
          <w:rFonts w:ascii="Times New Roman" w:cs="Times New Roman" w:eastAsia="Times New Roman" w:hAnsi="Times New Roman"/>
          <w:sz w:val="21"/>
          <w:szCs w:val="21"/>
          <w:color w:val="auto"/>
        </w:rPr>
      </w:pPr>
    </w:p>
    <w:p>
      <w:pPr>
        <w:ind w:left="620" w:firstLine="621"/>
        <w:spacing w:after="0" w:line="254" w:lineRule="auto"/>
        <w:tabs>
          <w:tab w:leader="none" w:pos="185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61" w:right="339" w:bottom="1440" w:gutter="0" w:footer="0" w:header="0"/>
        </w:sectPr>
      </w:pPr>
    </w:p>
    <w:bookmarkStart w:id="209" w:name="page210"/>
    <w:bookmarkEnd w:id="209"/>
    <w:p>
      <w:pPr>
        <w:jc w:val="both"/>
        <w:ind w:left="620"/>
        <w:spacing w:after="0" w:line="209" w:lineRule="auto"/>
        <w:rPr>
          <w:sz w:val="20"/>
          <w:szCs w:val="20"/>
          <w:color w:val="auto"/>
        </w:rPr>
      </w:pPr>
      <w:r>
        <w:rPr>
          <w:rFonts w:ascii="Times New Roman" w:cs="Times New Roman" w:eastAsia="Times New Roman" w:hAnsi="Times New Roman"/>
          <w:sz w:val="21"/>
          <w:szCs w:val="21"/>
          <w:color w:val="auto"/>
        </w:rPr>
        <w:t>Affiliates (whether as a payment. prepayment or repayment of principal, interest. fees or otherwise: individually and collectively. a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xml:space="preserve">”)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demand from the Administrative Agent was received by such Lender to the date such amount is repaid to the Administrative Agent at the greater of the NYFRB Rate and a rate determined by the Administrative Agent in accordance with banking industry rules on interbank compensation from time to time in effect, net of any reasonable and documented expenses of such Lender incurred in connection with such repayment,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21"/>
          <w:szCs w:val="21"/>
          <w:u w:val="single" w:color="auto"/>
          <w:color w:val="auto"/>
        </w:rPr>
        <w:t>Section 9.01(f)</w:t>
      </w:r>
      <w:r>
        <w:rPr>
          <w:rFonts w:ascii="Times New Roman" w:cs="Times New Roman" w:eastAsia="Times New Roman" w:hAnsi="Times New Roman"/>
          <w:sz w:val="21"/>
          <w:szCs w:val="21"/>
          <w:color w:val="auto"/>
        </w:rPr>
        <w:t xml:space="preserve"> shall be conclusive, absent manifest error.</w:t>
      </w:r>
    </w:p>
    <w:p>
      <w:pPr>
        <w:spacing w:after="0" w:line="154" w:lineRule="exact"/>
        <w:rPr>
          <w:sz w:val="20"/>
          <w:szCs w:val="20"/>
          <w:color w:val="auto"/>
        </w:rPr>
      </w:pPr>
    </w:p>
    <w:p>
      <w:pPr>
        <w:jc w:val="both"/>
        <w:ind w:left="1240" w:firstLine="620"/>
        <w:spacing w:after="0" w:line="218" w:lineRule="auto"/>
        <w:tabs>
          <w:tab w:leader="none" w:pos="246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b w:val="1"/>
          <w:bCs w:val="1"/>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w:t>
      </w:r>
    </w:p>
    <w:p>
      <w:pPr>
        <w:spacing w:after="0" w:line="3" w:lineRule="exact"/>
        <w:rPr>
          <w:rFonts w:ascii="Times New Roman" w:cs="Times New Roman" w:eastAsia="Times New Roman" w:hAnsi="Times New Roman"/>
          <w:sz w:val="20"/>
          <w:szCs w:val="20"/>
          <w:color w:val="auto"/>
        </w:rPr>
      </w:pPr>
    </w:p>
    <w:p>
      <w:pPr>
        <w:jc w:val="both"/>
        <w:ind w:left="1240" w:firstLine="1"/>
        <w:spacing w:after="0" w:line="211" w:lineRule="auto"/>
        <w:tabs>
          <w:tab w:leader="none" w:pos="1541"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 thereafter. return to the Administrative Agent the amount of any such Payment (or portion thereof) as to which such a demand was made in same day funds, together with interest thereon in respect of each day from and including the date such demand from the Administrative Agent was received by such Lender to the date such amount is repaid to the Administrative Agent at the greater of the NYFRB Rate and a rate determined by the Administrative Agent in accordance with banking industry rules on interbank compensation from time to time in effect, net of any reasonable and documented expenses of such Lender incurred in connection with such repayment.</w:t>
      </w:r>
    </w:p>
    <w:p>
      <w:pPr>
        <w:spacing w:after="0" w:line="148" w:lineRule="exact"/>
        <w:rPr>
          <w:rFonts w:ascii="Times New Roman" w:cs="Times New Roman" w:eastAsia="Times New Roman" w:hAnsi="Times New Roman"/>
          <w:sz w:val="21"/>
          <w:szCs w:val="21"/>
          <w:color w:val="auto"/>
        </w:rPr>
      </w:pPr>
    </w:p>
    <w:p>
      <w:pPr>
        <w:jc w:val="both"/>
        <w:ind w:left="1240" w:firstLine="620"/>
        <w:spacing w:after="0" w:line="225" w:lineRule="auto"/>
        <w:tabs>
          <w:tab w:leader="none" w:pos="2472"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Lender’s obligations under this </w:t>
      </w:r>
      <w:r>
        <w:rPr>
          <w:rFonts w:ascii="Times New Roman" w:cs="Times New Roman" w:eastAsia="Times New Roman" w:hAnsi="Times New Roman"/>
          <w:sz w:val="21"/>
          <w:szCs w:val="21"/>
          <w:u w:val="single" w:color="auto"/>
          <w:color w:val="auto"/>
        </w:rPr>
        <w:t>Section 9.01(f)</w:t>
      </w:r>
      <w:r>
        <w:rPr>
          <w:rFonts w:ascii="Times New Roman" w:cs="Times New Roman" w:eastAsia="Times New Roman" w:hAnsi="Times New Roman"/>
          <w:sz w:val="21"/>
          <w:szCs w:val="21"/>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9.02 Delegation of Duties</w:t>
      </w:r>
      <w:r>
        <w:rPr>
          <w:rFonts w:ascii="Times New Roman" w:cs="Times New Roman" w:eastAsia="Times New Roman" w:hAnsi="Times New Roman"/>
          <w:sz w:val="21"/>
          <w:szCs w:val="21"/>
          <w:color w:val="auto"/>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and any such sub-agent may perform any and all of its duties and exercise its rights and powers by or through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39" w:right="339" w:bottom="1440" w:gutter="0" w:footer="0" w:header="0"/>
        </w:sectPr>
      </w:pPr>
    </w:p>
    <w:bookmarkStart w:id="210" w:name="page211"/>
    <w:bookmarkEnd w:id="210"/>
    <w:p>
      <w:pPr>
        <w:jc w:val="both"/>
        <w:spacing w:after="0" w:line="215" w:lineRule="auto"/>
        <w:rPr>
          <w:sz w:val="20"/>
          <w:szCs w:val="20"/>
          <w:color w:val="auto"/>
        </w:rPr>
      </w:pPr>
      <w:r>
        <w:rPr>
          <w:rFonts w:ascii="Times New Roman" w:cs="Times New Roman" w:eastAsia="Times New Roman" w:hAnsi="Times New Roman"/>
          <w:sz w:val="21"/>
          <w:szCs w:val="21"/>
          <w:color w:val="auto"/>
        </w:rPr>
        <w:t>respective Agent-Related Persons. The exculpatory provisions of this Article shall apply to any such sub-agent and to the Agent-Related Persons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agent or sub-agent or attorney-in-fact that it selects in the absence of gross negligence or willful misconduct (and in the case of the Administrative Agent, bad faith) (as determined in the final non-appealable judgment of a court of competent jurisdiction).</w:t>
      </w:r>
    </w:p>
    <w:p>
      <w:pPr>
        <w:spacing w:after="0" w:line="146" w:lineRule="exact"/>
        <w:rPr>
          <w:sz w:val="20"/>
          <w:szCs w:val="20"/>
          <w:color w:val="auto"/>
        </w:rPr>
      </w:pPr>
    </w:p>
    <w:p>
      <w:pPr>
        <w:jc w:val="both"/>
        <w:ind w:firstLine="619"/>
        <w:spacing w:after="0" w:line="207" w:lineRule="auto"/>
        <w:rPr>
          <w:sz w:val="20"/>
          <w:szCs w:val="20"/>
          <w:color w:val="auto"/>
        </w:rPr>
      </w:pPr>
      <w:r>
        <w:rPr>
          <w:rFonts w:ascii="Times New Roman" w:cs="Times New Roman" w:eastAsia="Times New Roman" w:hAnsi="Times New Roman"/>
          <w:sz w:val="21"/>
          <w:szCs w:val="21"/>
          <w:u w:val="single" w:color="auto"/>
          <w:color w:val="auto"/>
        </w:rPr>
        <w:t>Section 9.03 Liability of Agents</w:t>
      </w:r>
      <w:r>
        <w:rPr>
          <w:rFonts w:ascii="Times New Roman" w:cs="Times New Roman" w:eastAsia="Times New Roman" w:hAnsi="Times New Roman"/>
          <w:sz w:val="21"/>
          <w:szCs w:val="21"/>
          <w:color w:val="auto"/>
        </w:rPr>
        <w:t xml:space="preserve">. No Agent-Related Person shall (a) be liable for any action taken or omitted to be taken by any of them under or in connection with this Agreement, including in connection with any selection or implementation of (or failure to select or implement) the Benchmark Replacement or any other Loan Document or the transactions contemplated hereby (except for its own gross negligence or willful misconduct, as determined by the final non-appealable judgment of a court of competent jurisdiction, in connection with its duties expressly set forth herein), (b)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(c) be responsible for or have any duty to ascertain or inquire into the satisfaction of any condition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elsewhere herein, other than that the Administrative Agent shall confirm receipt of items expressly required to be delivered to the Administrative Agent or (d) be responsible in any manner to any Lender or Participant for any recital, statement, representation or warranty made by the Borrower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any loss or diminution in the value of the Collateral, or the perfection or priority of any Lien or security interest created or purported to be created under the Collateral Documents, or for any failure of the Borrower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the Borrower or any Affiliate thereof. Notwithstanding the foregoing or any other provision in any Loan Document, the Administrative Agent shall not have any duty to take any discretionary action or exercise any discretionary powers, except, in the case of Administrative Agent, discretionary (or judgment-based, as applicable) rights and powers expressly contemplated hereby or by the other Loan Documents that the Administrative Agent is required to exercise as directed in writing by the Required Lenders (or such other number or percentage of the Lenders or Secured Parties, as applicable, as shall be expressly provided for herein or in the other Loan Documents). For the avoidance of doubt,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50"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9.04 Reliance by the Administrative Agent</w:t>
      </w:r>
      <w:r>
        <w:rPr>
          <w:rFonts w:ascii="Times New Roman" w:cs="Times New Roman" w:eastAsia="Times New Roman" w:hAnsi="Times New Roman"/>
          <w:sz w:val="21"/>
          <w:szCs w:val="21"/>
          <w:color w:val="auto"/>
        </w:rPr>
        <w:t>. The Administrative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39" w:right="339" w:bottom="1440" w:gutter="0" w:footer="0" w:header="0"/>
        </w:sectPr>
      </w:pPr>
    </w:p>
    <w:bookmarkStart w:id="211" w:name="page212"/>
    <w:bookmarkEnd w:id="211"/>
    <w:p>
      <w:pPr>
        <w:jc w:val="both"/>
        <w:spacing w:after="0" w:line="223" w:lineRule="auto"/>
        <w:rPr>
          <w:sz w:val="20"/>
          <w:szCs w:val="20"/>
          <w:color w:val="auto"/>
        </w:rPr>
      </w:pPr>
      <w:r>
        <w:rPr>
          <w:rFonts w:ascii="Times New Roman" w:cs="Times New Roman" w:eastAsia="Times New Roman" w:hAnsi="Times New Roman"/>
          <w:sz w:val="20"/>
          <w:szCs w:val="20"/>
          <w:color w:val="auto"/>
        </w:rPr>
        <w:t>the proper Person or Persons, and upon advice and statements of legal counsel (including counsel to the Borrower), independent accountants and other experts selected by the Administrative Agent. The Administrative Agent shall be fully justified in failing or refusing to take any action under any Loan Document unless it shall first receive such advice, direction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47"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u w:val="single" w:color="auto"/>
          <w:color w:val="auto"/>
        </w:rPr>
        <w:t>Section 9.05 Notice of Default</w:t>
      </w:r>
      <w:r>
        <w:rPr>
          <w:rFonts w:ascii="Times New Roman" w:cs="Times New Roman" w:eastAsia="Times New Roman" w:hAnsi="Times New Roman"/>
          <w:sz w:val="21"/>
          <w:szCs w:val="21"/>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and the Administrative Agent shall notify the Lenders and the Collateral Agent of its receipt of any such notice. The Administrative Agent shall take such action with respect to any Event of Default as may be directed by the Required Lenders in accordance with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52" w:lineRule="exact"/>
        <w:rPr>
          <w:sz w:val="20"/>
          <w:szCs w:val="20"/>
          <w:color w:val="auto"/>
        </w:rPr>
      </w:pPr>
    </w:p>
    <w:p>
      <w:pPr>
        <w:jc w:val="both"/>
        <w:ind w:firstLine="619"/>
        <w:spacing w:after="0" w:line="219" w:lineRule="auto"/>
        <w:rPr>
          <w:sz w:val="20"/>
          <w:szCs w:val="20"/>
          <w:color w:val="auto"/>
        </w:rPr>
      </w:pPr>
      <w:r>
        <w:rPr>
          <w:rFonts w:ascii="Times New Roman" w:cs="Times New Roman" w:eastAsia="Times New Roman" w:hAnsi="Times New Roman"/>
          <w:sz w:val="20"/>
          <w:szCs w:val="20"/>
          <w:u w:val="single" w:color="auto"/>
          <w:color w:val="auto"/>
        </w:rPr>
        <w:t>Section 9.06 Credit Decision; Disclosure of Information by Agents</w:t>
      </w:r>
      <w:r>
        <w:rPr>
          <w:rFonts w:ascii="Times New Roman" w:cs="Times New Roman" w:eastAsia="Times New Roman" w:hAnsi="Times New Roman"/>
          <w:sz w:val="20"/>
          <w:szCs w:val="20"/>
          <w:color w:val="auto"/>
        </w:rPr>
        <w:t>. Each Lender acknowledges that no Agent-Related Person has made any representation or warranty to it, and that no act by any Agent hereafter taken, including any consent to and acceptance of any assignment or review of the affairs of the Borrower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Borrower, and all applicable bank or other regulatory Laws relating to the transactions contemplated hereby, and made its own decision to enter into this Agreement and to extend credit to the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the Borrower or any of their Affiliates which may come into the possession of any Agent-Related Person.</w:t>
      </w:r>
    </w:p>
    <w:p>
      <w:pPr>
        <w:spacing w:after="0" w:line="149"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9.07 Indemnification of the Administrative Agent</w:t>
      </w:r>
      <w:r>
        <w:rPr>
          <w:rFonts w:ascii="Times New Roman" w:cs="Times New Roman" w:eastAsia="Times New Roman" w:hAnsi="Times New Roman"/>
          <w:sz w:val="21"/>
          <w:szCs w:val="21"/>
          <w:color w:val="auto"/>
        </w:rPr>
        <w:t xml:space="preserve">. Whether or not the transactions contemplated hereby are consummated, the Lenders shall indemnify upon demand each Agent-Related Person (to the extent not reimbursed by or on behalf of the Borrower and without limiting the obligation of the Borrower to do so),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and hold harmless each Agent-Related Person from and against any and all Indemnified Liabilities incurred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39" w:right="339" w:bottom="1440" w:gutter="0" w:footer="0" w:header="0"/>
        </w:sectPr>
      </w:pPr>
    </w:p>
    <w:bookmarkStart w:id="212" w:name="page213"/>
    <w:bookmarkEnd w:id="212"/>
    <w:p>
      <w:pPr>
        <w:jc w:val="both"/>
        <w:spacing w:after="0" w:line="209"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Lender shall be liable for the payment to any Agent-Related Person of any portion of such Indemnified Liabilities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resulting from such Agent-Related Person’s own gross negligence or willful misconduct, as determined by the final non-appealable judgment of a court of competent 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action taken or not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In the case of any investigation, litigation or proceeding giving rise to any Indemnified Liabilities,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applies whether any such investigation, litigation or proceeding is brought by any Lender or any other Person. Without limitation of the foregoing, each Lender shall reimburse each of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and without limiting their obligation to do so. The undertaking in this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shall survive termination of the Aggregate Commitments, the payment of all other Obligations and the resignation or removal of the Administrative Agent.</w:t>
      </w:r>
    </w:p>
    <w:p>
      <w:pPr>
        <w:spacing w:after="0" w:line="154"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u w:val="single" w:color="auto"/>
          <w:color w:val="auto"/>
        </w:rPr>
        <w:t>Section 9.08 Administrative Agent in Its Individual Capacity</w:t>
      </w:r>
      <w:r>
        <w:rPr>
          <w:rFonts w:ascii="Times New Roman" w:cs="Times New Roman" w:eastAsia="Times New Roman" w:hAnsi="Times New Roman"/>
          <w:sz w:val="21"/>
          <w:szCs w:val="21"/>
          <w:color w:val="auto"/>
        </w:rPr>
        <w:t xml:space="preserve">. EPIC Administration, LLC, Nuveen, LLC and their respective Affiliates may make loans to, issue letters of credit for the account of, accept deposits from, acquire Equity Interests in and generally engage in any kind of banking, trust, financial advisory, underwriting or other business with the Borrower and its respective Affiliates as though EPIC Administration, LLC were not the Administrative Agent hereunder and without notice to or consent of the Lenders. The Lenders acknowledge that, pursuant to such activities, EPIC Administration, LLC, Nuveen, LLC or their respective Affiliates may receive information regarding the Borrower or its Affiliates (including information that may be subject to confidentiality obligations in favor of the Borrower or such Affiliate) and acknowledge that the Administrative Agent shall not be under any obligation to provide such information to them. With respect to its Loans (if any), EPIC Administration, LLC and its Affiliates shall have the same rights and powers under this Agreement as any other Lender and may exercise such rights and powers as though it were not an Agent, and the terms “Lender” and “Lenders” include EPIC Administration, LLC and/or such Affiliates in their respective individual capacities. Any successor to EPIC Administration, LLC as the Administrative Agent shall also have the rights attributed to the Administrative Agent, under this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u w:val="single" w:color="auto"/>
          <w:color w:val="auto"/>
        </w:rPr>
        <w:t>Section 9.09 Successor Agents</w:t>
      </w:r>
      <w:r>
        <w:rPr>
          <w:rFonts w:ascii="Times New Roman" w:cs="Times New Roman" w:eastAsia="Times New Roman" w:hAnsi="Times New Roman"/>
          <w:sz w:val="21"/>
          <w:szCs w:val="21"/>
          <w:color w:val="auto"/>
        </w:rPr>
        <w:t xml:space="preserve">. The Administrative Agent may resign as the Administrative Agent, upon thirty (30) days’ notice to the Lenders and the Borrower and if the Administrative Agent is a Defaulting Lender, the Borrower may remove such Defaulting Lender from such role upon ten (10) days’ notice to the Administrative Agent and the Lenders. If the Administrative Agent resigns or is removed by the Borrower, the Required Lenders shall appoint a successor agent, which successor agent shall (a) be selected from among the Lenders and (b) be consented to by the Borrower at all times other than during the existence of a Payment or Bankruptcy Default (which consent of the Borrower shall not be unreasonably withheld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any such successor Administrative Agent be a Defaulting Lender or a Disqualified Lender. If no successor agent is appointed prior to the effective date of the resignation or removal of the Administrative Agent, the Administrative Agent, in the case of a resignation, and the Borrower, in the case of a removal may appoint, after consulting with the Lenders and the Borrower (in the case of a resignation), a successor agent which, in the case of the Administrative Agent, shall be from among the Lenders (subject to the proviso at the end of the immediately preceding sentence). Upon the acceptance of its appointment as successor agent, the Person acting as such successor agent shall succeed to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35" w:right="339" w:bottom="1440" w:gutter="0" w:footer="0" w:header="0"/>
        </w:sectPr>
      </w:pPr>
    </w:p>
    <w:bookmarkStart w:id="213" w:name="page214"/>
    <w:bookmarkEnd w:id="213"/>
    <w:p>
      <w:pPr>
        <w:jc w:val="both"/>
        <w:spacing w:after="0" w:line="208" w:lineRule="auto"/>
        <w:rPr>
          <w:sz w:val="20"/>
          <w:szCs w:val="20"/>
          <w:color w:val="auto"/>
        </w:rPr>
      </w:pPr>
      <w:r>
        <w:rPr>
          <w:rFonts w:ascii="Times New Roman" w:cs="Times New Roman" w:eastAsia="Times New Roman" w:hAnsi="Times New Roman"/>
          <w:sz w:val="21"/>
          <w:szCs w:val="21"/>
          <w:color w:val="auto"/>
        </w:rPr>
        <w:t xml:space="preserve">rights, powers and duties of the retiring Administrative Agent under the Loan Documents and the term “Administrative Agent” shall mean such successor administrative agent, and the retiring Administrative Agent’s appointment, powers and duties as the Administrative Agent shall be terminated. After the retiring Administrative Agent’s resignation or removal in accordance herewith as the Administrative Agent,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the provisions of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shall inure to its benefit as to any actions taken or omitted to be taken by it while it was the Administrative Agent in respect of the Loan Documents. If no successor agent has accepted appointment as the Administrative Agent by the date which is thirty (30) days following the retiring Administrative Agent’s notice of resignation or ten (10) days following the Borrower’s notice of removal, the retiring Administrative Agent’s resignation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in accordance herewith by a successor and upon the execution and filing or recording of such financing statements, or amendments thereto, and such other instruments or notices, as may be necessary or desirable, or as the Required Lenders may request, in order to (x) continue the perfection of the Liens granted or purported to be granted by the Collateral Documents or (y) otherwise ensure that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is satisfied, the Administrative Agent shall thereupon succeed to and become vested with all the rights, powers, discretion or judgment (as applicable), privileges, and duties of the retiring Administrative Agent under the Loan Documents, and the retiring Administrative Agent shall be discharged from its duties and obligations under the Loan Documents. After the retiring Administrative Agent’s resignation hereunder as the Administrative Agent,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10.05</w:t>
      </w:r>
      <w:r>
        <w:rPr>
          <w:rFonts w:ascii="Times New Roman" w:cs="Times New Roman" w:eastAsia="Times New Roman" w:hAnsi="Times New Roman"/>
          <w:sz w:val="21"/>
          <w:szCs w:val="21"/>
          <w:color w:val="auto"/>
        </w:rPr>
        <w:t xml:space="preserve"> shall continue in effect for its benefit in respect of any actions taken or omitted to be taken by it while it was acting as the Administrative Agent.</w:t>
      </w:r>
    </w:p>
    <w:p>
      <w:pPr>
        <w:spacing w:after="0" w:line="15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9.10 Administrative Agent May File Proofs of Claim</w:t>
      </w:r>
      <w:r>
        <w:rPr>
          <w:rFonts w:ascii="Times New Roman" w:cs="Times New Roman" w:eastAsia="Times New Roman" w:hAnsi="Times New Roman"/>
          <w:sz w:val="21"/>
          <w:szCs w:val="21"/>
          <w:color w:val="auto"/>
        </w:rPr>
        <w:t>. In case of the pendency of any receivership, insolvency, liquidation, bankruptcy, reorganization, arrangement, adjustment, composition or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(to the fullest extent permitted by mandatory provisions of applicable Law) entitled and empowered, by intervention in such proceeding or otherwise:</w:t>
      </w:r>
    </w:p>
    <w:p>
      <w:pPr>
        <w:spacing w:after="0" w:line="146" w:lineRule="exact"/>
        <w:rPr>
          <w:sz w:val="20"/>
          <w:szCs w:val="20"/>
          <w:color w:val="auto"/>
        </w:rPr>
      </w:pPr>
    </w:p>
    <w:p>
      <w:pPr>
        <w:jc w:val="both"/>
        <w:ind w:left="620" w:firstLine="621"/>
        <w:spacing w:after="0" w:line="215" w:lineRule="auto"/>
        <w:tabs>
          <w:tab w:leader="none" w:pos="1854"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9.07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10.05</w:t>
      </w:r>
      <w:r>
        <w:rPr>
          <w:rFonts w:ascii="Times New Roman" w:cs="Times New Roman" w:eastAsia="Times New Roman" w:hAnsi="Times New Roman"/>
          <w:sz w:val="21"/>
          <w:szCs w:val="21"/>
          <w:color w:val="auto"/>
        </w:rPr>
        <w:t>) allowed in such judicial proceeding; and</w:t>
      </w:r>
    </w:p>
    <w:p>
      <w:pPr>
        <w:spacing w:after="0" w:line="13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and any custodian, curator,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39" w:right="339" w:bottom="1440" w:gutter="0" w:footer="0" w:header="0"/>
        </w:sectPr>
      </w:pPr>
    </w:p>
    <w:bookmarkStart w:id="214" w:name="page215"/>
    <w:bookmarkEnd w:id="214"/>
    <w:p>
      <w:pPr>
        <w:spacing w:after="0" w:line="269" w:lineRule="auto"/>
        <w:rPr>
          <w:sz w:val="20"/>
          <w:szCs w:val="20"/>
          <w:color w:val="auto"/>
        </w:rPr>
      </w:pPr>
      <w:r>
        <w:rPr>
          <w:rFonts w:ascii="Times New Roman" w:cs="Times New Roman" w:eastAsia="Times New Roman" w:hAnsi="Times New Roman"/>
          <w:sz w:val="21"/>
          <w:szCs w:val="21"/>
          <w:color w:val="auto"/>
        </w:rPr>
        <w:t xml:space="preserve">of the Agents and their respective agents and counsel, and any other amounts due the Administrative Agent under </w:t>
      </w:r>
      <w:r>
        <w:rPr>
          <w:rFonts w:ascii="Times New Roman" w:cs="Times New Roman" w:eastAsia="Times New Roman" w:hAnsi="Times New Roman"/>
          <w:sz w:val="21"/>
          <w:szCs w:val="21"/>
          <w:u w:val="single" w:color="auto"/>
          <w:color w:val="auto"/>
        </w:rPr>
        <w:t>Section 2.08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37"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u w:val="single" w:color="auto"/>
          <w:color w:val="auto"/>
        </w:rPr>
        <w:t>Section 9.11 Collateral Matters</w:t>
      </w:r>
      <w:r>
        <w:rPr>
          <w:rFonts w:ascii="Times New Roman" w:cs="Times New Roman" w:eastAsia="Times New Roman" w:hAnsi="Times New Roman"/>
          <w:sz w:val="21"/>
          <w:szCs w:val="21"/>
          <w:color w:val="auto"/>
        </w:rPr>
        <w:t>. Each Lender (including in its capacity as a counterparty to a Secured Interest Rate Hedge Agreement) and each other Secured Party by its acceptance of the Collateral Documents irrevocably agrees:</w:t>
      </w:r>
    </w:p>
    <w:p>
      <w:pPr>
        <w:spacing w:after="0" w:line="146" w:lineRule="exact"/>
        <w:rPr>
          <w:sz w:val="20"/>
          <w:szCs w:val="20"/>
          <w:color w:val="auto"/>
        </w:rPr>
      </w:pPr>
    </w:p>
    <w:p>
      <w:pPr>
        <w:jc w:val="both"/>
        <w:ind w:left="620" w:firstLine="621"/>
        <w:spacing w:after="0" w:line="209" w:lineRule="auto"/>
        <w:tabs>
          <w:tab w:leader="none" w:pos="1854"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any Lien on any property granted to or held by the Administrative Agent under any Loan Document shall be automatically released (i) upon termination of the Aggregate Commitments and payment in full in cash of all Obligations, (ii) at the time the property subject to such Lien is Disposed or to be Disposed as part of or in connection with any Disposition permitted hereunder or under any other Loan Document to any Person other than a Person required to grant a Lien to the Administrative Agent under the Loan Documents (or, if such transferee is a Person required to grant a Lien to the Administrative Agent on such asset, at the option of the Borrower, such Lien on such asset may still be released in connection with the transfer so long as (x) the transferee grants a new Lien to the Administrative Agent on such asset substantially concurrently with the transfer of such asset and (y) the priority of the new Lien is the same as that of the original Lien and the Lien of the Secured Parties on such asset is not impaired or otherwise adversely affected by such release and granting of such new Lien as reasonably determined by the Administrative Agent), (iii) subject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if the release of such Lien is approved, authorized or ratified in writing by the Required Lenders, (iv) to the extent (and only for so long as) such property constitutes an “Excluded Asset” or (v) if the release of such Lien on such property is permitted under the terms of each applicable Collateral Document; and</w:t>
      </w:r>
    </w:p>
    <w:p>
      <w:pPr>
        <w:spacing w:after="0" w:line="154"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Lien Intercreditor Agreement (or any supplement or amendment thereto, or amendment and restatement or replacement thereof) entered into by the Collateral Agent in accordance with the terms of this Agreement shall be binding on the Secured Parties.</w:t>
      </w:r>
    </w:p>
    <w:p>
      <w:pPr>
        <w:spacing w:after="0" w:line="17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Upon request by the Administrative Agent at any time, the Required Lenders will confirm in writing the Administrative Agent’s authority to release or subordinate its interest in particular types or items of property. In each case as specified in this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the Administrative Agent will promptly upon the request of the Borrower (and each Lender irrevocably authorizes the Administrative Agent to), at the Borrower’s expense, execute and deliver to the Borrower such documents as the Borrower may reasonably request to evidence the release or subordination of such item of Collateral from the assignment and security interest granted under the Collateral Documents, in each case in accordance with the terms of the Loan Documents and this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(and the Administrative Agent may rely conclusively on a certificate of a Responsible Officer of the Borrower to that effect provided to it by the Borrower upon its reasonable request without further inquiry). Any execution and delivery of documents pursuant to this Section shall be without recourse to or warranty by the Administrative Agent. For the avoidance of doubt, no release of Collateral effected in the manner permitted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65"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 xml:space="preserve"> shall require the consent of any holder of obligations under any Secured Interest Rate Hedge Agreement.</w:t>
      </w:r>
    </w:p>
    <w:p>
      <w:pPr>
        <w:spacing w:after="0" w:line="184"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9.12 Other Agents; Lead Arranger and Managers</w:t>
      </w:r>
      <w:r>
        <w:rPr>
          <w:rFonts w:ascii="Times New Roman" w:cs="Times New Roman" w:eastAsia="Times New Roman" w:hAnsi="Times New Roman"/>
          <w:sz w:val="21"/>
          <w:szCs w:val="21"/>
          <w:color w:val="auto"/>
        </w:rPr>
        <w:t>. None of the Lenders or other Persons identified on the facing page or signature pages of this Agreement as a “bookrunner”, “coordinating lead arranger”, “co-syndication agent”, “co-documentation agent” or “coordinating lead 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3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9.13</w:t>
      </w:r>
      <w:r>
        <w:rPr>
          <w:sz w:val="20"/>
          <w:szCs w:val="20"/>
          <w:color w:val="auto"/>
        </w:rPr>
        <w:tab/>
      </w:r>
      <w:r>
        <w:rPr>
          <w:rFonts w:ascii="Times New Roman" w:cs="Times New Roman" w:eastAsia="Times New Roman" w:hAnsi="Times New Roman"/>
          <w:sz w:val="20"/>
          <w:szCs w:val="20"/>
          <w:u w:val="single" w:color="auto"/>
          <w:color w:val="auto"/>
        </w:rPr>
        <w:t>Appointment of Supplemental Agents</w:t>
      </w:r>
      <w:r>
        <w:rPr>
          <w:rFonts w:ascii="Times New Roman" w:cs="Times New Roman" w:eastAsia="Times New Roman" w:hAnsi="Times New Roman"/>
          <w:sz w:val="20"/>
          <w:szCs w:val="20"/>
          <w:color w:val="auto"/>
        </w:rPr>
        <w:t>.</w:t>
      </w:r>
    </w:p>
    <w:p>
      <w:pPr>
        <w:jc w:val="both"/>
        <w:ind w:left="620" w:firstLine="621"/>
        <w:spacing w:after="0" w:line="208" w:lineRule="auto"/>
        <w:tabs>
          <w:tab w:leader="none" w:pos="1854"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determination as a separate trustee, co-trustee, administrative agent, administrative sub-agent or administrative co-agent (any such additional individual or institution being referred to herein individually as a “</w:t>
      </w:r>
      <w:r>
        <w:rPr>
          <w:rFonts w:ascii="Times New Roman" w:cs="Times New Roman" w:eastAsia="Times New Roman" w:hAnsi="Times New Roman"/>
          <w:sz w:val="21"/>
          <w:szCs w:val="21"/>
          <w:b w:val="1"/>
          <w:bCs w:val="1"/>
          <w:color w:val="auto"/>
        </w:rPr>
        <w:t>Supplemental Agent</w:t>
      </w:r>
      <w:r>
        <w:rPr>
          <w:rFonts w:ascii="Times New Roman" w:cs="Times New Roman" w:eastAsia="Times New Roman" w:hAnsi="Times New Roman"/>
          <w:sz w:val="21"/>
          <w:szCs w:val="21"/>
          <w:color w:val="auto"/>
        </w:rPr>
        <w:t>” and collectively as “</w:t>
      </w:r>
      <w:r>
        <w:rPr>
          <w:rFonts w:ascii="Times New Roman" w:cs="Times New Roman" w:eastAsia="Times New Roman" w:hAnsi="Times New Roman"/>
          <w:sz w:val="21"/>
          <w:szCs w:val="21"/>
          <w:b w:val="1"/>
          <w:bCs w:val="1"/>
          <w:color w:val="auto"/>
        </w:rPr>
        <w:t>Supplemental Agents</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left="620" w:firstLine="621"/>
        <w:spacing w:after="0" w:line="215" w:lineRule="auto"/>
        <w:tabs>
          <w:tab w:leader="none" w:pos="1853"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any instrument in writing from the Borrower be required by any Supplemental Agent so appointed by the Administrative Agent for more fully and certainly vesting in and confirming to him or it such rights, powers, privileges and duties, the Borrower shall execute, acknowledge and deliver any and all such instruments promptly upon request by the Administrative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spacing w:after="0" w:line="146"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9.14 Withholding Tax Indemnity</w:t>
      </w:r>
      <w:r>
        <w:rPr>
          <w:rFonts w:ascii="Times New Roman" w:cs="Times New Roman" w:eastAsia="Times New Roman" w:hAnsi="Times New Roman"/>
          <w:sz w:val="20"/>
          <w:szCs w:val="20"/>
          <w:color w:val="auto"/>
        </w:rPr>
        <w:t xml:space="preserve">.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because the appropriate form was not delivered or not properly executed, or because such Lender failed to notify the Administrative Agent of a change in circumstance that rendered the exemption from, or reduction of withholding Tax ineffective), such Lender shall, within ten (10) days after written demand therefor, indemnify and hold harmless the Administrative Agent (to the extent that the Administrative Agent has not already been reimbursed by the Borrower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without limiting the obligation of the Borrower to do so) for all amounts paid, directly or indirectly, by the Administrative Agent as Taxes or otherwise, together with all expenses incurred, including legal expenses and any other out-of-pocket expenses, whether or not such Tax was correctly or legally imposed or asserted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65" w:right="339" w:bottom="1440" w:gutter="0" w:footer="0" w:header="0"/>
        </w:sectPr>
      </w:pPr>
    </w:p>
    <w:bookmarkStart w:id="216" w:name="page217"/>
    <w:bookmarkEnd w:id="216"/>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The agreements in this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shall survive the resignation and/or replacement of the Administrative Agent, any assignment of rights by, or the replacement of, a Lender and the repayment, satisfaction or discharge of all other Obligations.</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u w:val="single" w:color="auto"/>
          <w:color w:val="auto"/>
        </w:rPr>
        <w:t>Section 9.15</w:t>
      </w:r>
      <w:r>
        <w:rPr>
          <w:sz w:val="20"/>
          <w:szCs w:val="20"/>
          <w:color w:val="auto"/>
        </w:rPr>
        <w:tab/>
      </w:r>
      <w:r>
        <w:rPr>
          <w:rFonts w:ascii="Times New Roman" w:cs="Times New Roman" w:eastAsia="Times New Roman" w:hAnsi="Times New Roman"/>
          <w:sz w:val="20"/>
          <w:szCs w:val="20"/>
          <w:u w:val="single" w:color="auto"/>
          <w:color w:val="auto"/>
        </w:rPr>
        <w:t>ERISA Matters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620" w:firstLine="621"/>
        <w:spacing w:after="0" w:line="225" w:lineRule="auto"/>
        <w:tabs>
          <w:tab w:leader="none" w:pos="1854"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spacing w:after="0" w:line="145" w:lineRule="exact"/>
        <w:rPr>
          <w:rFonts w:ascii="Times New Roman" w:cs="Times New Roman" w:eastAsia="Times New Roman" w:hAnsi="Times New Roman"/>
          <w:sz w:val="21"/>
          <w:szCs w:val="21"/>
          <w:color w:val="auto"/>
        </w:rPr>
      </w:pPr>
    </w:p>
    <w:p>
      <w:pPr>
        <w:ind w:left="1240" w:firstLine="620"/>
        <w:spacing w:after="0" w:line="235" w:lineRule="auto"/>
        <w:tabs>
          <w:tab w:leader="none" w:pos="246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the Plan Asset Regulations) of one or more Benefit Plans in connection with the Term Loans,</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12" w:lineRule="auto"/>
        <w:tabs>
          <w:tab w:leader="none" w:pos="2472"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for exemptive relief thereunder will be satisfied in connection with respect to, such Lender’s entrance into, participation in, administration of and performance of the Term Loans, or</w:t>
      </w:r>
    </w:p>
    <w:p>
      <w:pPr>
        <w:spacing w:after="0" w:line="149" w:lineRule="exact"/>
        <w:rPr>
          <w:rFonts w:ascii="Times New Roman" w:cs="Times New Roman" w:eastAsia="Times New Roman" w:hAnsi="Times New Roman"/>
          <w:sz w:val="21"/>
          <w:szCs w:val="21"/>
          <w:color w:val="auto"/>
        </w:rPr>
      </w:pPr>
    </w:p>
    <w:p>
      <w:pPr>
        <w:jc w:val="both"/>
        <w:ind w:left="1240" w:firstLine="620"/>
        <w:spacing w:after="0" w:line="217" w:lineRule="auto"/>
        <w:tabs>
          <w:tab w:leader="none" w:pos="2477"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Term Loans and this Agreement, and (C) the entrance into, participation in, administration of and performance of the Term Loans and this Agreement satisfies the requirements of sub-sections (a) through (g) and (k) of Section I of PTE 84-14.</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1" w:lineRule="auto"/>
        <w:tabs>
          <w:tab w:leader="none" w:pos="185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Sole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Term Loans and this Agreement, (ii) may recognize a gain if it extended the Term Loans for an amount less than the amount being paid for an interest in the Term Loans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utilization fees, minimum usage fees, letter of credit fees, fronting fees, deal-away or alternate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39" w:right="339" w:bottom="1440" w:gutter="0" w:footer="0" w:header="0"/>
        </w:sectPr>
      </w:pPr>
    </w:p>
    <w:bookmarkStart w:id="217" w:name="page218"/>
    <w:bookmarkEnd w:id="217"/>
    <w:p>
      <w:pPr>
        <w:ind w:left="620"/>
        <w:spacing w:after="0" w:line="235" w:lineRule="auto"/>
        <w:rPr>
          <w:sz w:val="20"/>
          <w:szCs w:val="20"/>
          <w:color w:val="auto"/>
        </w:rPr>
      </w:pPr>
      <w:r>
        <w:rPr>
          <w:rFonts w:ascii="Times New Roman" w:cs="Times New Roman" w:eastAsia="Times New Roman" w:hAnsi="Times New Roman"/>
          <w:sz w:val="21"/>
          <w:szCs w:val="21"/>
          <w:color w:val="auto"/>
        </w:rPr>
        <w:t>fees, amendment fees, processing fees, term out premiums, banker’s acceptance fees, breakage or other early termination fees or fees similar to the foregoing.</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X</w:t>
      </w:r>
    </w:p>
    <w:p>
      <w:pPr>
        <w:ind w:left="4760"/>
        <w:spacing w:after="0"/>
        <w:rPr>
          <w:sz w:val="20"/>
          <w:szCs w:val="20"/>
          <w:color w:val="auto"/>
        </w:rPr>
      </w:pPr>
      <w:r>
        <w:rPr>
          <w:rFonts w:ascii="Times New Roman" w:cs="Times New Roman" w:eastAsia="Times New Roman" w:hAnsi="Times New Roman"/>
          <w:sz w:val="21"/>
          <w:szCs w:val="21"/>
          <w:color w:val="auto"/>
        </w:rPr>
        <w:t>MISCELLANEOUS</w:t>
      </w:r>
    </w:p>
    <w:p>
      <w:pPr>
        <w:spacing w:after="0" w:line="149"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10.01 Amendments, Etc.</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2.07(d)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no amendment or waiver of any provision of this Agreement or any other Loan Document, and no consent to any departure by the Borrower therefrom, shall be effective unless in writing signed by the Required Lenders, or by the Administrative Agent with the consent of the Required Lenders, and the Borrower (with an executed copy thereof promptly delivered to the Administrative Agent if not otherwise a party thereto) and each such waiver or consent shall be effective only in the specific instance and for the specific purpose for which given;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amendment or waiver contemplated in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below, shall only require the consent of the Borrower and the Required Facility Lenders under the applicable Facility, as applicable;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no such amendment, waiver or consent shall:</w:t>
      </w:r>
    </w:p>
    <w:p>
      <w:pPr>
        <w:spacing w:after="0" w:line="150" w:lineRule="exact"/>
        <w:rPr>
          <w:sz w:val="20"/>
          <w:szCs w:val="20"/>
          <w:color w:val="auto"/>
        </w:rPr>
      </w:pPr>
    </w:p>
    <w:p>
      <w:pPr>
        <w:jc w:val="both"/>
        <w:ind w:left="620" w:firstLine="621"/>
        <w:spacing w:after="0" w:line="220" w:lineRule="auto"/>
        <w:tabs>
          <w:tab w:leader="none" w:pos="1854"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or increase the Commitment of any Lender or extend the final maturity date of any Facility without the written consent of each Lender holding such Commitment (it being understood that a waiver of any condition precedent or of any Event of Default, mandatory prepayment or mandatory reduction of the Commitments shall not constitute an extension or increase of any Commitment of any Lender);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0" w:lineRule="auto"/>
        <w:tabs>
          <w:tab w:leader="none" w:pos="185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postpone or waive any date scheduled for, or reduce or forgive the amount of, any payment of principal or interest under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2.07</w:t>
      </w:r>
      <w:r>
        <w:rPr>
          <w:rFonts w:ascii="Times New Roman" w:cs="Times New Roman" w:eastAsia="Times New Roman" w:hAnsi="Times New Roman"/>
          <w:sz w:val="21"/>
          <w:szCs w:val="21"/>
          <w:color w:val="auto"/>
        </w:rPr>
        <w:t>, in each case, without the written consent of each Lender holding the applicable Obligation (it being understood that the waiver of (or amendment to the terms of) any mandatory prepayment of the Term Loans shall not constitute a postponement of any date scheduled for the payment of principal or interest);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8" w:lineRule="auto"/>
        <w:tabs>
          <w:tab w:leader="none" w:pos="185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or forgive the principal of, or the rate of interest specified herein on, any Loan or (subject to clause (i) of the first paragraph following </w:t>
      </w:r>
      <w:r>
        <w:rPr>
          <w:rFonts w:ascii="Times New Roman" w:cs="Times New Roman" w:eastAsia="Times New Roman" w:hAnsi="Times New Roman"/>
          <w:sz w:val="20"/>
          <w:szCs w:val="20"/>
          <w:u w:val="single" w:color="auto"/>
          <w:color w:val="auto"/>
        </w:rPr>
        <w:t>Section 10.01(g)</w:t>
      </w:r>
      <w:r>
        <w:rPr>
          <w:rFonts w:ascii="Times New Roman" w:cs="Times New Roman" w:eastAsia="Times New Roman" w:hAnsi="Times New Roman"/>
          <w:sz w:val="20"/>
          <w:szCs w:val="20"/>
          <w:color w:val="auto"/>
        </w:rPr>
        <w:t xml:space="preserve">) any fees or other amounts payable hereunder or under any other Loan Document (or change the timing of payments of such fees or other amounts) without the written consent of each Lender holding such Loan or to whom such fee or other amount is owed;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only the consent of the Required Lenders shall be necessary to amend the definition of “Default Rate” or to waive any obligation of the Borrower to pay interest at the Default Rate;</w:t>
      </w:r>
    </w:p>
    <w:p>
      <w:pPr>
        <w:spacing w:after="0" w:line="145" w:lineRule="exact"/>
        <w:rPr>
          <w:rFonts w:ascii="Times New Roman" w:cs="Times New Roman" w:eastAsia="Times New Roman" w:hAnsi="Times New Roman"/>
          <w:sz w:val="20"/>
          <w:szCs w:val="20"/>
          <w:color w:val="auto"/>
        </w:rPr>
      </w:pPr>
    </w:p>
    <w:p>
      <w:pPr>
        <w:jc w:val="both"/>
        <w:ind w:left="620" w:firstLine="621"/>
        <w:spacing w:after="0" w:line="220" w:lineRule="auto"/>
        <w:tabs>
          <w:tab w:leader="none" w:pos="185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any provision of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the definition of “Required Lenders,” “Required Class Lenders,” “Required Facility Lenders” or any other provision specifying the number of Lenders or portion of the Loans or Commitments required to take any action under the Loan Documents, in each case, without the written consent of each Lender directly and adversely affected thereby;</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4"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all or substantially all of the Collateral in any transaction or series of related transactions (other than in connection with an Equity Sale in which the proceeds are applied to repay in full the Obligations under the Loan Documents), without the written consent of each Lender;</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7"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waive or otherwise modify any term or provision (including the availability and conditions to funding under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(but not the conditions to implementing Incremental Term Loans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d)) with respect to Incremental Term Loans, and the rate of interest applicable thereto) which directly affects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39" w:right="339" w:bottom="1440" w:gutter="0" w:footer="0" w:header="0"/>
        </w:sectPr>
      </w:pPr>
    </w:p>
    <w:bookmarkStart w:id="218" w:name="page219"/>
    <w:bookmarkEnd w:id="218"/>
    <w:p>
      <w:pPr>
        <w:jc w:val="both"/>
        <w:ind w:left="620"/>
        <w:spacing w:after="0" w:line="215" w:lineRule="auto"/>
        <w:rPr>
          <w:sz w:val="20"/>
          <w:szCs w:val="20"/>
          <w:color w:val="auto"/>
        </w:rPr>
      </w:pPr>
      <w:r>
        <w:rPr>
          <w:rFonts w:ascii="Times New Roman" w:cs="Times New Roman" w:eastAsia="Times New Roman" w:hAnsi="Times New Roman"/>
          <w:sz w:val="21"/>
          <w:szCs w:val="21"/>
          <w:color w:val="auto"/>
        </w:rPr>
        <w:t xml:space="preserve">Lenders of one or more Incremental Term Loans and does not directly affect Lenders under any other Facility, in each case, without the written consent of the Required Facility Lenders under such applicable Incremental Term Loans (and in the case of multiple Facilities which are affected, with respect to any such Facility, such consent shall be effected by the Required Facility Lenders of such Facility);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waivers described in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shall not require the consent of any Lenders other than the Required Facility Lenders under such applicable Incremental Term Loans, so long as such waivers are not material and adverse to any other Lender under any other Facility; or</w:t>
      </w:r>
    </w:p>
    <w:p>
      <w:pPr>
        <w:spacing w:after="0" w:line="146" w:lineRule="exact"/>
        <w:rPr>
          <w:sz w:val="20"/>
          <w:szCs w:val="20"/>
          <w:color w:val="auto"/>
        </w:rPr>
      </w:pPr>
    </w:p>
    <w:p>
      <w:pPr>
        <w:jc w:val="both"/>
        <w:ind w:left="620" w:firstLine="621"/>
        <w:spacing w:after="0" w:line="220" w:lineRule="auto"/>
        <w:tabs>
          <w:tab w:leader="none" w:pos="185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or modify any term or provision under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or any other provision of any Loan Documents providing for the ratable treatment of the Lenders, in each case in a manner that would alter the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sharing of payments and/or application of distributions required thereby, or change the definition of “Pro Rata Share” without the prior written consent of each of the Lenders.</w:t>
      </w:r>
    </w:p>
    <w:p>
      <w:pPr>
        <w:spacing w:after="0" w:line="17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Notwithstanding anything to the contrary herein, (i) no amendment, waiver or consent shall, unless in writing and signed by the Administrative Agent or the Collateral Agent, as applicable, in addition to the Lenders required above, affect the rights or duties of, or any fees or other amounts payable to, the Administrative Agent or the Collateral Agent, as applicable, under this Agreement or any other Loan Document; and (ii) the consent of each of the Required Class Lenders of any Class of Commitments or Loans shall be required with respect to any amendment that by its terms adversely affects the rights of such Class in respect of payments or Collateral hereunder in a manner different than such amendment affects other Classes.</w:t>
      </w:r>
    </w:p>
    <w:p>
      <w:pPr>
        <w:spacing w:after="0" w:line="17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materially and adversely affects any Defaulting Lender (if such Lender were not a Defaulting Lender) to a greater extent than other affected Lenders shall require the consent of such Defaulting Lender.</w:t>
      </w:r>
    </w:p>
    <w:p>
      <w:pPr>
        <w:spacing w:after="0" w:line="18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no Lender consent is required in connection with the execution and delivery by the Collateral Agent of the First Lien Intercreditor Agreement or other arrangement permitted under this Agreement (or any supplement or amendment thereto, or an amendment and restatement thereof) that is for the purpose of adding the Other Debt Representative with respect to any Indebtedness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where such Indebtedness is secured by Permitted Liens that the Borrower elects to secure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Liens securing the Obligations (it being understood that such other changes to the First Lien Intercreditor Agreement (including in connection with any supplement or amendment thereto, or amendment and restatement thereof) may be made as, in the good faith determination of the Administrative Agent, are required to effectuate the foregoing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other changes are not adverse, in any material respect, to the interests of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no such agreement shall amend, modify or otherwise affect the rights or duties of the Administrative Agent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39" w:right="339" w:bottom="1440" w:gutter="0" w:footer="0" w:header="0"/>
        </w:sectPr>
      </w:pPr>
    </w:p>
    <w:bookmarkStart w:id="219" w:name="page220"/>
    <w:bookmarkEnd w:id="219"/>
    <w:p>
      <w:pPr>
        <w:jc w:val="both"/>
        <w:spacing w:after="0" w:line="269" w:lineRule="auto"/>
        <w:rPr>
          <w:sz w:val="20"/>
          <w:szCs w:val="20"/>
          <w:color w:val="auto"/>
        </w:rPr>
      </w:pPr>
      <w:r>
        <w:rPr>
          <w:rFonts w:ascii="Times New Roman" w:cs="Times New Roman" w:eastAsia="Times New Roman" w:hAnsi="Times New Roman"/>
          <w:sz w:val="21"/>
          <w:szCs w:val="21"/>
          <w:color w:val="auto"/>
        </w:rPr>
        <w:t>Agent hereunder or under any other Loan Document without the prior written consent of the Administrative Agent or the Collateral Agent, as applicable.</w:t>
      </w:r>
    </w:p>
    <w:p>
      <w:pPr>
        <w:spacing w:after="0" w:line="15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this Agreement and any other Loan Document may be amended solely with the consent of the Administrative Agent and, if applicable, the Collateral Agent (at the Administrative Agent’s direction) and the Borrower without the need to obtain the consent of any other Lender if such amendment is delivered in order (A) to correct or cure ambiguities, errors, omissions or defects, (B) to effect administrative changes of a technical or immaterial nature, (C) to fix incorrect cross references or similar inaccuracies in this Agreement or the applicable Loan Document, (D) add any financial covenant or other terms for the benefit of all Lenders or any Class of Lenders pursuant to the conditions imposed on the incurrence of any Indebtedness set forth elsewhere in this Agreement, or (E) to implement amendments permitted by the First Lien Intercreditor Agreement, this Agreement or the other Collateral Documents that do not by the terms of the First Lien Intercreditor Agreement or other Collateral Documents require lender consent, and, in each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such amendment shall become effective without any further action or the consent of any other party to any Loan Document if the same is not objected to in writing by the Required Lenders within ten (10) Business Days following receipt of notice thereof. The Collateral Documents and related documents in connection with this Agreement and the other Loan Documents may be in a form reasonably determined by the Administrative Agent and may be, together with this Agreement, amended, supplemented and waived with the consent of the Administrative Agent and, if applicable, the Collateral Agent (at the Administrative Agent’s direction) at the request of the Borrower without the need to obtain the consent of any other Lender if such amendment, supplement or waiver is delivered in order (i) to comply with local Law or advice of local counsel, (ii) to correct or cure ambiguities, omissions, mistakes or defects or (iii) to cause such Collateral Documents or other document to be consistent with this Agreement and the other Loan Documents and, in each case, such amendment shall become effective without any further action or the consent of any other party to any Loan Document if the same is not objected to in writing by the Required Lenders within ten (10) Business Days following receipt of notice thereof.</w:t>
      </w:r>
    </w:p>
    <w:p>
      <w:pPr>
        <w:spacing w:after="0" w:line="19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the Administrative Agent, the Collateral Agent and the Borrower may amend, supplement or modify any provision of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(or any defined term as used in such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or any underlying definition thereto as used in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to make technical, ministerial or operational changes without the consent of any Lender so long as such amendments do not adversely affect any non-consenting Lender.</w:t>
      </w:r>
    </w:p>
    <w:p>
      <w:pPr>
        <w:spacing w:after="0" w:line="169"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Notwithstanding anything in this Agreement or any other Loan Document to the contrary, the Borrower and the Administrative Agent may enter into any Incremental Amendment in accordance with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and such Incremental Amendment shall be effective to amend the terms of this Agreement and the other applicable Loan Documents, in each case, without any further action or consent of any other party to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65" w:right="339" w:bottom="1440" w:gutter="0" w:footer="0" w:header="0"/>
        </w:sectPr>
      </w:pPr>
    </w:p>
    <w:bookmarkStart w:id="220" w:name="page221"/>
    <w:bookmarkEnd w:id="220"/>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any Loan Document, the parties to this Agreement agree that, for purposes of voting on any Specified Swap Voting Matter, a Hedge Bank that is a counterparty to a Secured Interest Rate Hedge Agreement, in its capacity as a counterparty or intermediary thereunder, shall be deemed to have made a Loan to Borrower in an amount equal to the then-outstanding Swap Termination Value of such Secured Interest Rate Hedge Agreements. For purposes of voting on any Specified Swap Voting Matter, each Hedge Bank that is a counterparty under a Secured Interest Rate Hedge Agreement shall be deemed a Lender to the extent of the Loan deemed to be made by such counterparty pursuant to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Section 10.02 Notices and Other Communications; Facsimile Copies</w:t>
      </w:r>
      <w:r>
        <w:rPr>
          <w:rFonts w:ascii="Times New Roman" w:cs="Times New Roman" w:eastAsia="Times New Roman" w:hAnsi="Times New Roman"/>
          <w:sz w:val="21"/>
          <w:szCs w:val="21"/>
          <w:color w:val="auto"/>
        </w:rPr>
        <w:t>.</w:t>
      </w:r>
    </w:p>
    <w:p>
      <w:pPr>
        <w:jc w:val="both"/>
        <w:ind w:left="620" w:firstLine="621"/>
        <w:spacing w:after="0" w:line="212" w:lineRule="auto"/>
        <w:tabs>
          <w:tab w:leader="none" w:pos="1854"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Unless otherwise expressly provided herein, all notices and other communications provided for hereunder or under any other Loan Document shall be in writing (including by facsimile transmission or electronic mail).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49" w:lineRule="exact"/>
        <w:rPr>
          <w:rFonts w:ascii="Times New Roman" w:cs="Times New Roman" w:eastAsia="Times New Roman" w:hAnsi="Times New Roman"/>
          <w:sz w:val="21"/>
          <w:szCs w:val="21"/>
          <w:color w:val="auto"/>
        </w:rPr>
      </w:pPr>
    </w:p>
    <w:p>
      <w:pPr>
        <w:jc w:val="both"/>
        <w:ind w:left="1240" w:firstLine="620"/>
        <w:spacing w:after="0" w:line="220" w:lineRule="auto"/>
        <w:tabs>
          <w:tab w:leader="none" w:pos="2466"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 the Borrower or the Administrative Agent or the Collateral Agent, to the address, facsimile number, electronic mail address or telephone number specified for such Person on </w:t>
      </w:r>
      <w:r>
        <w:rPr>
          <w:rFonts w:ascii="Times New Roman" w:cs="Times New Roman" w:eastAsia="Times New Roman" w:hAnsi="Times New Roman"/>
          <w:sz w:val="21"/>
          <w:szCs w:val="21"/>
          <w:u w:val="single" w:color="auto"/>
          <w:color w:val="auto"/>
        </w:rPr>
        <w:t>Schedule 10.02(a)</w:t>
      </w:r>
      <w:r>
        <w:rPr>
          <w:rFonts w:ascii="Times New Roman" w:cs="Times New Roman" w:eastAsia="Times New Roman" w:hAnsi="Times New Roman"/>
          <w:sz w:val="21"/>
          <w:szCs w:val="21"/>
          <w:color w:val="auto"/>
        </w:rPr>
        <w:t xml:space="preserve"> or to such other address, facsimile number, electronic mail address or telephone number as shall be designated by such party in a notice to the other parties; and</w:t>
      </w:r>
    </w:p>
    <w:p>
      <w:pPr>
        <w:spacing w:after="0" w:line="145" w:lineRule="exact"/>
        <w:rPr>
          <w:rFonts w:ascii="Times New Roman" w:cs="Times New Roman" w:eastAsia="Times New Roman" w:hAnsi="Times New Roman"/>
          <w:sz w:val="21"/>
          <w:szCs w:val="21"/>
          <w:color w:val="auto"/>
        </w:rPr>
      </w:pPr>
    </w:p>
    <w:p>
      <w:pPr>
        <w:jc w:val="both"/>
        <w:ind w:left="1240" w:firstLine="620"/>
        <w:spacing w:after="0" w:line="220" w:lineRule="auto"/>
        <w:tabs>
          <w:tab w:leader="none" w:pos="2472"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and the Administrative Agent and the Collateral Agent.</w:t>
      </w:r>
    </w:p>
    <w:p>
      <w:pPr>
        <w:spacing w:after="0" w:line="17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Times New Roman" w:cs="Times New Roman" w:eastAsia="Times New Roman" w:hAnsi="Times New Roman"/>
          <w:sz w:val="21"/>
          <w:szCs w:val="21"/>
          <w:u w:val="single" w:color="auto"/>
          <w:color w:val="auto"/>
        </w:rPr>
        <w:t>Section 10.02(d)</w:t>
      </w:r>
      <w:r>
        <w:rPr>
          <w:rFonts w:ascii="Times New Roman" w:cs="Times New Roman" w:eastAsia="Times New Roman" w:hAnsi="Times New Roman"/>
          <w:sz w:val="21"/>
          <w:szCs w:val="21"/>
          <w:color w:val="auto"/>
        </w:rPr>
        <w:t xml:space="preserve">), when delivered;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notices and other communications to the Administrative Agent and the Collateral Agent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shall not be effective until actually received by such Person. In no event shall a voice mail message be effective as a notice, communication or confirmation hereunder. Any notice not given during normal business hours for the recipient shall be deemed to have been given at the opening of business on the next Business Day for the recipient.</w:t>
      </w:r>
    </w:p>
    <w:p>
      <w:pPr>
        <w:spacing w:after="0" w:line="158" w:lineRule="exact"/>
        <w:rPr>
          <w:sz w:val="20"/>
          <w:szCs w:val="20"/>
          <w:color w:val="auto"/>
        </w:rPr>
      </w:pPr>
    </w:p>
    <w:p>
      <w:pPr>
        <w:jc w:val="both"/>
        <w:ind w:left="620" w:firstLine="621"/>
        <w:spacing w:after="0" w:line="221" w:lineRule="auto"/>
        <w:tabs>
          <w:tab w:leader="none" w:pos="1853"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Effectiveness of Facsimile Documents and Signatures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Loan Documents may be transmitted and/or signed by facsimile or other electronic communication. The effectiveness of any such documents and signatures shall, subject to applicable Law, have the same force and </w:t>
      </w:r>
      <w:r>
        <w:rPr>
          <w:rFonts w:ascii="Times New Roman" w:cs="Times New Roman" w:eastAsia="Times New Roman" w:hAnsi="Times New Roman"/>
          <w:sz w:val="21"/>
          <w:szCs w:val="21"/>
          <w:i w:val="1"/>
          <w:iCs w:val="1"/>
          <w:color w:val="auto"/>
        </w:rPr>
        <w:t>effect</w:t>
      </w:r>
      <w:r>
        <w:rPr>
          <w:rFonts w:ascii="Times New Roman" w:cs="Times New Roman" w:eastAsia="Times New Roman" w:hAnsi="Times New Roman"/>
          <w:sz w:val="21"/>
          <w:szCs w:val="21"/>
          <w:color w:val="auto"/>
        </w:rPr>
        <w:t xml:space="preserve"> as manually signed originals and shall be binding on the Borrower, the Agents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65" w:right="339" w:bottom="1440" w:gutter="0" w:footer="0" w:header="0"/>
        </w:sectPr>
      </w:pPr>
    </w:p>
    <w:bookmarkStart w:id="221" w:name="page222"/>
    <w:bookmarkEnd w:id="221"/>
    <w:p>
      <w:pPr>
        <w:jc w:val="both"/>
        <w:ind w:left="620" w:firstLine="621"/>
        <w:spacing w:after="0" w:line="222" w:lineRule="auto"/>
        <w:tabs>
          <w:tab w:leader="none" w:pos="185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Agents and Lenders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Administrative Agent, the Collateral Agent and the Lenders shall be entitled to rely and act upon any notices (including telephonic Committed Loan Notices) purportedly given by or on behalf of the Borrower even if (i) such notices were not made in a manner specified herein, were incomplete or were not </w:t>
      </w:r>
      <w:r>
        <w:rPr>
          <w:rFonts w:ascii="Times New Roman" w:cs="Times New Roman" w:eastAsia="Times New Roman" w:hAnsi="Times New Roman"/>
          <w:sz w:val="20"/>
          <w:szCs w:val="20"/>
          <w:i w:val="1"/>
          <w:iCs w:val="1"/>
          <w:color w:val="auto"/>
        </w:rPr>
        <w:t>preceded</w:t>
      </w:r>
      <w:r>
        <w:rPr>
          <w:rFonts w:ascii="Times New Roman" w:cs="Times New Roman" w:eastAsia="Times New Roman" w:hAnsi="Times New Roman"/>
          <w:sz w:val="20"/>
          <w:szCs w:val="20"/>
          <w:color w:val="auto"/>
        </w:rPr>
        <w:t xml:space="preserve">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(and in the case of the Administrative Agent, any of the Administrative Agent’s Agent Related Persons, or any Lender, bad faith) as determined in a final and non-appealable judgment by a court of competent jurisdiction. All telephonic notices to the Administrative Agent or the Collateral Agent may be recorded by the Administrative Agent or the Collateral Agent, and each of the parties hereto hereby consents to such recording.</w:t>
      </w:r>
    </w:p>
    <w:p>
      <w:pPr>
        <w:spacing w:after="0" w:line="145" w:lineRule="exact"/>
        <w:rPr>
          <w:rFonts w:ascii="Times New Roman" w:cs="Times New Roman" w:eastAsia="Times New Roman" w:hAnsi="Times New Roman"/>
          <w:sz w:val="20"/>
          <w:szCs w:val="20"/>
          <w:color w:val="auto"/>
        </w:rPr>
      </w:pPr>
    </w:p>
    <w:p>
      <w:pPr>
        <w:jc w:val="both"/>
        <w:ind w:left="620" w:firstLine="621"/>
        <w:spacing w:after="0" w:line="211" w:lineRule="auto"/>
        <w:tabs>
          <w:tab w:leader="none" w:pos="185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Communications</w:t>
      </w:r>
      <w:r>
        <w:rPr>
          <w:rFonts w:ascii="Times New Roman" w:cs="Times New Roman" w:eastAsia="Times New Roman" w:hAnsi="Times New Roman"/>
          <w:sz w:val="21"/>
          <w:szCs w:val="21"/>
          <w:color w:val="auto"/>
        </w:rPr>
        <w:t xml:space="preserve">. Notices and other communications to the Lenders hereunder may be delivered or furnished by FpML messaging and Internet or intranet websites pursuant to procedures approved by the Administrative Agent acting reasonably,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notices to any Lender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if such Lender has notified the Administrative Agent that it is incapable of receiving notices under such Article by such </w:t>
      </w:r>
      <w:r>
        <w:rPr>
          <w:rFonts w:ascii="Times New Roman" w:cs="Times New Roman" w:eastAsia="Times New Roman" w:hAnsi="Times New Roman"/>
          <w:sz w:val="21"/>
          <w:szCs w:val="21"/>
          <w:i w:val="1"/>
          <w:iCs w:val="1"/>
          <w:color w:val="auto"/>
        </w:rPr>
        <w:t>communication</w:t>
      </w:r>
      <w:r>
        <w:rPr>
          <w:rFonts w:ascii="Times New Roman" w:cs="Times New Roman" w:eastAsia="Times New Roman" w:hAnsi="Times New Roman"/>
          <w:sz w:val="21"/>
          <w:szCs w:val="21"/>
          <w:color w:val="auto"/>
        </w:rPr>
        <w:t xml:space="preserve">. The Administrative Agent or the Borrower may each, in its discretion, agree to accept notices and other communications to it hereunder by FpML messaging and Internet or intranet websites pursuant to procedures approved by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 Unless the Administrative Agent otherwise prescribes, notices or communications posted to an Internet or intranet website shall be deemed received upon the deemed receipt by the intended recipient at its e-mail address of notification that such notice or communication is available and identifying the website address therefor.</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10.03 No Waiver; Cumulative Remedies</w:t>
      </w:r>
      <w:r>
        <w:rPr>
          <w:rFonts w:ascii="Times New Roman" w:cs="Times New Roman" w:eastAsia="Times New Roman" w:hAnsi="Times New Roman"/>
          <w:sz w:val="21"/>
          <w:szCs w:val="21"/>
          <w:color w:val="auto"/>
        </w:rPr>
        <w:t>. No failure by any Lender or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46"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u w:val="single" w:color="auto"/>
          <w:color w:val="auto"/>
        </w:rPr>
        <w:t>Section 10.04 Attorney Costs and Expenses</w:t>
      </w:r>
      <w:r>
        <w:rPr>
          <w:rFonts w:ascii="Times New Roman" w:cs="Times New Roman" w:eastAsia="Times New Roman" w:hAnsi="Times New Roman"/>
          <w:sz w:val="21"/>
          <w:szCs w:val="21"/>
          <w:color w:val="auto"/>
        </w:rPr>
        <w:t>. The Borrower agrees (a) to pay or reimburse the Administrative Agent, the Collateral Agent and the Sole Lead Arranger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one primary counsel for the Administrative Agent, the Collateral Agent and the Sole Lead Arranger, which shall be Paul Hastings, LLP for any and all of the foregoing in connection with the Transactions and other matters, including primary syndication, to occur on or prior to or otherwise in connection with the Closing Date) and one local counsel for the Administrative Agent, the Collateral Agent and the Sole Lead Arranger as reasonably necessary in each relevant jurisdiction material to the interests of the Lenders taken as a whole (and solely in the case of a conflict of interest,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35" w:right="339" w:bottom="1440" w:gutter="0" w:footer="0" w:header="0"/>
        </w:sectPr>
      </w:pPr>
    </w:p>
    <w:bookmarkStart w:id="222" w:name="page223"/>
    <w:bookmarkEnd w:id="222"/>
    <w:p>
      <w:pPr>
        <w:jc w:val="both"/>
        <w:spacing w:after="0" w:line="208" w:lineRule="auto"/>
        <w:rPr>
          <w:sz w:val="20"/>
          <w:szCs w:val="20"/>
          <w:color w:val="auto"/>
        </w:rPr>
      </w:pPr>
      <w:r>
        <w:rPr>
          <w:rFonts w:ascii="Times New Roman" w:cs="Times New Roman" w:eastAsia="Times New Roman" w:hAnsi="Times New Roman"/>
          <w:sz w:val="21"/>
          <w:szCs w:val="21"/>
          <w:color w:val="auto"/>
        </w:rPr>
        <w:t xml:space="preserve">additional counsel for each group of similarly situated affected Indemnitees) and (b) from and after the Closing Date, to pay or reimburse the Administrative Agent, the Collateral Agent, the Sole Lead Arranger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 and including all respective Attorney Costs which shall be limited to Attorney Costs of one counsel to the Administrative Agent and one counsel to the Collateral Agent (and one local counsel to the Administrative Agent and Collateral Agent as reasonably necessary in each relevant jurisdiction material to the interests of the Lenders taken as a whole (and solely in the case of a conflict of interest, one additional counsel to each group of similarly situated affected Indemnitees)). The foregoing costs and expenses shall include all reasonable search, filing, recording and title insurance charges and fees related thereto, and other reasonable and documented out-of-pocket expenses incurred by any Agent. The agreements in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survive the termination of the Aggregate Commitments, the repayment of all other Obligations and the resignation or removal of the Administrative Agent and the Collateral Agent. All amounts due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shall be paid within thirty (30) days of receipt by the Borrower of an invoice relating thereto setting forth such expenses in reasonable detail including, if requested by the Borrower and to the extent reasonably available, backup documentation supporting such reimbursement request;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the Closing Date, all amounts due under this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shall be paid on the Closing Date solely to the extent invoiced to the Borrower within five (5) Business Days of the Closing Date. If the Borrower fails to pay when due any costs, expenses or other amounts payable by it hereunder or under any Loan Document, such amount may be paid on behalf of the Borrower by the Administrative Agent in its sole discretion.</w:t>
      </w:r>
    </w:p>
    <w:p>
      <w:pPr>
        <w:spacing w:after="0" w:line="15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0"/>
          <w:szCs w:val="20"/>
          <w:u w:val="single" w:color="auto"/>
          <w:color w:val="auto"/>
        </w:rPr>
        <w:t>Section 10.05 Indemnification by the Borrower</w:t>
      </w:r>
      <w:r>
        <w:rPr>
          <w:rFonts w:ascii="Times New Roman" w:cs="Times New Roman" w:eastAsia="Times New Roman" w:hAnsi="Times New Roman"/>
          <w:sz w:val="20"/>
          <w:szCs w:val="20"/>
          <w:color w:val="auto"/>
        </w:rPr>
        <w:t>. The Borrower shall indemnify and hold harmless each Agent-Related Person, each Lender, the Sole Lead Arranger and their respective Affiliates and their respective officers, directors, employees, partners, agents, advisors and other representatives of each of the foregoing (collectively the “</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from and against any and all liabilities (including Environmental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that is material to the interests of the Lenders, and solely in the case of a conflict of interest, one additional counsel in each relevant material jurisdiction for all affected Indemnitees that are similarly situated taken as a whole) of any kind or nature whatsoever which may at any time be imposed on, incurred by or asserted against any such Indemnitee in any way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or (b)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whether brought by a third party or by the Borrower, and regardless of whether any Indemnitee is a party thereto (all the foregoing, collectively, the “</w:t>
      </w:r>
      <w:r>
        <w:rPr>
          <w:rFonts w:ascii="Times New Roman" w:cs="Times New Roman" w:eastAsia="Times New Roman" w:hAnsi="Times New Roman"/>
          <w:sz w:val="20"/>
          <w:szCs w:val="20"/>
          <w:b w:val="1"/>
          <w:bCs w:val="1"/>
          <w:color w:val="auto"/>
        </w:rPr>
        <w:t>Indemnified Liabilities</w:t>
      </w:r>
      <w:r>
        <w:rPr>
          <w:rFonts w:ascii="Times New Roman" w:cs="Times New Roman" w:eastAsia="Times New Roman" w:hAnsi="Times New Roman"/>
          <w:sz w:val="20"/>
          <w:szCs w:val="20"/>
          <w:color w:val="auto"/>
        </w:rPr>
        <w:t xml:space="preserve">”) in all cases, whether or not caused by or arising, in whole or in part, out of the negligence of the Indemnitee;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such indemnity shall not, as to any Indemnitee, be available to the extent that such liabilities, obligations, losses, damages, penalties, claims, demands, actions, judgments, suits, costs, expenses or disbursements (w) resulted from the gross negligence or willful misconduct of such Indemnitee or of any of its Affiliates or Controlling Persons or their respective directors, officers, employees, partners, agents, advisors or other representatives,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39" w:right="339" w:bottom="1440" w:gutter="0" w:footer="0" w:header="0"/>
        </w:sectPr>
      </w:pPr>
    </w:p>
    <w:bookmarkStart w:id="223" w:name="page224"/>
    <w:bookmarkEnd w:id="223"/>
    <w:p>
      <w:pPr>
        <w:jc w:val="both"/>
        <w:spacing w:after="0" w:line="225" w:lineRule="auto"/>
        <w:rPr>
          <w:sz w:val="20"/>
          <w:szCs w:val="20"/>
          <w:color w:val="auto"/>
        </w:rPr>
      </w:pPr>
      <w:r>
        <w:rPr>
          <w:rFonts w:ascii="Times New Roman" w:cs="Times New Roman" w:eastAsia="Times New Roman" w:hAnsi="Times New Roman"/>
          <w:sz w:val="20"/>
          <w:szCs w:val="20"/>
          <w:color w:val="auto"/>
        </w:rPr>
        <w:t>determined by a final non-appealable judgment of a court of competent jurisdiction, (x) resulted from the bad faith of such Indemnitee or of any of its Affiliates or Controlling Persons or their respective directors, officers, employees, partners, agents, advisors or other representatives, as determined by a final non-appealable judgment of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shall not apply to the Collateral Agent), (y) arising from a material breach of any obligations under any Loan Document by such Indemnitee or of any of its Affiliates or Controlling Persons or their respective directors, officers, employees, partners, agents, advisors or other representatives, as determined by a final non-appealable judgment of a court of competent jurisdiction (provided that this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shall not apply to the Collateral Agent) or (z) arising from any dispute solely among Indemnitees (other than any claims against an Indemnitee in its capacity or in fulfilling its role as an Agent, or the Sole Lead Arranger or any similar role under any Facility and other than any claims arising out of any act or omission of the Borrower or any of its Affiliates). No Indemnitee shall be liable for any damages arising from the use by others of any information or other materials obtained through Debtdomain, Roadshow Access (if applicable) or other similar information transmission systems in connection with this Agreement or any other Loan Document, except to the extent such damages have resulted from the gross negligence, or willful misconduct of such Indemnitee or of any of its Affiliates or Controlling Persons or their respective directors, officers, employees, partners, agents, advisors or other representatives, as determined by a final non-appealable judgment of a court of competent jurisdiction, nor, to the extent permissible under applicable Law, shall (A) any Indemnitee or (B) the Borrower, Sponsors, the Double E Joint Venture, or any of their respective Affiliates or Subsidiaries have any liability for any special, punitive, indirect or consequential damages relating to this Agreement or any other Loan Document or arising out of its activities in connection herewith or therewith (whether before or after the Closing Date) (other than, in the case of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in respect of any such damages incurred or paid by an Indemnitee to a third party and for any out-of-pocket expenses in each case subject to the indemnification provisions of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it being agreed that this sentence shall not limit the indemnification obligations of the Borrower. In the case of an investigation, litigation or other proceeding to which the indemnity in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applies, such indemnity shall be effective whether or not such investigation, litigation or proceeding is brought by the Borrower, any Subsidiary of the Borrower,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shall be paid within thirty (30) days after written demand therefor (together with backup documentation supporting such reimbursement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Indemnitee shall promptly refund the amount of any payment to the extent that there is a final judicial or arbitral determination that such Indemnitee was not entitled to indemnification rights with respect to such payment pursuant to the express terms of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The agreements in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shall survive the resignation or removal of the Administrative Agent or Collateral Agent, the replacement of any Lender, the termination of the Aggregate Commitments and the repayment, satisfaction or discharge of all the other Obligations. For the avoidance of doubt,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45"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10.06 Payments Set Aside</w:t>
      </w:r>
      <w:r>
        <w:rPr>
          <w:rFonts w:ascii="Times New Roman" w:cs="Times New Roman" w:eastAsia="Times New Roman" w:hAnsi="Times New Roman"/>
          <w:sz w:val="21"/>
          <w:szCs w:val="21"/>
          <w:color w:val="auto"/>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or judgment,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39" w:right="339" w:bottom="1440" w:gutter="0" w:footer="0" w:header="0"/>
        </w:sectPr>
      </w:pPr>
    </w:p>
    <w:bookmarkStart w:id="224" w:name="page225"/>
    <w:bookmarkEnd w:id="224"/>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applicable)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interest thereon from the date of such demand to the date such payment is made at a rate per annum equal to the Overnight Bank Funding Rate from time to time in effect, in the applicable currency of such recovery or payment.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Section 10.07 Successors and Assigns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620" w:firstLine="621"/>
        <w:spacing w:after="0" w:line="219" w:lineRule="auto"/>
        <w:tabs>
          <w:tab w:leader="none" w:pos="185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(except as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no Lender may assign or otherwise transfer any of its rights or obligations hereunder except (i) to an Assignee pursuant to an assignment made in accordance with the </w:t>
      </w:r>
      <w:r>
        <w:rPr>
          <w:rFonts w:ascii="Times New Roman" w:cs="Times New Roman" w:eastAsia="Times New Roman" w:hAnsi="Times New Roman"/>
          <w:sz w:val="20"/>
          <w:szCs w:val="20"/>
          <w:i w:val="1"/>
          <w:iCs w:val="1"/>
          <w:color w:val="auto"/>
        </w:rPr>
        <w:t>provisions</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10.07(b)</w:t>
      </w:r>
      <w:r>
        <w:rPr>
          <w:rFonts w:ascii="Times New Roman" w:cs="Times New Roman" w:eastAsia="Times New Roman" w:hAnsi="Times New Roman"/>
          <w:sz w:val="20"/>
          <w:szCs w:val="20"/>
          <w:color w:val="auto"/>
        </w:rPr>
        <w:t xml:space="preserve"> (such an assignee, an “</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10.07(f)</w:t>
      </w:r>
      <w:r>
        <w:rPr>
          <w:rFonts w:ascii="Times New Roman" w:cs="Times New Roman" w:eastAsia="Times New Roman" w:hAnsi="Times New Roman"/>
          <w:sz w:val="20"/>
          <w:szCs w:val="20"/>
          <w:color w:val="auto"/>
        </w:rPr>
        <w:t xml:space="preserve">,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10.07(h)</w:t>
      </w:r>
      <w:r>
        <w:rPr>
          <w:rFonts w:ascii="Times New Roman" w:cs="Times New Roman" w:eastAsia="Times New Roman" w:hAnsi="Times New Roman"/>
          <w:sz w:val="20"/>
          <w:szCs w:val="20"/>
          <w:color w:val="auto"/>
        </w:rPr>
        <w:t xml:space="preserve">, or (iv) to an SPC in accordance with the provisions of </w:t>
      </w:r>
      <w:r>
        <w:rPr>
          <w:rFonts w:ascii="Times New Roman" w:cs="Times New Roman" w:eastAsia="Times New Roman" w:hAnsi="Times New Roman"/>
          <w:sz w:val="20"/>
          <w:szCs w:val="20"/>
          <w:u w:val="single" w:color="auto"/>
          <w:color w:val="auto"/>
        </w:rPr>
        <w:t>Section 10.07(i)</w:t>
      </w:r>
      <w:r>
        <w:rPr>
          <w:rFonts w:ascii="Times New Roman" w:cs="Times New Roman" w:eastAsia="Times New Roman" w:hAnsi="Times New Roman"/>
          <w:sz w:val="20"/>
          <w:szCs w:val="20"/>
          <w:color w:val="auto"/>
        </w:rPr>
        <w:t xml:space="preserve"> (and any other attempted assignment or transfer by any party hereto shall be null and void);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notwithstanding anything to the contrary, no Lender may assign or transfer by participation any of its rights or obligations hereunder to (i) any Person that is a Defaulting Lender or a Disqualified Lender (so long as the Administrative Agent may make a schedule thereof available to any Lender upon request, in each case, subject to the confidentiality provisions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(and any failure of the Borrower to respond to any request for consent of assignment shall not cause such Person to cease to constitute a Disqualified Lender), (ii) a natural Person or a holding company, investment vehicle or trust for, or owned and operated for the primary benefit of a natural Person or (iii) the Borrower or any of its Subsidiaries.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10.07(f)</w:t>
      </w:r>
      <w:r>
        <w:rPr>
          <w:rFonts w:ascii="Times New Roman" w:cs="Times New Roman" w:eastAsia="Times New Roman" w:hAnsi="Times New Roman"/>
          <w:sz w:val="20"/>
          <w:szCs w:val="20"/>
          <w:color w:val="auto"/>
        </w:rPr>
        <w:t xml:space="preserve"> and, to the extent expressly contemplated hereby, the Indemnitees) any legal or equitable right, remedy or claim under or by reason of this Agreement.</w:t>
      </w:r>
    </w:p>
    <w:p>
      <w:pPr>
        <w:spacing w:after="0" w:line="17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Any assignment or participation of a Loan or Commitment by a Lender without the Borrower’s consent (A) to a Disqualified Lender or (B) to the extent the Borrower’s consent is required under this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to any other Person, shall be null and void, and, in the event of any assignment or participation of any Loan or Commitment by a Lender in breach of the foregoing, the Borrower shall be entitled to seek specific performance to unwind any such assignment or participation in addition to any other remedies available to the Borrower at law or in equity. In addition, the Borrower may (i) terminate any Commitment of such Person and prepay any applicable outstanding Loans at a price equal to the lesser of par and the amount such Person paid to acquire such Loans, without premium, penalty, prepayment fee or breakage, and/or (ii) require such person to assign its rights and obligations to one or more Eligible Assignees at the price indicated above (which assignment shall not be subject to any processing and recordation fee) and if such Person does not execute and deliver to the Administrative Agent a duly executed Assignment and Assumption reflecting such assignment within five (5)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339" w:right="339" w:bottom="1440" w:gutter="0" w:footer="0" w:header="0"/>
        </w:sectPr>
      </w:pPr>
    </w:p>
    <w:bookmarkStart w:id="225" w:name="page226"/>
    <w:bookmarkEnd w:id="225"/>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Days of the date on which the assignee Lender executes and delivers such Assignment and Assumption to such Person, then such Person shall be deemed to have executed and delivered such Assignment and Assumption without any action on its part, (b) no such person shall receive any information or reporting provided by the Borrower, the Administrative Agent, the Collateral Agent or any Lender, (c) for purposes of voting, any Loans or Commitments held by such Person shall be deemed not to be outstanding, and such Person shall have no voting or consent rights with respect to “Required Lender” or class votes or consents, (d) for purposes of any matter requiring the vote or consent of each Lender affected by any amendment or waiver, such Person shall be deemed to have voted or consented to approve such amendment or waiver if a majority of the affected class (giving effect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so approves and</w:t>
      </w:r>
    </w:p>
    <w:p>
      <w:pPr>
        <w:spacing w:after="0" w:line="6" w:lineRule="exact"/>
        <w:rPr>
          <w:sz w:val="20"/>
          <w:szCs w:val="20"/>
          <w:color w:val="auto"/>
        </w:rPr>
      </w:pPr>
    </w:p>
    <w:p>
      <w:pPr>
        <w:jc w:val="both"/>
        <w:ind w:firstLine="3"/>
        <w:spacing w:after="0" w:line="261" w:lineRule="auto"/>
        <w:tabs>
          <w:tab w:leader="none" w:pos="28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Person shall not be entitled to any expense reimbursement or indemnification rights and shall be treated in all other respects as a Defaulting Lender; it being understood and agreed that the foregoing provisions shall only apply to the Person specified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first sentence of this paragraph and not to any assignee of such Person that becomes a Lender so long as such assignee becomes an assignee in accordance with the provisions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Nothing in this Agreement shall be deemed to prejudice any right or remedy that the Borrower may otherwise have at law or equity. Each Lender acknowledges and agrees that the Borrower and its Subsidiaries will suffer irreparable harm if such Lender breaches any obligation under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Additionally, each Lender agrees that the Borrower may seek to obtain specific performance or other equitable or injunctive relief to enforce this paragraph against such Lender with respect to such breach without posting a bond or presenting evidence of irreparable harm.</w:t>
      </w:r>
    </w:p>
    <w:p>
      <w:pPr>
        <w:spacing w:after="0" w:line="16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any assignment or participation of loans, or disclosure of confidential information, to any Disqualified Lender. Notwithstanding anything to the contrary, nothing in the foregoing shall prejudice any right or remedy that the Borrower may have at law or in equity against any Lender who enters into an assignment, participation or other transaction (including the disclosure of confidential information) with a Disqualified Lender in contravention of the terms of this Agreement.</w:t>
      </w:r>
    </w:p>
    <w:p>
      <w:pPr>
        <w:spacing w:after="0" w:line="149" w:lineRule="exact"/>
        <w:rPr>
          <w:sz w:val="20"/>
          <w:szCs w:val="20"/>
          <w:color w:val="auto"/>
        </w:rPr>
      </w:pPr>
    </w:p>
    <w:p>
      <w:pPr>
        <w:jc w:val="both"/>
        <w:ind w:left="620" w:firstLine="621"/>
        <w:spacing w:after="0" w:line="220" w:lineRule="auto"/>
        <w:tabs>
          <w:tab w:leader="none" w:pos="1853"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Subject to </w:t>
      </w:r>
      <w:r>
        <w:rPr>
          <w:rFonts w:ascii="Times New Roman" w:cs="Times New Roman" w:eastAsia="Times New Roman" w:hAnsi="Times New Roman"/>
          <w:sz w:val="21"/>
          <w:szCs w:val="21"/>
          <w:u w:val="single" w:color="auto"/>
          <w:color w:val="auto"/>
        </w:rPr>
        <w:t>Section 10.07(a)</w:t>
      </w:r>
      <w:r>
        <w:rPr>
          <w:rFonts w:ascii="Times New Roman" w:cs="Times New Roman" w:eastAsia="Times New Roman" w:hAnsi="Times New Roman"/>
          <w:sz w:val="21"/>
          <w:szCs w:val="21"/>
          <w:color w:val="auto"/>
        </w:rPr>
        <w:t xml:space="preserve"> and the conditions set forth in paragraph </w:t>
      </w:r>
      <w:r>
        <w:rPr>
          <w:rFonts w:ascii="Times New Roman" w:cs="Times New Roman" w:eastAsia="Times New Roman" w:hAnsi="Times New Roman"/>
          <w:sz w:val="21"/>
          <w:szCs w:val="21"/>
          <w:u w:val="single" w:color="auto"/>
          <w:color w:val="auto"/>
        </w:rPr>
        <w:t>(b)(ii)</w:t>
      </w:r>
      <w:r>
        <w:rPr>
          <w:rFonts w:ascii="Times New Roman" w:cs="Times New Roman" w:eastAsia="Times New Roman" w:hAnsi="Times New Roman"/>
          <w:sz w:val="21"/>
          <w:szCs w:val="21"/>
          <w:color w:val="auto"/>
        </w:rPr>
        <w:t xml:space="preserve"> below, any Lender may assign to one or more assignees (“</w:t>
      </w:r>
      <w:r>
        <w:rPr>
          <w:rFonts w:ascii="Times New Roman" w:cs="Times New Roman" w:eastAsia="Times New Roman" w:hAnsi="Times New Roman"/>
          <w:sz w:val="21"/>
          <w:szCs w:val="21"/>
          <w:b w:val="1"/>
          <w:bCs w:val="1"/>
          <w:color w:val="auto"/>
        </w:rPr>
        <w:t>Assignees</w:t>
      </w:r>
      <w:r>
        <w:rPr>
          <w:rFonts w:ascii="Times New Roman" w:cs="Times New Roman" w:eastAsia="Times New Roman" w:hAnsi="Times New Roman"/>
          <w:sz w:val="21"/>
          <w:szCs w:val="21"/>
          <w:color w:val="auto"/>
        </w:rPr>
        <w:t>”) all or a portion of its rights and obligations under this Agreement (including all or a portion of its Commitment and the Loans at the time owing to it) with the prior written consent (such consent not to be unreasonably withheld, delayed or conditioned) of:</w:t>
      </w:r>
    </w:p>
    <w:p>
      <w:pPr>
        <w:spacing w:after="0" w:line="141" w:lineRule="exact"/>
        <w:rPr>
          <w:rFonts w:ascii="Times New Roman" w:cs="Times New Roman" w:eastAsia="Times New Roman" w:hAnsi="Times New Roman"/>
          <w:sz w:val="21"/>
          <w:szCs w:val="21"/>
          <w:color w:val="auto"/>
        </w:rPr>
      </w:pPr>
    </w:p>
    <w:p>
      <w:pPr>
        <w:jc w:val="both"/>
        <w:ind w:left="1860" w:firstLine="618"/>
        <w:spacing w:after="0" w:line="218" w:lineRule="auto"/>
        <w:tabs>
          <w:tab w:leader="none" w:pos="3087"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be deemed to have consented to any such assignment of any Term Loans unless it shall have objected thereto by written notice to the Administrative Agent within ten (10) Business Days after having received notice thereof to a Responsible Officer;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no consent of the Borrower shall be required for (i) an assignment of all or any portion of the Term Loans to a Lender, an Affiliate of a Lender or an Approved Fund, (ii)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365" w:right="339" w:bottom="1440" w:gutter="0" w:footer="0" w:header="0"/>
        </w:sectPr>
      </w:pPr>
    </w:p>
    <w:bookmarkStart w:id="226" w:name="page227"/>
    <w:bookmarkEnd w:id="226"/>
    <w:p>
      <w:pPr>
        <w:jc w:val="both"/>
        <w:ind w:left="740"/>
        <w:spacing w:after="0" w:line="225" w:lineRule="auto"/>
        <w:rPr>
          <w:sz w:val="20"/>
          <w:szCs w:val="20"/>
          <w:color w:val="auto"/>
        </w:rPr>
      </w:pPr>
      <w:r>
        <w:rPr>
          <w:rFonts w:ascii="Times New Roman" w:cs="Times New Roman" w:eastAsia="Times New Roman" w:hAnsi="Times New Roman"/>
          <w:sz w:val="21"/>
          <w:szCs w:val="21"/>
          <w:color w:val="auto"/>
        </w:rPr>
        <w:t>assignment is to a person listed on a schedule provided by the Borrower that is held with the Administrative Agent, which list shall be made available to any Lender upon request or (iii) if an Event of Default has occurred and is continuing; and</w:t>
      </w:r>
    </w:p>
    <w:p>
      <w:pPr>
        <w:spacing w:after="0" w:line="142" w:lineRule="exact"/>
        <w:rPr>
          <w:sz w:val="20"/>
          <w:szCs w:val="20"/>
          <w:color w:val="auto"/>
        </w:rPr>
      </w:pPr>
    </w:p>
    <w:p>
      <w:pPr>
        <w:jc w:val="both"/>
        <w:ind w:left="740" w:firstLine="618"/>
        <w:spacing w:after="0" w:line="226" w:lineRule="auto"/>
        <w:tabs>
          <w:tab w:leader="none" w:pos="1969"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consent of the Administrative Agent shall be required for an assignment of all or any portion of a Term Loan to a Lender, an Affiliate of a Lender or an Approved Fund.</w:t>
      </w:r>
    </w:p>
    <w:p>
      <w:pPr>
        <w:spacing w:after="0" w:line="146" w:lineRule="exact"/>
        <w:rPr>
          <w:rFonts w:ascii="Times New Roman" w:cs="Times New Roman" w:eastAsia="Times New Roman" w:hAnsi="Times New Roman"/>
          <w:sz w:val="21"/>
          <w:szCs w:val="21"/>
          <w:color w:val="auto"/>
        </w:rPr>
      </w:pPr>
    </w:p>
    <w:p>
      <w:pPr>
        <w:ind w:left="1340" w:hanging="600"/>
        <w:spacing w:after="0"/>
        <w:tabs>
          <w:tab w:leader="none" w:pos="134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Assignments shall be subject to the following additional conditions:</w:t>
      </w:r>
    </w:p>
    <w:p>
      <w:pPr>
        <w:spacing w:after="0" w:line="171" w:lineRule="exact"/>
        <w:rPr>
          <w:rFonts w:ascii="Times New Roman" w:cs="Times New Roman" w:eastAsia="Times New Roman" w:hAnsi="Times New Roman"/>
          <w:sz w:val="21"/>
          <w:szCs w:val="21"/>
          <w:color w:val="auto"/>
        </w:rPr>
      </w:pPr>
    </w:p>
    <w:p>
      <w:pPr>
        <w:jc w:val="both"/>
        <w:ind w:left="740" w:firstLine="618"/>
        <w:spacing w:after="0" w:line="211" w:lineRule="auto"/>
        <w:tabs>
          <w:tab w:leader="none" w:pos="1967"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$10,000,000 and shall be in increments of $500,000 in excess thereof (or, with respect to the Sole Lead Arranger and its Affiliates, $1,000,000 and increments of $100,000 in excess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simultaneous assignments to or from two or more Approved Funds shall be aggregated for purposes of determining compliance with this </w:t>
      </w:r>
      <w:r>
        <w:rPr>
          <w:rFonts w:ascii="Times New Roman" w:cs="Times New Roman" w:eastAsia="Times New Roman" w:hAnsi="Times New Roman"/>
          <w:sz w:val="21"/>
          <w:szCs w:val="21"/>
          <w:u w:val="single" w:color="auto"/>
          <w:color w:val="auto"/>
        </w:rPr>
        <w:t>Section 10.07(b)(ii)(A)</w:t>
      </w:r>
      <w:r>
        <w:rPr>
          <w:rFonts w:ascii="Times New Roman" w:cs="Times New Roman" w:eastAsia="Times New Roman" w:hAnsi="Times New Roman"/>
          <w:sz w:val="21"/>
          <w:szCs w:val="21"/>
          <w:color w:val="auto"/>
        </w:rPr>
        <w:t xml:space="preserve">), unless each of the Borrower and the Administrative Agent otherwise consents;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amounts shall be aggregated in respect of each Lender and its Affiliates or Approved Funds, if any;</w:t>
      </w:r>
    </w:p>
    <w:p>
      <w:pPr>
        <w:spacing w:after="0" w:line="145" w:lineRule="exact"/>
        <w:rPr>
          <w:rFonts w:ascii="Times New Roman" w:cs="Times New Roman" w:eastAsia="Times New Roman" w:hAnsi="Times New Roman"/>
          <w:sz w:val="21"/>
          <w:szCs w:val="21"/>
          <w:color w:val="auto"/>
        </w:rPr>
      </w:pPr>
    </w:p>
    <w:p>
      <w:pPr>
        <w:jc w:val="both"/>
        <w:ind w:left="740" w:firstLine="618"/>
        <w:spacing w:after="0" w:line="215" w:lineRule="auto"/>
        <w:tabs>
          <w:tab w:leader="none" w:pos="1969"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(which fee may be waived or reduced in the sole discretion of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only one such fee shall be payable in the event of simultaneous assignments to or from two or more Approved Funds;</w:t>
      </w:r>
    </w:p>
    <w:p>
      <w:pPr>
        <w:spacing w:after="0" w:line="145" w:lineRule="exact"/>
        <w:rPr>
          <w:rFonts w:ascii="Times New Roman" w:cs="Times New Roman" w:eastAsia="Times New Roman" w:hAnsi="Times New Roman"/>
          <w:sz w:val="21"/>
          <w:szCs w:val="21"/>
          <w:color w:val="auto"/>
        </w:rPr>
      </w:pPr>
    </w:p>
    <w:p>
      <w:pPr>
        <w:jc w:val="both"/>
        <w:ind w:left="740" w:firstLine="618"/>
        <w:spacing w:after="0" w:line="215" w:lineRule="auto"/>
        <w:tabs>
          <w:tab w:leader="none" w:pos="1969"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Assignee, if it shall not be a Lender, shall deliver to the Administrative Agent an Administrative Questionnaire (in which the Assignee shall designate one or more credit contacts to whom all syndicate-level information (which may contain material non-public information about the Borrower and its Affiliates or their respective securities) will be made available and who may receive such information in accordance with the Assignee’s compliance procedures and applicable laws, including federal and state securities laws) and all applicable tax forms required pursuant to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and</w:t>
      </w:r>
    </w:p>
    <w:p>
      <w:pPr>
        <w:spacing w:after="0" w:line="145" w:lineRule="exact"/>
        <w:rPr>
          <w:rFonts w:ascii="Times New Roman" w:cs="Times New Roman" w:eastAsia="Times New Roman" w:hAnsi="Times New Roman"/>
          <w:sz w:val="21"/>
          <w:szCs w:val="21"/>
          <w:color w:val="auto"/>
        </w:rPr>
      </w:pPr>
    </w:p>
    <w:p>
      <w:pPr>
        <w:jc w:val="both"/>
        <w:ind w:left="740" w:firstLine="618"/>
        <w:spacing w:after="0" w:line="220" w:lineRule="auto"/>
        <w:tabs>
          <w:tab w:leader="none" w:pos="1967"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Lenders that extended Loans to the Borrower on the Closing Date may assign no more than 49.9% of the aggregate principal amount of the Term Loan Facility, the Delayed Draw Loan Facility and any Nuveen Incremental Term Facility from and after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10.07(b)(ii)(D)</w:t>
      </w:r>
      <w:r>
        <w:rPr>
          <w:rFonts w:ascii="Times New Roman" w:cs="Times New Roman" w:eastAsia="Times New Roman" w:hAnsi="Times New Roman"/>
          <w:sz w:val="21"/>
          <w:szCs w:val="21"/>
          <w:color w:val="auto"/>
        </w:rPr>
        <w:t>, each “Lender” shall be deemed to include its Affiliates and Approved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0120"/>
          </w:cols>
          <w:pgMar w:left="1440" w:top="1339" w:right="339" w:bottom="1440" w:gutter="0" w:footer="0" w:header="0"/>
        </w:sectPr>
      </w:pPr>
    </w:p>
    <w:bookmarkStart w:id="227" w:name="page228"/>
    <w:bookmarkEnd w:id="227"/>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shall not prohibit any Lender from assigning all or a portion of its rights and obligations among separate Facilities on a non-</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among such Facilities.</w:t>
      </w:r>
    </w:p>
    <w:p>
      <w:pPr>
        <w:spacing w:after="0" w:line="15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unpaid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6" w:lineRule="exact"/>
        <w:rPr>
          <w:sz w:val="20"/>
          <w:szCs w:val="20"/>
          <w:color w:val="auto"/>
        </w:rPr>
      </w:pPr>
    </w:p>
    <w:p>
      <w:pPr>
        <w:jc w:val="both"/>
        <w:ind w:left="620" w:firstLine="621"/>
        <w:spacing w:after="0" w:line="210" w:lineRule="auto"/>
        <w:tabs>
          <w:tab w:leader="none" w:pos="185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Section 10.07(d)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from and after the effective date specified in each Assignment and Assumption, (1) the Eligible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with respect to facts and circumstances occurring prior to the effective date of such assignment). Upon request, and the surrender by the assigning Lender of its Note,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Section 10.07(f)</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11" w:lineRule="auto"/>
        <w:tabs>
          <w:tab w:leader="none" w:pos="185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acting solely for this purpose as an agent of the Borrower, shall maintain at one of its offices in the United States a copy of each Assignment and Assumption, and a register for the recordation of the names and addresses of the Lenders, and the Commitments of, and principal amounts (and related interest amounts) of the Loans and the amounts due under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owing to, each Lender pursuant to the terms hereof from time to time (the “</w:t>
      </w:r>
      <w:r>
        <w:rPr>
          <w:rFonts w:ascii="Times New Roman" w:cs="Times New Roman" w:eastAsia="Times New Roman" w:hAnsi="Times New Roman"/>
          <w:sz w:val="21"/>
          <w:szCs w:val="21"/>
          <w:b w:val="1"/>
          <w:bCs w:val="1"/>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with respect to such Lender’s own interest only, any Lender, at any reasonable time and from time to time upon reasonable prior notice.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65" w:right="339" w:bottom="1440" w:gutter="0" w:footer="0" w:header="0"/>
        </w:sectPr>
      </w:pPr>
    </w:p>
    <w:bookmarkStart w:id="228" w:name="page229"/>
    <w:bookmarkEnd w:id="228"/>
    <w:p>
      <w:pPr>
        <w:jc w:val="both"/>
        <w:spacing w:after="0" w:line="225" w:lineRule="auto"/>
        <w:rPr>
          <w:sz w:val="20"/>
          <w:szCs w:val="20"/>
          <w:color w:val="auto"/>
        </w:rPr>
      </w:pPr>
      <w:r>
        <w:rPr>
          <w:rFonts w:ascii="Times New Roman" w:cs="Times New Roman" w:eastAsia="Times New Roman" w:hAnsi="Times New Roman"/>
          <w:sz w:val="21"/>
          <w:szCs w:val="21"/>
          <w:u w:val="single" w:color="auto"/>
          <w:color w:val="auto"/>
        </w:rPr>
        <w:t>Section 10.07(d)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46" w:lineRule="exact"/>
        <w:rPr>
          <w:sz w:val="20"/>
          <w:szCs w:val="20"/>
          <w:color w:val="auto"/>
        </w:rPr>
      </w:pPr>
    </w:p>
    <w:p>
      <w:pPr>
        <w:jc w:val="both"/>
        <w:ind w:firstLine="621"/>
        <w:spacing w:after="0" w:line="219" w:lineRule="auto"/>
        <w:tabs>
          <w:tab w:leader="none" w:pos="1234"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above, if applicable, and the written consent of the Administrative Agent, and, if required, the Borrower to such assignment and any applicable tax forms required pursuant to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the Administrative Agent shall promptly (i) accept such Assignment and Assumption and</w:t>
      </w:r>
    </w:p>
    <w:p>
      <w:pPr>
        <w:spacing w:after="0" w:line="4" w:lineRule="exact"/>
        <w:rPr>
          <w:rFonts w:ascii="Times New Roman" w:cs="Times New Roman" w:eastAsia="Times New Roman" w:hAnsi="Times New Roman"/>
          <w:sz w:val="20"/>
          <w:szCs w:val="20"/>
          <w:color w:val="auto"/>
        </w:rPr>
      </w:pPr>
    </w:p>
    <w:p>
      <w:pPr>
        <w:ind w:firstLine="2"/>
        <w:spacing w:after="0" w:line="224" w:lineRule="auto"/>
        <w:tabs>
          <w:tab w:leader="none" w:pos="311"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record the information contained therein in the Register. No assignment shall be effective unless it has been recorded in the Register as provided in this </w:t>
      </w:r>
      <w:r>
        <w:rPr>
          <w:rFonts w:ascii="Times New Roman" w:cs="Times New Roman" w:eastAsia="Times New Roman" w:hAnsi="Times New Roman"/>
          <w:sz w:val="21"/>
          <w:szCs w:val="21"/>
          <w:u w:val="single" w:color="auto"/>
          <w:color w:val="auto"/>
        </w:rPr>
        <w:t>paragraph (e)</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621"/>
        <w:spacing w:after="0" w:line="216" w:lineRule="auto"/>
        <w:tabs>
          <w:tab w:leader="none" w:pos="1237"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sell participations to any Person, subject to the proviso in the first paragraph of </w:t>
      </w:r>
      <w:r>
        <w:rPr>
          <w:rFonts w:ascii="Times New Roman" w:cs="Times New Roman" w:eastAsia="Times New Roman" w:hAnsi="Times New Roman"/>
          <w:sz w:val="20"/>
          <w:szCs w:val="20"/>
          <w:u w:val="single" w:color="auto"/>
          <w:color w:val="auto"/>
        </w:rPr>
        <w:t>Section 10.07(a)</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second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requires the affirmative vote of such Lender, in each case, to the extent the Participant is directly and adversely affected thereby. Subject to </w:t>
      </w:r>
      <w:r>
        <w:rPr>
          <w:rFonts w:ascii="Times New Roman" w:cs="Times New Roman" w:eastAsia="Times New Roman" w:hAnsi="Times New Roman"/>
          <w:sz w:val="20"/>
          <w:szCs w:val="20"/>
          <w:u w:val="single" w:color="auto"/>
          <w:color w:val="auto"/>
        </w:rPr>
        <w:t>Section 10.07(g)</w:t>
      </w:r>
      <w:r>
        <w:rPr>
          <w:rFonts w:ascii="Times New Roman" w:cs="Times New Roman" w:eastAsia="Times New Roman" w:hAnsi="Times New Roman"/>
          <w:sz w:val="20"/>
          <w:szCs w:val="20"/>
          <w:color w:val="auto"/>
        </w:rPr>
        <w:t xml:space="preserve">, the Borrower agrees that each Participant shall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the requirements and limitations of such Sections, including the requirements under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10.07(c)</w:t>
      </w:r>
      <w:r>
        <w:rPr>
          <w:rFonts w:ascii="Times New Roman" w:cs="Times New Roman" w:eastAsia="Times New Roman" w:hAnsi="Times New Roman"/>
          <w:sz w:val="20"/>
          <w:szCs w:val="20"/>
          <w:color w:val="auto"/>
        </w:rPr>
        <w:t xml:space="preserve">. To the extent permitted by applicable Law, each Participant also shall be entitled to the benefits of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as though it were a Lender and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as though it were an Assignee. Each Participant will provide any applicable tax forms required pursuant to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solely to the participating Lender.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w:t>
      </w:r>
    </w:p>
    <w:p>
      <w:pPr>
        <w:spacing w:after="0" w:line="5" w:lineRule="exact"/>
        <w:rPr>
          <w:rFonts w:ascii="Times New Roman" w:cs="Times New Roman" w:eastAsia="Times New Roman" w:hAnsi="Times New Roman"/>
          <w:sz w:val="20"/>
          <w:szCs w:val="20"/>
          <w:color w:val="auto"/>
        </w:rPr>
      </w:pPr>
    </w:p>
    <w:p>
      <w:pPr>
        <w:jc w:val="both"/>
        <w:ind w:firstLine="2"/>
        <w:spacing w:after="0" w:line="214" w:lineRule="auto"/>
        <w:tabs>
          <w:tab w:leader="none" w:pos="312"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disclosure is necessary in connection with an audit or other proceeding to establish that such Commitment, Loan or other obligation is in registered form under Section 5f.103-1(c) of the United States Treasury Regulations and proposed United States Treasury Regulations Section 1.163-5(b) (or any amended or successor version) or (y) upon request of the Borrower, to confirm no Participant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0620"/>
          </w:cols>
          <w:pgMar w:left="940" w:top="1339" w:right="339" w:bottom="1440" w:gutter="0" w:footer="0" w:header="0"/>
        </w:sectPr>
      </w:pPr>
    </w:p>
    <w:bookmarkStart w:id="229" w:name="page230"/>
    <w:bookmarkEnd w:id="229"/>
    <w:p>
      <w:pPr>
        <w:jc w:val="both"/>
        <w:spacing w:after="0" w:line="225" w:lineRule="auto"/>
        <w:rPr>
          <w:sz w:val="20"/>
          <w:szCs w:val="20"/>
          <w:color w:val="auto"/>
        </w:rPr>
      </w:pPr>
      <w:r>
        <w:rPr>
          <w:rFonts w:ascii="Times New Roman" w:cs="Times New Roman" w:eastAsia="Times New Roman" w:hAnsi="Times New Roman"/>
          <w:sz w:val="21"/>
          <w:szCs w:val="21"/>
          <w:color w:val="auto"/>
        </w:rPr>
        <w:t>Disqualified Lender.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46" w:lineRule="exact"/>
        <w:rPr>
          <w:sz w:val="20"/>
          <w:szCs w:val="20"/>
          <w:color w:val="auto"/>
        </w:rPr>
      </w:pPr>
    </w:p>
    <w:p>
      <w:pPr>
        <w:jc w:val="both"/>
        <w:ind w:firstLine="621"/>
        <w:spacing w:after="0" w:line="215" w:lineRule="auto"/>
        <w:tabs>
          <w:tab w:leader="none" w:pos="123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Participant shall not be entitled to receive any greater payment under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Borrower is informed of such greater payment and the sale of the participation to such Participant is made with the Borrower’s prior written consent, not to be unreasonably withheld or delayed (for the avoidance of doubt, the Borrower shall have reasonable basis for withholding consent if the participation would result in increased gross-up or indemnification obligations by the Borrower at such time).</w:t>
      </w:r>
    </w:p>
    <w:p>
      <w:pPr>
        <w:spacing w:after="0" w:line="145" w:lineRule="exact"/>
        <w:rPr>
          <w:rFonts w:ascii="Times New Roman" w:cs="Times New Roman" w:eastAsia="Times New Roman" w:hAnsi="Times New Roman"/>
          <w:sz w:val="21"/>
          <w:szCs w:val="21"/>
          <w:color w:val="auto"/>
        </w:rPr>
      </w:pPr>
    </w:p>
    <w:p>
      <w:pPr>
        <w:jc w:val="both"/>
        <w:ind w:firstLine="621"/>
        <w:spacing w:after="0" w:line="217" w:lineRule="auto"/>
        <w:tabs>
          <w:tab w:leader="none" w:pos="123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without the consent of the Borrower or the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41" w:lineRule="exact"/>
        <w:rPr>
          <w:rFonts w:ascii="Times New Roman" w:cs="Times New Roman" w:eastAsia="Times New Roman" w:hAnsi="Times New Roman"/>
          <w:sz w:val="21"/>
          <w:szCs w:val="21"/>
          <w:color w:val="auto"/>
        </w:rPr>
      </w:pPr>
    </w:p>
    <w:p>
      <w:pPr>
        <w:jc w:val="both"/>
        <w:ind w:firstLine="621"/>
        <w:spacing w:after="0" w:line="218" w:lineRule="auto"/>
        <w:tabs>
          <w:tab w:leader="none" w:pos="122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any Lender (a “</w:t>
      </w:r>
      <w:r>
        <w:rPr>
          <w:rFonts w:ascii="Times New Roman" w:cs="Times New Roman" w:eastAsia="Times New Roman" w:hAnsi="Times New Roman"/>
          <w:sz w:val="20"/>
          <w:szCs w:val="20"/>
          <w:b w:val="1"/>
          <w:bCs w:val="1"/>
          <w:color w:val="auto"/>
        </w:rPr>
        <w:t>Granting Lender</w:t>
      </w:r>
      <w:r>
        <w:rPr>
          <w:rFonts w:ascii="Times New Roman" w:cs="Times New Roman" w:eastAsia="Times New Roman" w:hAnsi="Times New Roman"/>
          <w:sz w:val="20"/>
          <w:szCs w:val="20"/>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20"/>
          <w:szCs w:val="20"/>
          <w:b w:val="1"/>
          <w:bCs w:val="1"/>
          <w:color w:val="auto"/>
        </w:rPr>
        <w:t>SPC</w:t>
      </w:r>
      <w:r>
        <w:rPr>
          <w:rFonts w:ascii="Times New Roman" w:cs="Times New Roman" w:eastAsia="Times New Roman" w:hAnsi="Times New Roman"/>
          <w:sz w:val="20"/>
          <w:szCs w:val="20"/>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an SPC shall be entitled to the benefit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the requirements and the limitations of such Sections and it being understood that the documentation required under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shall be delivered to the Granting Lender), but neither the grant to any SPC nor the exercise by any SPC of such option shall increase the costs or expenses or otherwise increase or change the obligations of the Borrower under this Agreement except in the case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to the extent that the grant to the SPC was made with the prior written consent of the Borrower (not to be unreasonably withheld or delayed; for the avoidance of doubt, the Borrower shall have reasonable basis for withholding consent if an exercise by SPC immediately after the grant would result in increased gross-up or indemnification obligations by the Borrower at such time),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0620"/>
          </w:cols>
          <w:pgMar w:left="940" w:top="1339" w:right="339" w:bottom="1440" w:gutter="0" w:footer="0" w:header="0"/>
        </w:sectPr>
      </w:pPr>
    </w:p>
    <w:bookmarkStart w:id="230" w:name="page231"/>
    <w:bookmarkEnd w:id="230"/>
    <w:p>
      <w:pPr>
        <w:ind w:left="620"/>
        <w:spacing w:after="0"/>
        <w:rPr>
          <w:sz w:val="20"/>
          <w:szCs w:val="20"/>
          <w:color w:val="auto"/>
        </w:rPr>
      </w:pPr>
      <w:r>
        <w:rPr>
          <w:rFonts w:ascii="Times New Roman" w:cs="Times New Roman" w:eastAsia="Times New Roman" w:hAnsi="Times New Roman"/>
          <w:sz w:val="20"/>
          <w:szCs w:val="20"/>
          <w:color w:val="auto"/>
        </w:rPr>
        <w:t>rating agency, commercial paper dealer or provider of any surety or Guarantee or credit or liquidity enhancement to such SPC.</w:t>
      </w:r>
    </w:p>
    <w:p>
      <w:pPr>
        <w:spacing w:after="0" w:line="183" w:lineRule="exact"/>
        <w:rPr>
          <w:sz w:val="20"/>
          <w:szCs w:val="20"/>
          <w:color w:val="auto"/>
        </w:rPr>
      </w:pPr>
    </w:p>
    <w:p>
      <w:pPr>
        <w:jc w:val="both"/>
        <w:ind w:left="620" w:firstLine="621"/>
        <w:spacing w:after="0" w:line="211" w:lineRule="auto"/>
        <w:tabs>
          <w:tab w:leader="none" w:pos="1846"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without the consent of the Borrower or the Administrative Agent,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unless and until such trustee actually becomes a Lender in compliance with the other provisions of this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52"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0"/>
          <w:szCs w:val="20"/>
          <w:u w:val="single" w:color="auto"/>
          <w:color w:val="auto"/>
        </w:rPr>
        <w:t>Section 10.08 Confidentiality</w:t>
      </w:r>
      <w:r>
        <w:rPr>
          <w:rFonts w:ascii="Times New Roman" w:cs="Times New Roman" w:eastAsia="Times New Roman" w:hAnsi="Times New Roman"/>
          <w:sz w:val="20"/>
          <w:szCs w:val="20"/>
          <w:color w:val="auto"/>
        </w:rPr>
        <w:t xml:space="preserve">. Each of the Agents and the Lenders severally (and not jointly) agrees to maintain the confidentiality of the Information and not to disclose such information, except that Information may be disclosed (a) to its Affiliates and its and its Affiliates’ managers, administrators, directors, officers, employees, trustees, partners, investors, investment advisors and agents, including accountants, legal counsel, insurers and reinsurers, and other advisors (it being understood that the Persons to whom such disclosure is made will be informed of the confidential nature of such Information and instructed to keep such Information confidential); (b) to the extent requested by any Governmental Authority or self-regulatory authority having or asserting jurisdiction over such Person (including any Governmental Authority or examiner (including the National Association of Insurance Commissioners or any other similar organization) regulating any Lender or its Affiliates);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(c) to the CUSIP Service Bureau or any similar agency in connection with the issuance and monitoring of CUSIP numbers with respect to the Facilities;</w:t>
      </w:r>
    </w:p>
    <w:p>
      <w:pPr>
        <w:spacing w:after="0" w:line="4" w:lineRule="exact"/>
        <w:rPr>
          <w:sz w:val="20"/>
          <w:szCs w:val="20"/>
          <w:color w:val="auto"/>
        </w:rPr>
      </w:pPr>
    </w:p>
    <w:p>
      <w:pPr>
        <w:jc w:val="both"/>
        <w:ind w:firstLine="3"/>
        <w:spacing w:after="0" w:line="207" w:lineRule="auto"/>
        <w:tabs>
          <w:tab w:leader="none" w:pos="352"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by applicable Laws or regulations or by any subpoena or similar legal process;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(e) to any other party to this Agreement; (f) subject to an agreement containing provisions at least as restrictive as those set forth in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(or as may otherwise be reasonably acceptable to the Borrower), to any pledgee referred to in </w:t>
      </w:r>
      <w:r>
        <w:rPr>
          <w:rFonts w:ascii="Times New Roman" w:cs="Times New Roman" w:eastAsia="Times New Roman" w:hAnsi="Times New Roman"/>
          <w:sz w:val="21"/>
          <w:szCs w:val="21"/>
          <w:u w:val="single" w:color="auto"/>
          <w:color w:val="auto"/>
        </w:rPr>
        <w:t>Section 10.07(h)</w:t>
      </w:r>
      <w:r>
        <w:rPr>
          <w:rFonts w:ascii="Times New Roman" w:cs="Times New Roman" w:eastAsia="Times New Roman" w:hAnsi="Times New Roman"/>
          <w:sz w:val="21"/>
          <w:szCs w:val="21"/>
          <w:color w:val="auto"/>
        </w:rPr>
        <w:t>, counterparty to a Secured Interest Rate Hedge Agreement, Eligible Assignee of or Participant in, or any prospective Eligible Assignee of or Participant in, any of its rights or obligations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disclosure of any such Information to any Lenders or Eligible Assignees or Participants shall be made subject to the acknowledgement and acceptance by such Lender, Eligible Assignee or Participant that such Information is being disseminated on a confidential basis) (on substantially the terms set forth in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or as otherwise reasonably acceptable to the Borrower) in accordance with the standard processes of the Administrative Agent or customary market standards for dissemination of such type of Information; (g) with the written consent of the Borrower; (h) to the extent such Information becomes publicly available other than as a result of a breach of this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or becomes available to the Administrative Agent, the Sole Lead Arranger, any Lender or any of their respective Affiliates on a non-confidential basis from a source other than the Borrower or any Sponsor or their respective Affiliates (so long as such source is not known to the Administrative Agent, the Sole Lead Arranger, such Lender or any of their respective Affiliates to be bound by confidentiality obligations to the Borrower); (i) to any Governmental Authority or examiner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339" w:right="339" w:bottom="1440" w:gutter="0" w:footer="0" w:header="0"/>
        </w:sectPr>
      </w:pPr>
    </w:p>
    <w:bookmarkStart w:id="231" w:name="page232"/>
    <w:bookmarkEnd w:id="231"/>
    <w:p>
      <w:pPr>
        <w:jc w:val="both"/>
        <w:spacing w:after="0" w:line="219" w:lineRule="auto"/>
        <w:rPr>
          <w:sz w:val="20"/>
          <w:szCs w:val="20"/>
          <w:color w:val="auto"/>
        </w:rPr>
      </w:pPr>
      <w:r>
        <w:rPr>
          <w:rFonts w:ascii="Times New Roman" w:cs="Times New Roman" w:eastAsia="Times New Roman" w:hAnsi="Times New Roman"/>
          <w:sz w:val="20"/>
          <w:szCs w:val="20"/>
          <w:color w:val="auto"/>
        </w:rPr>
        <w:t xml:space="preserve">(including the National Association of Insurance Commissioners or any other similar organization) regulating any Lender; (j) to any rating agency when required by it (it being understood that, prior to any such disclosure, such rating agency shall undertake to preserve the confidentiality of any Information relating to Borrower and its Subsidiaries received by it from such Lender); (k) in connection with establishing a “due diligence” defense or (l) to the extent such Information is independently developed by the Administrative Agent, the Sole Lead Arranger, such Lender or any of their respective Affiliates;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disclosure shall be made to any Disqualified Lender. In addition, the Agents and the Lenders may disclose the existence of this Agreement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means all information received from the Borrower relating to the Borrower, its Affiliates or its Affiliates’ directors, managers, officers, employees, trustees, investment advisors or agents, relating to the Borrower or any of its Subsidiaries or its business, other than any such information that is publicly available to any Agent or any Lender prior to disclosure by the Borrower other than as a result of a breach of this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information received after the Closing Date from the Borrower or any of its Subsidiaries shall be deemed confidential unless such information is clearly identified at the time of delivery as not being confidential.</w:t>
      </w:r>
    </w:p>
    <w:p>
      <w:pPr>
        <w:spacing w:after="0" w:line="156"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u w:val="single" w:color="auto"/>
          <w:color w:val="auto"/>
        </w:rPr>
        <w:t>Section 10.09 Setoff</w:t>
      </w:r>
      <w:r>
        <w:rPr>
          <w:rFonts w:ascii="Times New Roman" w:cs="Times New Roman" w:eastAsia="Times New Roman" w:hAnsi="Times New Roman"/>
          <w:sz w:val="21"/>
          <w:szCs w:val="21"/>
          <w:color w:val="auto"/>
        </w:rPr>
        <w:t xml:space="preserve">. In addition to any rights and remedies of the Lenders provided by Law, upon the occurrence and during the continuance of any Event of Default, each Lender and its Affiliates (and the Collateral Agent, in respect of any unpaid fees, costs and expenses payable hereunder) is authorized at any time and from time to time, without prior notice to the Borrower, any such notice being waived by the Borrower (on its own behalf and on behalf of the Borrower and each of its Subsidiaries) to the fullest extent permitted by applicable Law, to set off and apply any and all deposits (general or special, time or demand, provisional or final) at any time held by, and other Indebtedness at any time owing by, such Lender and its Affiliates or the Collateral Agent to or for the credit or the account of the respective Borrower and its Subsidiaries against any and all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 off and application made by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 The rights of the Administrative Agent, the Collateral Agent and each Lender under this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are in addition to other rights and remedies (including other rights of setoff) that the Administrative Agent, the Collateral Agent and such Lender may have.</w:t>
      </w:r>
    </w:p>
    <w:p>
      <w:pPr>
        <w:spacing w:after="0" w:line="149"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10.10 Interest Rate Limitation</w:t>
      </w:r>
      <w:r>
        <w:rPr>
          <w:rFonts w:ascii="Times New Roman" w:cs="Times New Roman" w:eastAsia="Times New Roman" w:hAnsi="Times New Roman"/>
          <w:sz w:val="21"/>
          <w:szCs w:val="21"/>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1"/>
          <w:szCs w:val="21"/>
          <w:b w:val="1"/>
          <w:bCs w:val="1"/>
          <w:color w:val="auto"/>
        </w:rPr>
        <w:t>Maximum Rate</w:t>
      </w:r>
      <w:r>
        <w:rPr>
          <w:rFonts w:ascii="Times New Roman" w:cs="Times New Roman" w:eastAsia="Times New Roman" w:hAnsi="Times New Roman"/>
          <w:sz w:val="21"/>
          <w:szCs w:val="21"/>
          <w:color w:val="auto"/>
        </w:rPr>
        <w:t>”). If any Agent or any Lender shall receive interest in an amount that exceeds the Maximum Rate, the excess interest shall be applied to the principal of the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39" w:right="339" w:bottom="1440" w:gutter="0" w:footer="0" w:header="0"/>
        </w:sectPr>
      </w:pPr>
    </w:p>
    <w:bookmarkStart w:id="232" w:name="page233"/>
    <w:bookmarkEnd w:id="232"/>
    <w:p>
      <w:pPr>
        <w:jc w:val="both"/>
        <w:spacing w:after="0" w:line="217" w:lineRule="auto"/>
        <w:rPr>
          <w:sz w:val="20"/>
          <w:szCs w:val="20"/>
          <w:color w:val="auto"/>
        </w:rPr>
      </w:pPr>
      <w:r>
        <w:rPr>
          <w:rFonts w:ascii="Times New Roman" w:cs="Times New Roman" w:eastAsia="Times New Roman" w:hAnsi="Times New Roman"/>
          <w:sz w:val="21"/>
          <w:szCs w:val="21"/>
          <w:color w:val="auto"/>
        </w:rPr>
        <w:t>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optional prepayments and the effects thereof, and (c) amortize, prorate, allocate, and spread in equal or unequal parts the total amount of interest throughout the contemplated term of the Obligations hereunder.</w:t>
      </w:r>
    </w:p>
    <w:p>
      <w:pPr>
        <w:spacing w:after="0" w:line="146"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10.11 Counterparts</w:t>
      </w:r>
      <w:r>
        <w:rPr>
          <w:rFonts w:ascii="Times New Roman" w:cs="Times New Roman" w:eastAsia="Times New Roman" w:hAnsi="Times New Roman"/>
          <w:sz w:val="21"/>
          <w:szCs w:val="21"/>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an original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to request or deliver the same shall not limit the effectiveness of any document or signature delivered by telecopier or other electronic transmission.</w:t>
      </w:r>
    </w:p>
    <w:p>
      <w:pPr>
        <w:spacing w:after="0" w:line="150"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10.12 Integration; Termination</w:t>
      </w:r>
      <w:r>
        <w:rPr>
          <w:rFonts w:ascii="Times New Roman" w:cs="Times New Roman" w:eastAsia="Times New Roman" w:hAnsi="Times New Roman"/>
          <w:sz w:val="21"/>
          <w:szCs w:val="21"/>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50"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10.13 Survival of Representations and Warranties</w:t>
      </w:r>
      <w:r>
        <w:rPr>
          <w:rFonts w:ascii="Times New Roman" w:cs="Times New Roman" w:eastAsia="Times New Roman" w:hAnsi="Times New Roman"/>
          <w:sz w:val="21"/>
          <w:szCs w:val="21"/>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w:t>
      </w:r>
    </w:p>
    <w:p>
      <w:pPr>
        <w:spacing w:after="0" w:line="146"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u w:val="single" w:color="auto"/>
          <w:color w:val="auto"/>
        </w:rPr>
        <w:t>Section 10.14 Severability</w:t>
      </w:r>
      <w:r>
        <w:rPr>
          <w:rFonts w:ascii="Times New Roman" w:cs="Times New Roman" w:eastAsia="Times New Roman" w:hAnsi="Times New Roman"/>
          <w:sz w:val="21"/>
          <w:szCs w:val="21"/>
          <w:color w:val="auto"/>
        </w:rPr>
        <w:t xml:space="preserve">.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10.14</w:t>
      </w:r>
      <w:r>
        <w:rPr>
          <w:rFonts w:ascii="Times New Roman" w:cs="Times New Roman" w:eastAsia="Times New Roman" w:hAnsi="Times New Roman"/>
          <w:sz w:val="21"/>
          <w:szCs w:val="21"/>
          <w:color w:val="auto"/>
        </w:rPr>
        <w:t>, if and to the extent that the enforceability of any provision in this Agreement relating to Defaulting Lenders shall be limited by Debtor Relief Laws, as determined in good faith by the Administrative Agent, then such provisions shall be deemed to be in effect only to the extent not so limited.</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Section 10.15 GOVERNING LAW</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620" w:firstLine="621"/>
        <w:spacing w:after="0" w:line="235" w:lineRule="auto"/>
        <w:tabs>
          <w:tab w:leader="none" w:pos="1854"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EACH OTHER LOAN DOCUMENT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339" w:right="339" w:bottom="1440" w:gutter="0" w:footer="0" w:header="0"/>
        </w:sectPr>
      </w:pPr>
    </w:p>
    <w:bookmarkStart w:id="233" w:name="page234"/>
    <w:bookmarkEnd w:id="233"/>
    <w:p>
      <w:pPr>
        <w:jc w:val="both"/>
        <w:ind w:left="620" w:firstLine="621"/>
        <w:spacing w:after="0" w:line="207" w:lineRule="auto"/>
        <w:tabs>
          <w:tab w:leader="none" w:pos="1853"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SITTING IN THE BOROUGH OF MANHATTAN, AND BY EXECUTION AND DELIVERY OF THIS AGREEMENT, THE BORROWER, EACH AGENT AND EACH LENDER CONSENTS, FOR ITSELF AND IN RESPECT OF ITS PROPERTY, TO THE EXCLUSIVE JURISDICTION OF THOSE COURTS AND AGREES THAT IT WILL NOT COMMENCE OR SUPPORT ANY SUCH ACTION OR PROCEEDING IN ANOTHER JURISDICTION. THE BORROWER,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EACH PARTY HERETO IRREVOCABLY CONSENTS TO SERVICE OF PROCESS IN ANY ACTION OR PROCEEDING ARISING OUT OF OR RELATING TO ANY LOAN DOCUMENTS IN THE MANNER PROVIDED FOR NOTICES (OTHER THAN TELECOPIER OR OTHER ELECTRONIC TRANSMISSION)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10.02</w:t>
      </w:r>
      <w:r>
        <w:rPr>
          <w:rFonts w:ascii="Times New Roman" w:cs="Times New Roman" w:eastAsia="Times New Roman" w:hAnsi="Times New Roman"/>
          <w:sz w:val="21"/>
          <w:szCs w:val="21"/>
          <w:color w:val="auto"/>
        </w:rPr>
        <w:t>. NOTHING IN THIS AGREEMENT OR ANY OTHER LOAN DOCUMENT WILL AFFECT THE RIGHT OF ANY PARTY HERETO TO SERVE PROCESS IN ANY OTHER MANNER PERMITTED BY APPLICABLE LAW. NOTHING IN THIS AGREEMENT OR IN ANY OTHER LOAN DOCUMENT SHALL AFFECT ANY RIGHT THAT THE ADMINISTRATIVE AGENT OR ANY LENDER MAY OTHERWISE HAVE TO BRING ANY ACTION TO ENFORCE ANY AWARD OR JUDGMENT OR EXERCISE ANY RIGHT UNDER THE COLLATERAL DOCUMENTS AGAINST ANY COLLATERAL OR ANY OTHER PROPERTY OF THE BORROWER IN ANY OTHER FORUM IN ANY JURISDICTION IN WHICH COLLATERAL IS LOCATED.</w:t>
      </w:r>
    </w:p>
    <w:p>
      <w:pPr>
        <w:spacing w:after="0" w:line="160"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10.16 WAIVER OF RIGHT TO TRIAL BY JURY</w:t>
      </w:r>
      <w:r>
        <w:rPr>
          <w:rFonts w:ascii="Times New Roman" w:cs="Times New Roman" w:eastAsia="Times New Roman" w:hAnsi="Times New Roman"/>
          <w:sz w:val="20"/>
          <w:szCs w:val="20"/>
          <w:color w:val="auto"/>
        </w:rPr>
        <w:t xml:space="preserve">. TO THE EXTENT PERMITTED BY APPLICABLE LAW,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cs="Times New Roman" w:eastAsia="Times New Roman" w:hAnsi="Times New Roman"/>
          <w:sz w:val="20"/>
          <w:szCs w:val="20"/>
          <w:u w:val="single" w:color="auto"/>
          <w:color w:val="auto"/>
        </w:rPr>
        <w:t>SECTION 10.16</w:t>
      </w:r>
      <w:r>
        <w:rPr>
          <w:rFonts w:ascii="Times New Roman" w:cs="Times New Roman" w:eastAsia="Times New Roman" w:hAnsi="Times New Roman"/>
          <w:sz w:val="20"/>
          <w:szCs w:val="20"/>
          <w:color w:val="auto"/>
        </w:rPr>
        <w:t xml:space="preserve"> WITH ANY COURT AS WRITTEN EVIDENCE OF THE CONSENT OF THE SIGNATORIES HERETO TO THE WAIVER OF THEIR RIGHT TO TRIAL BY JURY.</w:t>
      </w:r>
    </w:p>
    <w:p>
      <w:pPr>
        <w:spacing w:after="0" w:line="151"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10.17 Binding Effect</w:t>
      </w:r>
      <w:r>
        <w:rPr>
          <w:rFonts w:ascii="Times New Roman" w:cs="Times New Roman" w:eastAsia="Times New Roman" w:hAnsi="Times New Roman"/>
          <w:sz w:val="21"/>
          <w:szCs w:val="21"/>
          <w:color w:val="auto"/>
        </w:rPr>
        <w:t>. This Agreement shall become effective when it shall have been executed by the Borrower, the Administrative Agent and the Collateral Agent, and the Administrative Agent shall have been notified by each Lender that each Lender have executed it and thereafter this Agreement shall be binding upon and inure to the benefit of the Borrower, each Agent and each Lender and their respective successors and assigns, in each case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339" w:right="339" w:bottom="1440" w:gutter="0" w:footer="0" w:header="0"/>
        </w:sectPr>
      </w:pPr>
    </w:p>
    <w:bookmarkStart w:id="234" w:name="page235"/>
    <w:bookmarkEnd w:id="234"/>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xml:space="preserve"> (if applicable) and except that the Borrower shall not have the right to assign its rights hereunder or any interest herein without the prior written consent of the Lenders except as permitted by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u w:val="single" w:color="auto"/>
          <w:color w:val="auto"/>
        </w:rPr>
        <w:t>Section 10.18 USA PATRIOT Act</w:t>
      </w:r>
      <w:r>
        <w:rPr>
          <w:rFonts w:ascii="Times New Roman" w:cs="Times New Roman" w:eastAsia="Times New Roman" w:hAnsi="Times New Roman"/>
          <w:sz w:val="21"/>
          <w:szCs w:val="21"/>
          <w:color w:val="auto"/>
        </w:rPr>
        <w:t>. Each Lender that is subject to the USA PATRIOT Act and the Administrative Agent and the Collateral Agent (for itself and not on behalf of any Lender) hereby notifies the Borrower that pursuant to the requirements of the USA PATRIOT Act, it is required to obtain, verify and record information that identifies the Borrower, which information includes the name, address and tax identification number of the Borrower and other information regarding the Borrower that will allow such Lender, the Administrative Agent or the Collateral Agent, as applicable, to identify the Borrower in accordance with the USA PATRIOT Act. This notice is given in accordance with the requirements of the USA PATRIOT Act and is effective as to the Lenders, the Administrative Agent and the Collateral Agent.</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u w:val="single" w:color="auto"/>
          <w:color w:val="auto"/>
        </w:rPr>
        <w:t>Section 10.19 No Advisory or Fiduciary Responsibility</w:t>
      </w:r>
      <w:r>
        <w:rPr>
          <w:rFonts w:ascii="Times New Roman" w:cs="Times New Roman" w:eastAsia="Times New Roman" w:hAnsi="Times New Roman"/>
          <w:sz w:val="21"/>
          <w:szCs w:val="21"/>
          <w:color w:val="auto"/>
        </w:rPr>
        <w:t>.</w:t>
      </w:r>
    </w:p>
    <w:p>
      <w:pPr>
        <w:jc w:val="both"/>
        <w:ind w:left="620" w:firstLine="621"/>
        <w:spacing w:after="0" w:line="216" w:lineRule="auto"/>
        <w:tabs>
          <w:tab w:leader="none" w:pos="185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all aspects of each transaction contemplated hereby, the Borrower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Agents, the Sole Lead Arranger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Agents, the Sole Lead Arranger (and their respective Affiliates) and the Lenders is and has been acting solely as a principal and is not the financial advisor, agent or fiduciary, for the Borrower or any of its Affiliates, stockholders, creditors or employees or any other Person, (iii) none of the Agents, the Sole Lead Arranger (or their respective Affiliates)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Agent or Lender has advised or is currently advising the Borrower or any of its Affiliates on other matters) and none of the Agents, the Sole Lead Arranger (or their respective Affiliates) or the Lenders has any obligation to the Borrower or any of its Affiliates with respect to the financing transactions contemplated hereby except those obligations expressly set forth herein and in the other Loan Documents, (iv) the Agents, the Sole Lead Arranger (and their respective Affiliates) and the Lenders and their respective Affiliates may be engaged in a broad range of transactions that involve interests that differ from, and may conflict with, those of the Borrower and its Affiliates, and none of the Agents, the Sole Lead Arranger or the Lenders has any obligation to disclose any of such interests by virtue of any advisory, agency or fiduciary relationship and (v) the Agents, the Sole Lead Arranger (and their respective Affiliates)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have deemed appropriate. The Borrower hereby waives and releases, to the fullest extent permitted by law, any claims that it may have against the Agents, the Sole Lead Arranger (and their respective Affiliates) and the Lenders with respect to any breach or alleged breach of agency or fiduciary duty under applicable law relating to agency and fiduciary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339" w:right="339" w:bottom="1440" w:gutter="0" w:footer="0" w:header="0"/>
        </w:sectPr>
      </w:pPr>
    </w:p>
    <w:bookmarkStart w:id="235" w:name="page236"/>
    <w:bookmarkEnd w:id="235"/>
    <w:p>
      <w:pPr>
        <w:jc w:val="both"/>
        <w:ind w:left="620" w:firstLine="621"/>
        <w:spacing w:after="0" w:line="208" w:lineRule="auto"/>
        <w:tabs>
          <w:tab w:leader="none" w:pos="1853"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acknowledges and agrees that each Lender, the Sole Lead Arranger and any Affiliate thereof may lend money to, invest in, and generally engage in any kind of business with, any of the Borrower, any Sponsor, any Affiliate thereof or any other person or entity that may do business with or own securities of any of the foregoing, all as if such Lender, the Sole Lead Arranger or Affiliate thereof were not a Lender, the Sole Lead Arranger or an Affiliate thereof (or an agent or any other person with any similar role under the Facilities) and without any duty to account therefor to any other Lender, the Sole Lead Arranger, the Borrower, any Sponsor or any Affiliate of the foregoing. Each Lender, the Sole Lead Arranger and any Affiliate thereof may accept fees and other consideration from the Borrower, any Sponsor or any Affiliate thereof for services in connection with this Agreement, the Facilities or otherwise without having to account for the same to any other Lender, the Sole Lead Arranger, the Borrower, any Sponsor or any Affiliate of the foregoing. Some or all of the Lenders and the Sole Lead Arranger may have directly or indirectly acquired certain equity interests (including warrants) in the Borrower, a Sponsor or an Affiliate thereof or may have directly or indirectly extended credit on a subordinated basis to the Borrower, a Sponsor or an Affiliate thereof. Each party hereto, on its behalf and on behalf of its Affiliates, acknowledges and waives the potential conflict of interest resulting from any such Lender, the Sole Lead Arranger or an Affiliate thereof holding disproportionate interests in the extensions of credit under the Facilities or otherwise acting as arranger or agent thereunder and such Lender, the Sole Lead Arranger or any Affiliate thereof directly or indirectly holding equity interests in or subordinated debt issued by the Borrower, a Sponsor or an Affiliate thereof.</w:t>
      </w:r>
    </w:p>
    <w:p>
      <w:pPr>
        <w:spacing w:after="0" w:line="158"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u w:val="single" w:color="auto"/>
          <w:color w:val="auto"/>
        </w:rPr>
        <w:t>Section 10.20 Electronic Execution</w:t>
      </w:r>
      <w:r>
        <w:rPr>
          <w:rFonts w:ascii="Times New Roman" w:cs="Times New Roman" w:eastAsia="Times New Roman" w:hAnsi="Times New Roman"/>
          <w:sz w:val="21"/>
          <w:szCs w:val="21"/>
          <w:color w:val="auto"/>
        </w:rPr>
        <w:t xml:space="preserve"> . The words “execution,” “signed,” “signature,” and words of like import in this Agreement, in the Loan Documents or any Assignment and Assumption shall be deemed to include electronic signatures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6"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u w:val="single" w:color="auto"/>
          <w:color w:val="auto"/>
        </w:rPr>
        <w:t>Section 10.21 Effect of Certain Inaccuracies</w:t>
      </w:r>
      <w:r>
        <w:rPr>
          <w:rFonts w:ascii="Times New Roman" w:cs="Times New Roman" w:eastAsia="Times New Roman" w:hAnsi="Times New Roman"/>
          <w:sz w:val="21"/>
          <w:szCs w:val="21"/>
          <w:color w:val="auto"/>
        </w:rPr>
        <w:t xml:space="preserve">. In the event that any financial statement or Compliance Certificate previously delivered pursuant to </w:t>
      </w:r>
      <w:r>
        <w:rPr>
          <w:rFonts w:ascii="Times New Roman" w:cs="Times New Roman" w:eastAsia="Times New Roman" w:hAnsi="Times New Roman"/>
          <w:sz w:val="21"/>
          <w:szCs w:val="21"/>
          <w:u w:val="single" w:color="auto"/>
          <w:color w:val="auto"/>
        </w:rPr>
        <w:t>Section 6.04(a)</w:t>
      </w:r>
      <w:r>
        <w:rPr>
          <w:rFonts w:ascii="Times New Roman" w:cs="Times New Roman" w:eastAsia="Times New Roman" w:hAnsi="Times New Roman"/>
          <w:sz w:val="21"/>
          <w:szCs w:val="21"/>
          <w:color w:val="auto"/>
        </w:rPr>
        <w:t xml:space="preserve"> was inaccurate (regardless of whether this Agreement or the Commitments are in effect when such inaccuracy is discovered), and such inaccuracy, if corrected, would have led to the application of a higher Applicable Rate for any period (an “</w:t>
      </w:r>
      <w:r>
        <w:rPr>
          <w:rFonts w:ascii="Times New Roman" w:cs="Times New Roman" w:eastAsia="Times New Roman" w:hAnsi="Times New Roman"/>
          <w:sz w:val="21"/>
          <w:szCs w:val="21"/>
          <w:b w:val="1"/>
          <w:bCs w:val="1"/>
          <w:color w:val="auto"/>
        </w:rPr>
        <w:t>Applicable Period</w:t>
      </w:r>
      <w:r>
        <w:rPr>
          <w:rFonts w:ascii="Times New Roman" w:cs="Times New Roman" w:eastAsia="Times New Roman" w:hAnsi="Times New Roman"/>
          <w:sz w:val="21"/>
          <w:szCs w:val="21"/>
          <w:color w:val="auto"/>
        </w:rPr>
        <w:t xml:space="preserve">”) than the Applicable Rate applied for such Applicable Period, then (i) the Borrower shall as soon as practicable deliver to the Administrative Agent a corrected financial statement and a corrected Compliance Certificate for such Applicable Period, (ii) the Applicable Rate shall be determined based on the corrected Compliance Certificate for such Applicable Period, and (iii) the Borrower shall within fifteen (15) days after the delivery of the corrected financial statements and Compliance Certificate pay to the Administrative Agent the unpaid accrued additional interest or fees owing as a result of such increased Applicable Rate for such Applicable Period. This </w:t>
      </w:r>
      <w:r>
        <w:rPr>
          <w:rFonts w:ascii="Times New Roman" w:cs="Times New Roman" w:eastAsia="Times New Roman" w:hAnsi="Times New Roman"/>
          <w:sz w:val="21"/>
          <w:szCs w:val="21"/>
          <w:u w:val="single" w:color="auto"/>
          <w:color w:val="auto"/>
        </w:rPr>
        <w:t>Section 10.21</w:t>
      </w:r>
      <w:r>
        <w:rPr>
          <w:rFonts w:ascii="Times New Roman" w:cs="Times New Roman" w:eastAsia="Times New Roman" w:hAnsi="Times New Roman"/>
          <w:sz w:val="21"/>
          <w:szCs w:val="21"/>
          <w:color w:val="auto"/>
        </w:rPr>
        <w:t xml:space="preserve"> shall not limit the rights of the Administrative Agent or the Lenders with respect to </w:t>
      </w:r>
      <w:r>
        <w:rPr>
          <w:rFonts w:ascii="Times New Roman" w:cs="Times New Roman" w:eastAsia="Times New Roman" w:hAnsi="Times New Roman"/>
          <w:sz w:val="21"/>
          <w:szCs w:val="21"/>
          <w:u w:val="single" w:color="auto"/>
          <w:color w:val="auto"/>
        </w:rPr>
        <w:t>Section 2.07(b)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10.22 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33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1"/>
          <w:szCs w:val="21"/>
          <w:color w:val="auto"/>
        </w:rPr>
        <w:t>conversion powers of the applicable Resolution Authority and agrees and consents to, and acknowledges and agrees to be bound by:</w:t>
      </w:r>
    </w:p>
    <w:p>
      <w:pPr>
        <w:spacing w:after="0" w:line="171" w:lineRule="exact"/>
        <w:rPr>
          <w:sz w:val="20"/>
          <w:szCs w:val="20"/>
          <w:color w:val="auto"/>
        </w:rPr>
      </w:pPr>
    </w:p>
    <w:p>
      <w:pPr>
        <w:ind w:left="620" w:firstLine="621"/>
        <w:spacing w:after="0" w:line="235" w:lineRule="auto"/>
        <w:tabs>
          <w:tab w:leader="none" w:pos="1854"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71"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71" w:lineRule="exact"/>
        <w:rPr>
          <w:rFonts w:ascii="Times New Roman" w:cs="Times New Roman" w:eastAsia="Times New Roman" w:hAnsi="Times New Roman"/>
          <w:sz w:val="21"/>
          <w:szCs w:val="21"/>
          <w:color w:val="auto"/>
        </w:rPr>
      </w:pPr>
    </w:p>
    <w:p>
      <w:pPr>
        <w:jc w:val="both"/>
        <w:ind w:left="1860" w:firstLine="618"/>
        <w:spacing w:after="0" w:line="220" w:lineRule="auto"/>
        <w:tabs>
          <w:tab w:leader="none" w:pos="3089"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5" w:lineRule="exact"/>
        <w:rPr>
          <w:rFonts w:ascii="Times New Roman" w:cs="Times New Roman" w:eastAsia="Times New Roman" w:hAnsi="Times New Roman"/>
          <w:sz w:val="21"/>
          <w:szCs w:val="21"/>
          <w:color w:val="auto"/>
        </w:rPr>
      </w:pPr>
    </w:p>
    <w:p>
      <w:pPr>
        <w:ind w:left="1860" w:firstLine="618"/>
        <w:spacing w:after="0" w:line="235" w:lineRule="auto"/>
        <w:tabs>
          <w:tab w:leader="none" w:pos="3089"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jc w:val="both"/>
        <w:ind w:firstLine="619"/>
        <w:spacing w:after="0" w:line="207" w:lineRule="auto"/>
        <w:rPr>
          <w:sz w:val="20"/>
          <w:szCs w:val="20"/>
          <w:color w:val="auto"/>
        </w:rPr>
      </w:pPr>
      <w:r>
        <w:rPr>
          <w:rFonts w:ascii="Times New Roman" w:cs="Times New Roman" w:eastAsia="Times New Roman" w:hAnsi="Times New Roman"/>
          <w:sz w:val="21"/>
          <w:szCs w:val="21"/>
          <w:u w:val="single" w:color="auto"/>
          <w:color w:val="auto"/>
        </w:rPr>
        <w:t>Section 10.23 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Secured Interest Rate Hedge Agreements or any other agreement or instrument that is a QFC (such support, “</w:t>
      </w:r>
      <w:r>
        <w:rPr>
          <w:rFonts w:ascii="Times New Roman" w:cs="Times New Roman" w:eastAsia="Times New Roman" w:hAnsi="Times New Roman"/>
          <w:sz w:val="21"/>
          <w:szCs w:val="21"/>
          <w:b w:val="1"/>
          <w:bCs w:val="1"/>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b w:val="1"/>
          <w:bCs w:val="1"/>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b w:val="1"/>
          <w:bCs w:val="1"/>
          <w:color w:val="auto"/>
        </w:rPr>
        <w:t>U.S. 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Resolution Regimes</w:t>
      </w:r>
      <w:r>
        <w:rPr>
          <w:rFonts w:ascii="Times New Roman" w:cs="Times New Roman" w:eastAsia="Times New Roman" w:hAnsi="Times New Roman"/>
          <w:sz w:val="21"/>
          <w:szCs w:val="21"/>
          <w:color w:val="auto"/>
        </w:rPr>
        <w:t>”) in respect of such Supported QFC and QFC Credit Support (with the provisions below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that the Loan Documents and any Supported QFC may in fact be stated to be governed by the laws of the State of New York or of the United States or any other state of the United States):</w:t>
      </w:r>
    </w:p>
    <w:p>
      <w:pPr>
        <w:spacing w:after="0" w:line="6" w:lineRule="exact"/>
        <w:rPr>
          <w:sz w:val="20"/>
          <w:szCs w:val="20"/>
          <w:color w:val="auto"/>
        </w:rPr>
      </w:pPr>
    </w:p>
    <w:p>
      <w:pPr>
        <w:jc w:val="both"/>
        <w:ind w:firstLine="1241"/>
        <w:spacing w:after="0" w:line="208" w:lineRule="auto"/>
        <w:tabs>
          <w:tab w:leader="none" w:pos="1853" w:val="left"/>
        </w:tabs>
        <w:numPr>
          <w:ilvl w:val="0"/>
          <w:numId w:val="2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b w:val="1"/>
          <w:bCs w:val="1"/>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51" w:lineRule="exact"/>
        <w:rPr>
          <w:rFonts w:ascii="Times New Roman" w:cs="Times New Roman" w:eastAsia="Times New Roman" w:hAnsi="Times New Roman"/>
          <w:sz w:val="21"/>
          <w:szCs w:val="21"/>
          <w:color w:val="010000"/>
        </w:rPr>
      </w:pPr>
    </w:p>
    <w:p>
      <w:pPr>
        <w:ind w:left="1860" w:hanging="619"/>
        <w:spacing w:after="0"/>
        <w:tabs>
          <w:tab w:leader="none" w:pos="1860" w:val="left"/>
        </w:tabs>
        <w:numPr>
          <w:ilvl w:val="0"/>
          <w:numId w:val="2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10.23</w:t>
      </w:r>
      <w:r>
        <w:rPr>
          <w:rFonts w:ascii="Times New Roman" w:cs="Times New Roman" w:eastAsia="Times New Roman" w:hAnsi="Times New Roman"/>
          <w:sz w:val="21"/>
          <w:szCs w:val="21"/>
          <w:color w:val="auto"/>
        </w:rPr>
        <w: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339" w:right="339" w:bottom="1440" w:gutter="0" w:footer="0" w:header="0"/>
        </w:sectPr>
      </w:pPr>
    </w:p>
    <w:bookmarkStart w:id="237" w:name="page238"/>
    <w:bookmarkEnd w:id="237"/>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Entity</w:t>
      </w:r>
      <w:r>
        <w:rPr>
          <w:rFonts w:ascii="Times New Roman" w:cs="Times New Roman" w:eastAsia="Times New Roman" w:hAnsi="Times New Roman"/>
          <w:sz w:val="21"/>
          <w:szCs w:val="21"/>
          <w:color w:val="auto"/>
        </w:rPr>
        <w:t>” means any of the following:</w:t>
      </w:r>
    </w:p>
    <w:p>
      <w:pPr>
        <w:spacing w:after="0" w:line="201" w:lineRule="exact"/>
        <w:rPr>
          <w:sz w:val="20"/>
          <w:szCs w:val="20"/>
          <w:color w:val="auto"/>
        </w:rPr>
      </w:pPr>
    </w:p>
    <w:p>
      <w:pPr>
        <w:ind w:left="2480" w:hanging="620"/>
        <w:spacing w:after="0"/>
        <w:tabs>
          <w:tab w:leader="none" w:pos="248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132" w:lineRule="exact"/>
        <w:rPr>
          <w:rFonts w:ascii="Times New Roman" w:cs="Times New Roman" w:eastAsia="Times New Roman" w:hAnsi="Times New Roman"/>
          <w:sz w:val="19"/>
          <w:szCs w:val="19"/>
          <w:color w:val="auto"/>
        </w:rPr>
      </w:pPr>
    </w:p>
    <w:p>
      <w:pPr>
        <w:ind w:left="2480" w:hanging="620"/>
        <w:spacing w:after="0"/>
        <w:tabs>
          <w:tab w:leader="none" w:pos="248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132" w:lineRule="exact"/>
        <w:rPr>
          <w:rFonts w:ascii="Times New Roman" w:cs="Times New Roman" w:eastAsia="Times New Roman" w:hAnsi="Times New Roman"/>
          <w:sz w:val="19"/>
          <w:szCs w:val="19"/>
          <w:color w:val="auto"/>
        </w:rPr>
      </w:pPr>
    </w:p>
    <w:p>
      <w:pPr>
        <w:ind w:left="2480" w:hanging="620"/>
        <w:spacing w:after="0"/>
        <w:tabs>
          <w:tab w:leader="none" w:pos="248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167" w:lineRule="exact"/>
        <w:rPr>
          <w:sz w:val="20"/>
          <w:szCs w:val="20"/>
          <w:color w:val="auto"/>
        </w:rPr>
      </w:pPr>
    </w:p>
    <w:p>
      <w:pPr>
        <w:ind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47" w:lineRule="exact"/>
        <w:rPr>
          <w:sz w:val="20"/>
          <w:szCs w:val="20"/>
          <w:color w:val="auto"/>
        </w:rPr>
      </w:pPr>
    </w:p>
    <w:p>
      <w:pPr>
        <w:ind w:right="380" w:firstLine="1238"/>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361" w:right="339" w:bottom="1440" w:gutter="0" w:footer="0" w:header="0"/>
        </w:sectPr>
      </w:pPr>
    </w:p>
    <w:bookmarkStart w:id="238" w:name="page239"/>
    <w:bookmarkEnd w:id="238"/>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by their respective authorized officers as of the day and year first above written.</w:t>
      </w:r>
    </w:p>
    <w:p>
      <w:pPr>
        <w:spacing w:after="0" w:line="16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b w:val="1"/>
          <w:bCs w:val="1"/>
          <w:color w:val="auto"/>
        </w:rPr>
        <w:t>SUMMIT PERMIAN TRANSMISSION, LLC</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as the Borrower</w:t>
      </w:r>
    </w:p>
    <w:p>
      <w:pPr>
        <w:spacing w:after="0" w:line="200" w:lineRule="exact"/>
        <w:rPr>
          <w:sz w:val="20"/>
          <w:szCs w:val="20"/>
          <w:color w:val="auto"/>
        </w:rPr>
      </w:pPr>
    </w:p>
    <w:p>
      <w:pPr>
        <w:spacing w:after="0" w:line="252" w:lineRule="exact"/>
        <w:rPr>
          <w:sz w:val="20"/>
          <w:szCs w:val="20"/>
          <w:color w:val="auto"/>
        </w:rPr>
      </w:pPr>
    </w:p>
    <w:p>
      <w:pPr>
        <w:ind w:left="3400"/>
        <w:spacing w:after="0"/>
        <w:tabs>
          <w:tab w:leader="none" w:pos="38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William J. Mault</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Name: William J. Mault</w:t>
      </w:r>
    </w:p>
    <w:p>
      <w:pPr>
        <w:spacing w:after="0" w:line="1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11240"/>
          </w:cols>
          <w:pgMar w:left="320" w:top="1356" w:right="339" w:bottom="1440" w:gutter="0" w:footer="0" w:header="0"/>
        </w:sectPr>
      </w:pPr>
    </w:p>
    <w:bookmarkStart w:id="239" w:name="page240"/>
    <w:bookmarkEnd w:id="239"/>
    <w:p>
      <w:pPr>
        <w:ind w:left="2280"/>
        <w:spacing w:after="0"/>
        <w:rPr>
          <w:sz w:val="20"/>
          <w:szCs w:val="20"/>
          <w:color w:val="auto"/>
        </w:rPr>
      </w:pPr>
      <w:r>
        <w:rPr>
          <w:rFonts w:ascii="Times New Roman" w:cs="Times New Roman" w:eastAsia="Times New Roman" w:hAnsi="Times New Roman"/>
          <w:sz w:val="18"/>
          <w:szCs w:val="18"/>
          <w:b w:val="1"/>
          <w:bCs w:val="1"/>
          <w:color w:val="auto"/>
        </w:rPr>
        <w:t>EPIC ADMINISTRATION LLC</w:t>
      </w:r>
      <w:r>
        <w:rPr>
          <w:rFonts w:ascii="Times New Roman" w:cs="Times New Roman" w:eastAsia="Times New Roman" w:hAnsi="Times New Roman"/>
          <w:sz w:val="18"/>
          <w:szCs w:val="18"/>
          <w:color w:val="auto"/>
        </w:rPr>
        <w:t>, as Administrative</w:t>
      </w:r>
    </w:p>
    <w:p>
      <w:pPr>
        <w:spacing w:after="0" w:line="4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Agent and Collateral Agent</w:t>
      </w:r>
    </w:p>
    <w:p>
      <w:pPr>
        <w:spacing w:after="0" w:line="200" w:lineRule="exact"/>
        <w:rPr>
          <w:sz w:val="20"/>
          <w:szCs w:val="20"/>
          <w:color w:val="auto"/>
        </w:rPr>
      </w:pPr>
    </w:p>
    <w:p>
      <w:pPr>
        <w:spacing w:after="0" w:line="252" w:lineRule="exact"/>
        <w:rPr>
          <w:sz w:val="20"/>
          <w:szCs w:val="20"/>
          <w:color w:val="auto"/>
        </w:rPr>
      </w:pPr>
    </w:p>
    <w:p>
      <w:pPr>
        <w:ind w:left="2280"/>
        <w:spacing w:after="0"/>
        <w:tabs>
          <w:tab w:leader="none" w:pos="27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Jeff Hostettler</w:t>
      </w:r>
    </w:p>
    <w:p>
      <w:pPr>
        <w:spacing w:after="0" w:line="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Name: Jeff Hostettler</w:t>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353" w:right="1440" w:bottom="1440" w:gutter="0" w:footer="0" w:header="0"/>
        </w:sectPr>
      </w:pPr>
    </w:p>
    <w:bookmarkStart w:id="240" w:name="page241"/>
    <w:bookmarkEnd w:id="240"/>
    <w:p>
      <w:pPr>
        <w:ind w:left="2280" w:right="39"/>
        <w:spacing w:after="0" w:line="261" w:lineRule="auto"/>
        <w:rPr>
          <w:sz w:val="20"/>
          <w:szCs w:val="20"/>
          <w:color w:val="auto"/>
        </w:rPr>
      </w:pPr>
      <w:r>
        <w:rPr>
          <w:rFonts w:ascii="Times New Roman" w:cs="Times New Roman" w:eastAsia="Times New Roman" w:hAnsi="Times New Roman"/>
          <w:sz w:val="19"/>
          <w:szCs w:val="19"/>
          <w:b w:val="1"/>
          <w:bCs w:val="1"/>
          <w:color w:val="auto"/>
        </w:rPr>
        <w:t>NUVEEN ENERGY &amp; POWER INFRASTRUCTURE CREDIT MASTER FUND, SCSP, SICAV-RAIF – FUND II,</w:t>
      </w:r>
    </w:p>
    <w:p>
      <w:pPr>
        <w:ind w:left="2280"/>
        <w:spacing w:after="0"/>
        <w:rPr>
          <w:sz w:val="20"/>
          <w:szCs w:val="20"/>
          <w:color w:val="auto"/>
        </w:rPr>
      </w:pPr>
      <w:r>
        <w:rPr>
          <w:rFonts w:ascii="Times New Roman" w:cs="Times New Roman" w:eastAsia="Times New Roman" w:hAnsi="Times New Roman"/>
          <w:sz w:val="19"/>
          <w:szCs w:val="19"/>
          <w:color w:val="auto"/>
        </w:rPr>
        <w:t>as a Lender</w:t>
      </w:r>
    </w:p>
    <w:p>
      <w:pPr>
        <w:spacing w:after="0" w:line="2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By: Nuveen Alternatives Advisors LLC, a Delaware</w:t>
      </w:r>
    </w:p>
    <w:p>
      <w:pPr>
        <w:spacing w:after="0" w:line="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limited liability company, its investment manager</w:t>
      </w:r>
    </w:p>
    <w:p>
      <w:pPr>
        <w:spacing w:after="0" w:line="226" w:lineRule="exact"/>
        <w:rPr>
          <w:sz w:val="20"/>
          <w:szCs w:val="20"/>
          <w:color w:val="auto"/>
        </w:rPr>
      </w:pPr>
    </w:p>
    <w:p>
      <w:pPr>
        <w:ind w:left="2280"/>
        <w:spacing w:after="0"/>
        <w:tabs>
          <w:tab w:leader="none" w:pos="27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Jeff Hostettler</w:t>
      </w:r>
    </w:p>
    <w:p>
      <w:pPr>
        <w:spacing w:after="0" w:line="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Name: Jeff Hostettler</w:t>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352" w:right="1440" w:bottom="1440" w:gutter="0" w:footer="0" w:header="0"/>
        </w:sectPr>
      </w:pPr>
    </w:p>
    <w:bookmarkStart w:id="241" w:name="page242"/>
    <w:bookmarkEnd w:id="241"/>
    <w:p>
      <w:pPr>
        <w:ind w:left="228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TEACHERS INSURANCE AND ANNUITY ASSOCIATION OF AMERICA, </w:t>
      </w:r>
      <w:r>
        <w:rPr>
          <w:rFonts w:ascii="Times New Roman" w:cs="Times New Roman" w:eastAsia="Times New Roman" w:hAnsi="Times New Roman"/>
          <w:sz w:val="19"/>
          <w:szCs w:val="19"/>
          <w:color w:val="auto"/>
        </w:rPr>
        <w:t>a New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York domiciled life insurance company</w:t>
      </w:r>
    </w:p>
    <w:p>
      <w:pPr>
        <w:ind w:left="2280"/>
        <w:spacing w:after="0"/>
        <w:rPr>
          <w:sz w:val="20"/>
          <w:szCs w:val="20"/>
          <w:color w:val="auto"/>
        </w:rPr>
      </w:pPr>
      <w:r>
        <w:rPr>
          <w:rFonts w:ascii="Times New Roman" w:cs="Times New Roman" w:eastAsia="Times New Roman" w:hAnsi="Times New Roman"/>
          <w:sz w:val="19"/>
          <w:szCs w:val="19"/>
          <w:color w:val="auto"/>
        </w:rPr>
        <w:t>as a Lender</w:t>
      </w:r>
    </w:p>
    <w:p>
      <w:pPr>
        <w:spacing w:after="0" w:line="2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By: Nuveen Alternatives Advisors LLC, a Delaware</w:t>
      </w:r>
    </w:p>
    <w:p>
      <w:pPr>
        <w:spacing w:after="0" w:line="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limited liability company, its investment manager</w:t>
      </w:r>
    </w:p>
    <w:p>
      <w:pPr>
        <w:spacing w:after="0" w:line="226" w:lineRule="exact"/>
        <w:rPr>
          <w:sz w:val="20"/>
          <w:szCs w:val="20"/>
          <w:color w:val="auto"/>
        </w:rPr>
      </w:pPr>
    </w:p>
    <w:p>
      <w:pPr>
        <w:ind w:left="2280"/>
        <w:spacing w:after="0"/>
        <w:tabs>
          <w:tab w:leader="none" w:pos="27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Jeff Hostettler</w:t>
      </w:r>
    </w:p>
    <w:p>
      <w:pPr>
        <w:spacing w:after="0" w:line="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Name: Jeff Hostettler</w:t>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100"/>
          </w:cols>
          <w:pgMar w:left="1440" w:top="1352" w:right="1359" w:bottom="1440" w:gutter="0" w:footer="0" w:header="0"/>
        </w:sectPr>
      </w:pPr>
    </w:p>
    <w:bookmarkStart w:id="242" w:name="page243"/>
    <w:bookmarkEnd w:id="242"/>
    <w:p>
      <w:pPr>
        <w:ind w:left="2280"/>
        <w:spacing w:after="0"/>
        <w:rPr>
          <w:sz w:val="20"/>
          <w:szCs w:val="20"/>
          <w:color w:val="auto"/>
        </w:rPr>
      </w:pPr>
      <w:r>
        <w:rPr>
          <w:rFonts w:ascii="Times New Roman" w:cs="Times New Roman" w:eastAsia="Times New Roman" w:hAnsi="Times New Roman"/>
          <w:sz w:val="18"/>
          <w:szCs w:val="18"/>
          <w:b w:val="1"/>
          <w:bCs w:val="1"/>
          <w:color w:val="auto"/>
        </w:rPr>
        <w:t>CDPQ REVENU FIXE AMÉRICAIN V INC.,</w:t>
      </w:r>
    </w:p>
    <w:p>
      <w:pPr>
        <w:spacing w:after="0" w:line="4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52" w:lineRule="exact"/>
        <w:rPr>
          <w:sz w:val="20"/>
          <w:szCs w:val="20"/>
          <w:color w:val="auto"/>
        </w:rPr>
      </w:pPr>
    </w:p>
    <w:p>
      <w:pPr>
        <w:ind w:left="2280"/>
        <w:spacing w:after="0"/>
        <w:tabs>
          <w:tab w:leader="none" w:pos="27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u w:val="single" w:color="auto"/>
          <w:color w:val="auto"/>
        </w:rPr>
        <w:t>/s/ Florestan Ferroux</w:t>
      </w:r>
    </w:p>
    <w:p>
      <w:pPr>
        <w:spacing w:after="0" w:line="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Name: Florestan Ferroux</w:t>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58" w:lineRule="exact"/>
        <w:rPr>
          <w:sz w:val="20"/>
          <w:szCs w:val="20"/>
          <w:color w:val="auto"/>
        </w:rPr>
      </w:pPr>
    </w:p>
    <w:p>
      <w:pPr>
        <w:ind w:left="2280"/>
        <w:spacing w:after="0"/>
        <w:tabs>
          <w:tab w:leader="none" w:pos="27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Jean-Pierre Jetté</w:t>
      </w:r>
    </w:p>
    <w:p>
      <w:pPr>
        <w:spacing w:after="0" w:line="2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Name: Jean-Pierre Jetté</w:t>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353" w:right="1440"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to Credit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9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Abandonment</w:t>
      </w:r>
      <w:r>
        <w:rPr>
          <w:rFonts w:ascii="Times New Roman" w:cs="Times New Roman" w:eastAsia="Times New Roman" w:hAnsi="Times New Roman"/>
          <w:sz w:val="21"/>
          <w:szCs w:val="21"/>
          <w:color w:val="auto"/>
        </w:rPr>
        <w:t xml:space="preserve">” means any of the following shall have occurred: (a) the abandonment, suspension or cessation of all or substantially all of the activities related to the Project, in each case, for a period in excess of the earlier of ninety (90) consecutive days and one-hundred twenty (120) days within any 360 day period (other than as a result of </w:t>
      </w:r>
      <w:r>
        <w:rPr>
          <w:rFonts w:ascii="Times New Roman" w:cs="Times New Roman" w:eastAsia="Times New Roman" w:hAnsi="Times New Roman"/>
          <w:sz w:val="21"/>
          <w:szCs w:val="21"/>
          <w:i w:val="1"/>
          <w:iCs w:val="1"/>
          <w:color w:val="auto"/>
        </w:rPr>
        <w:t>force majeure</w:t>
      </w:r>
      <w:r>
        <w:rPr>
          <w:rFonts w:ascii="Times New Roman" w:cs="Times New Roman" w:eastAsia="Times New Roman" w:hAnsi="Times New Roman"/>
          <w:sz w:val="21"/>
          <w:szCs w:val="21"/>
          <w:color w:val="auto"/>
        </w:rPr>
        <w:t xml:space="preserve"> so long as the Double E Joint Venture is diligently attempting to remediate and/or restart the Project) or (b) a formal, public announcement by the Double E Joint Venture of a decision to abandon, indefinitely cease or indefinitely defer all or substantially all of the activities related to the operation of the Project for any reason.</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Acceptable L/C Issuer</w:t>
      </w:r>
      <w:r>
        <w:rPr>
          <w:rFonts w:ascii="Times New Roman" w:cs="Times New Roman" w:eastAsia="Times New Roman" w:hAnsi="Times New Roman"/>
          <w:sz w:val="21"/>
          <w:szCs w:val="21"/>
          <w:color w:val="auto"/>
        </w:rPr>
        <w:t xml:space="preserve">” means (a) any bank or financial institution which has a rating for its long-term unsecured and noncredit-enhanced debt obligations of A- or higher by S&amp;P (or if not rated by S&amp;P, a comparable rating from an internationally recognized credit rating agency) or A3 or higher by Moody’s (or if not rated by Moody’s, a comparable rating from an internationally recognized credit rating agency) or (b) any bank or financial institution that satisfied the requirements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has ceased to satisfy such ratings requirement for a period of not more than forty-five (45) days.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Lender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Pari Passu Permitted Debt</w:t>
      </w:r>
      <w:r>
        <w:rPr>
          <w:rFonts w:ascii="Times New Roman" w:cs="Times New Roman" w:eastAsia="Times New Roman" w:hAnsi="Times New Roman"/>
          <w:sz w:val="21"/>
          <w:szCs w:val="21"/>
          <w:color w:val="auto"/>
        </w:rPr>
        <w:t>” means any Incremental Term Facility, Incremental Equivalent Debt, Incremental First Lien Term Loans or Incremental Equivalent First Lien Debt.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Agent</w:t>
      </w:r>
      <w:r>
        <w:rPr>
          <w:rFonts w:ascii="Times New Roman" w:cs="Times New Roman" w:eastAsia="Times New Roman" w:hAnsi="Times New Roman"/>
          <w:sz w:val="21"/>
          <w:szCs w:val="21"/>
          <w:color w:val="auto"/>
        </w:rPr>
        <w:t>” means Epic Administration, LLC, in its capacity as administrative agent under any of the Loan Documents, or any successor administrative agent.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Agent’s Office</w:t>
      </w:r>
      <w:r>
        <w:rPr>
          <w:rFonts w:ascii="Times New Roman" w:cs="Times New Roman" w:eastAsia="Times New Roman" w:hAnsi="Times New Roman"/>
          <w:sz w:val="21"/>
          <w:szCs w:val="21"/>
          <w:color w:val="auto"/>
        </w:rPr>
        <w:t xml:space="preserve">” means the Administrative Agent’s address and account as set forth on </w:t>
      </w:r>
      <w:r>
        <w:rPr>
          <w:rFonts w:ascii="Times New Roman" w:cs="Times New Roman" w:eastAsia="Times New Roman" w:hAnsi="Times New Roman"/>
          <w:sz w:val="21"/>
          <w:szCs w:val="21"/>
          <w:u w:val="single" w:color="auto"/>
          <w:color w:val="auto"/>
        </w:rPr>
        <w:t>Schedule 10.02(a)</w:t>
      </w:r>
      <w:r>
        <w:rPr>
          <w:rFonts w:ascii="Times New Roman" w:cs="Times New Roman" w:eastAsia="Times New Roman" w:hAnsi="Times New Roman"/>
          <w:sz w:val="21"/>
          <w:szCs w:val="21"/>
          <w:color w:val="auto"/>
        </w:rPr>
        <w:t>, or such other address or account as the Administrative Agent may from time to time notify the Borrower and the Lenders.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Administrative Questionnaire</w:t>
      </w:r>
      <w:r>
        <w:rPr>
          <w:rFonts w:ascii="Times New Roman" w:cs="Times New Roman" w:eastAsia="Times New Roman" w:hAnsi="Times New Roman"/>
          <w:sz w:val="21"/>
          <w:szCs w:val="21"/>
          <w:color w:val="auto"/>
        </w:rPr>
        <w:t>” means an Administrative Questionnaire in such form as may be supplied from time to time by the Administrative Agent.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Agent-Related Persons</w:t>
      </w:r>
      <w:r>
        <w:rPr>
          <w:rFonts w:ascii="Times New Roman" w:cs="Times New Roman" w:eastAsia="Times New Roman" w:hAnsi="Times New Roman"/>
          <w:sz w:val="21"/>
          <w:szCs w:val="21"/>
          <w:color w:val="auto"/>
        </w:rPr>
        <w:t>” means the Agents, together with their respective Affiliates and the officers, directors, employees, partners, agents, advisors, attorneys-in-fact and other representatives of such Persons and Affiliates.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Agents</w:t>
      </w:r>
      <w:r>
        <w:rPr>
          <w:rFonts w:ascii="Times New Roman" w:cs="Times New Roman" w:eastAsia="Times New Roman" w:hAnsi="Times New Roman"/>
          <w:sz w:val="21"/>
          <w:szCs w:val="21"/>
          <w:color w:val="auto"/>
        </w:rPr>
        <w:t>” means, collectively, the Administrative Agent and the Supplemental Agents (if 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Aggregate Commitments</w:t>
      </w:r>
      <w:r>
        <w:rPr>
          <w:rFonts w:ascii="Times New Roman" w:cs="Times New Roman" w:eastAsia="Times New Roman" w:hAnsi="Times New Roman"/>
          <w:sz w:val="21"/>
          <w:szCs w:val="21"/>
          <w:color w:val="auto"/>
        </w:rPr>
        <w:t>” means the Commitments of all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361"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means this Credit Agreement, as the same may be amended, supplemented or otherwise modified from time to time.</w:t>
      </w:r>
    </w:p>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All-In Yield</w:t>
      </w:r>
      <w:r>
        <w:rPr>
          <w:rFonts w:ascii="Times New Roman" w:cs="Times New Roman" w:eastAsia="Times New Roman" w:hAnsi="Times New Roman"/>
          <w:sz w:val="21"/>
          <w:szCs w:val="21"/>
          <w:color w:val="auto"/>
        </w:rPr>
        <w:t xml:space="preserve">” means, as to any Indebtedness, the yield thereof, whether in the form of interest rate, margin, OID, fees (including upfront fees, commitment fees, ticking fees, undrawn commitment fees and similar fees (regardless of whether any of the foregoing fees are paid to, or shared with, in whole or in part, any or all lenders) and, solely to the extent contemplated at the incurrence of any such Indebtedness and actually paid to the applicable lenders, amendment fees, consent fees, arrangement fees, structuring fees, underwriting fees, placement fees, advisory fees and success fees), a Term SOFR or Base Rate floor, or otherwise, in each case, incurred or payable by the Borrower generally to all lenders of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OID and upfront fees shall be equated to an interest rate assuming a four (4)-year life to maturity on a straight line basis (e.g., 100 basis points of OID equals to 25 basis points of interest rate margin for a four (4) year average life to maturity);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if any Incremental Term Loans include a Term SOFR or Base Rate floor that is greater than the Term SOFR or Base Rate Floor applicable to any existing Class of Term Loans, such differential between Term SOFR or Base Rate floors, as applicable, shall be included in the calculation of All-In Yield, but only to the extent an increase in the Term SOFR or Base Rate floor applicable to the existing Term Loans would cause an increase in the interest rate then in effect thereunder, and in such case the Term SOFR and Base Rate floors (but not the Applicable Rate, unless the Borrower otherwise elects in its sole discretion) applicable to the existing Term Loans shall be increased to the extent of such differential between Term SOFR or Base Rate floors, as the case may be.</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Budget</w:t>
      </w:r>
      <w:r>
        <w:rPr>
          <w:rFonts w:ascii="Times New Roman" w:cs="Times New Roman" w:eastAsia="Times New Roman" w:hAnsi="Times New Roman"/>
          <w:sz w:val="21"/>
          <w:szCs w:val="21"/>
          <w:color w:val="auto"/>
        </w:rPr>
        <w:t>” means an operating budget of the Double E Joint Venture in form and detail substantially similar in all material respects to the “Operating Budget” as defined in the JV LLC Agreement as in effect on the Closing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10.21.</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Premium</w:t>
      </w:r>
      <w:r>
        <w:rPr>
          <w:rFonts w:ascii="Times New Roman" w:cs="Times New Roman" w:eastAsia="Times New Roman" w:hAnsi="Times New Roman"/>
          <w:sz w:val="20"/>
          <w:szCs w:val="20"/>
          <w:color w:val="auto"/>
        </w:rPr>
        <w:t>” means, in the case of any prepayment of any Loans (A) during the period commencing on the applicable borrowing date and ending on the first anniversary of the applicable borrowing date, the applicable Make-Whole Amount plus a premium of 2.00% of the aggregate principal amount so prepaid, (B) during the period commencing on the first anniversary of the applicable borrowing date and ending on the second anniversary of the applicable borrowing date, a premium of 2.00% of the aggregate principal amount so prepaid and (C) during the period commencing on the second anniversary of the applicable borrowing date and ending on the third anniversary of the applicable borrowing date, a premium of 1.00% of the aggregate principal amount so prepaid.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Rate</w:t>
      </w:r>
      <w:r>
        <w:rPr>
          <w:rFonts w:ascii="Times New Roman" w:cs="Times New Roman" w:eastAsia="Times New Roman" w:hAnsi="Times New Roman"/>
          <w:sz w:val="21"/>
          <w:szCs w:val="21"/>
          <w:color w:val="auto"/>
        </w:rPr>
        <w:t xml:space="preserve">” means, a percentage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(a) for SOFR Loans, 4.00%, and (ii) for Base Rate Loans, 3.00%.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SOFR Floor</w:t>
      </w:r>
      <w:r>
        <w:rPr>
          <w:rFonts w:ascii="Times New Roman" w:cs="Times New Roman" w:eastAsia="Times New Roman" w:hAnsi="Times New Roman"/>
          <w:sz w:val="21"/>
          <w:szCs w:val="21"/>
          <w:color w:val="auto"/>
        </w:rPr>
        <w:t>” means 3.00% per annum.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Appropriate Lender</w:t>
      </w:r>
      <w:r>
        <w:rPr>
          <w:rFonts w:ascii="Times New Roman" w:cs="Times New Roman" w:eastAsia="Times New Roman" w:hAnsi="Times New Roman"/>
          <w:sz w:val="21"/>
          <w:szCs w:val="21"/>
          <w:color w:val="auto"/>
        </w:rPr>
        <w:t>” means, at any time, with respect to Loans of any Class, the Lenders of such Class.</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Approved Fund</w:t>
      </w:r>
      <w:r>
        <w:rPr>
          <w:rFonts w:ascii="Times New Roman" w:cs="Times New Roman" w:eastAsia="Times New Roman" w:hAnsi="Times New Roman"/>
          <w:sz w:val="21"/>
          <w:szCs w:val="21"/>
          <w:color w:val="auto"/>
        </w:rPr>
        <w:t>” means, with respect to any Lender, any limited partner of such Lender, or any Fund that is administered, advised or managed by (a) such Lender, (b) an Affiliate of such Lender, (c) a limited partner of a Lender or (d) an entity or an Affiliate of an entity that administers, advises or manages such Lender.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Assignees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335"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Assignment and Assumption</w:t>
      </w:r>
      <w:r>
        <w:rPr>
          <w:rFonts w:ascii="Times New Roman" w:cs="Times New Roman" w:eastAsia="Times New Roman" w:hAnsi="Times New Roman"/>
          <w:sz w:val="21"/>
          <w:szCs w:val="21"/>
          <w:color w:val="auto"/>
        </w:rPr>
        <w:t xml:space="preserve">” means an Assignment and Assumption substantially in the form of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Attorney Costs</w:t>
      </w:r>
      <w:r>
        <w:rPr>
          <w:rFonts w:ascii="Times New Roman" w:cs="Times New Roman" w:eastAsia="Times New Roman" w:hAnsi="Times New Roman"/>
          <w:sz w:val="21"/>
          <w:szCs w:val="21"/>
          <w:color w:val="auto"/>
        </w:rPr>
        <w:t>” means and includes all reasonable and documented fees, expenses and disbursements of any law firm or other external legal counsel.</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Attributable Indebtedness</w:t>
      </w:r>
      <w:r>
        <w:rPr>
          <w:rFonts w:ascii="Times New Roman" w:cs="Times New Roman" w:eastAsia="Times New Roman" w:hAnsi="Times New Roman"/>
          <w:sz w:val="21"/>
          <w:szCs w:val="21"/>
          <w:color w:val="auto"/>
        </w:rPr>
        <w:t xml:space="preserve">” means, on any date, in respect of any Capitalized Lease of any Person, the capitalized amount thereof that would appear on a balance sheet of such Person prepared as of such date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lease liabilities appearing on such balance sheet as a result of the adoption of ASU No. 2016-02 Leases (“Topic 842”) in an aggregate principal amount not to exceed $10,000,000 shall not be included as Attributable Indebtedness.</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Audited Financial Statements</w:t>
      </w:r>
      <w:r>
        <w:rPr>
          <w:rFonts w:ascii="Times New Roman" w:cs="Times New Roman" w:eastAsia="Times New Roman" w:hAnsi="Times New Roman"/>
          <w:sz w:val="21"/>
          <w:szCs w:val="21"/>
          <w:color w:val="auto"/>
        </w:rPr>
        <w:t>” means (i) the audited balance sheets and the related audited statements of income and cash flow for the Double E Joint Venture for the fiscal year ended on December 31, 2024 and (ii) the audited balance sheets and the related audited statements of income and cash flow for the Borrower for the fiscal year ended on December 31, 2024.</w:t>
      </w:r>
    </w:p>
    <w:p>
      <w:pPr>
        <w:spacing w:after="0" w:line="14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Cash</w:t>
      </w:r>
      <w:r>
        <w:rPr>
          <w:rFonts w:ascii="Times New Roman" w:cs="Times New Roman" w:eastAsia="Times New Roman" w:hAnsi="Times New Roman"/>
          <w:sz w:val="21"/>
          <w:szCs w:val="21"/>
          <w:color w:val="auto"/>
        </w:rPr>
        <w:t xml:space="preserve">” means, for any Test Period, (a) the sum (without duplication) of all Revenue that the Borrower actually receives in cash or Cash Equivalents during such Test Period, including interest income and amounts received in the form of dividends or similar distributions from the Double E Joint Venture, in each case during the most recently ended four fiscal quarter period,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(b) amounts paid during such period under clauses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2.15(h)</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Draw Amount</w:t>
      </w:r>
      <w:r>
        <w:rPr>
          <w:rFonts w:ascii="Times New Roman" w:cs="Times New Roman" w:eastAsia="Times New Roman" w:hAnsi="Times New Roman"/>
          <w:sz w:val="21"/>
          <w:szCs w:val="21"/>
          <w:color w:val="auto"/>
        </w:rPr>
        <w:t>” means, as of any date of determination with respect to any letter of credit, the amount available to be drawn thereunder on such date.</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Tenor</w:t>
      </w:r>
      <w:r>
        <w:rPr>
          <w:rFonts w:ascii="Times New Roman" w:cs="Times New Roman" w:eastAsia="Times New Roman" w:hAnsi="Times New Roman"/>
          <w:sz w:val="21"/>
          <w:szCs w:val="21"/>
          <w:color w:val="auto"/>
        </w:rPr>
        <w:t xml:space="preserve">”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1"/>
          <w:szCs w:val="21"/>
          <w:u w:val="single" w:color="auto"/>
          <w:color w:val="auto"/>
        </w:rPr>
        <w:t>Section 3.03(b)(iv)</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the U.S. Bankruptcy Code, being Title 11 of the U.S. Code.</w:t>
      </w:r>
    </w:p>
    <w:p>
      <w:pPr>
        <w:spacing w:after="0" w:line="17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Rate</w:t>
      </w:r>
      <w:r>
        <w:rPr>
          <w:rFonts w:ascii="Times New Roman" w:cs="Times New Roman" w:eastAsia="Times New Roman" w:hAnsi="Times New Roman"/>
          <w:sz w:val="21"/>
          <w:szCs w:val="21"/>
          <w:color w:val="auto"/>
        </w:rPr>
        <w:t xml:space="preserve">” means, for any day,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greatest of (a) the Federal Funds Rate in effect on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½ of 1.0%, (b) the Prime Rate in effect for such day and (c) Term SOFR in effect on such day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1.0%. Notwithstanding the foregoing, the Base Rate will be deemed to be the Base Rate Floor if the Base Rate calculated pursuant to the foregoing provisions would otherwise be less than the Base Rate Floor. If the Administrative Agent shall have determined (which determination shall be conclusive absent manifest error) that it is unable to ascertain the Federal Funds Rate or Term SOFR, or both, specified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respectively, of the first sentence of this definition, for any reason, the Base Rate shall be determined without regard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of the first sentence of this definition until the circumstances giving rise to such inability no longer exist. Any change in the Base Rate due to a change in the Prime Rate, the Federal Funds Rate or Term SOFR shall be effective from and including the effective date of such change in the Prime Rate, the Federal Funds Rate or Term SOFR,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Rate Floor</w:t>
      </w:r>
      <w:r>
        <w:rPr>
          <w:rFonts w:ascii="Times New Roman" w:cs="Times New Roman" w:eastAsia="Times New Roman" w:hAnsi="Times New Roman"/>
          <w:sz w:val="21"/>
          <w:szCs w:val="21"/>
          <w:color w:val="auto"/>
        </w:rPr>
        <w:t>” means a rate of interest equal to 4.00% per annum.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Rate Loan</w:t>
      </w:r>
      <w:r>
        <w:rPr>
          <w:rFonts w:ascii="Times New Roman" w:cs="Times New Roman" w:eastAsia="Times New Roman" w:hAnsi="Times New Roman"/>
          <w:sz w:val="21"/>
          <w:szCs w:val="21"/>
          <w:color w:val="auto"/>
        </w:rPr>
        <w:t>” means a Loan that bears interest based on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335"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Rate Term SOFR Determination Day</w:t>
      </w:r>
      <w:r>
        <w:rPr>
          <w:rFonts w:ascii="Times New Roman" w:cs="Times New Roman" w:eastAsia="Times New Roman" w:hAnsi="Times New Roman"/>
          <w:sz w:val="21"/>
          <w:szCs w:val="21"/>
          <w:color w:val="auto"/>
        </w:rPr>
        <w:t>” has the meaning specified in the definition of “Term SOFR”.</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w:t>
      </w:r>
      <w:r>
        <w:rPr>
          <w:rFonts w:ascii="Times New Roman" w:cs="Times New Roman" w:eastAsia="Times New Roman" w:hAnsi="Times New Roman"/>
          <w:sz w:val="21"/>
          <w:szCs w:val="21"/>
          <w:color w:val="auto"/>
        </w:rPr>
        <w:t xml:space="preserve">” means, initially, Term SOFR;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w:t>
      </w:r>
      <w:r>
        <w:rPr>
          <w:rFonts w:ascii="Times New Roman" w:cs="Times New Roman" w:eastAsia="Times New Roman" w:hAnsi="Times New Roman"/>
          <w:sz w:val="21"/>
          <w:szCs w:val="21"/>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4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Date</w:t>
      </w:r>
      <w:r>
        <w:rPr>
          <w:rFonts w:ascii="Times New Roman" w:cs="Times New Roman" w:eastAsia="Times New Roman" w:hAnsi="Times New Roman"/>
          <w:sz w:val="21"/>
          <w:szCs w:val="21"/>
          <w:color w:val="auto"/>
        </w:rPr>
        <w:t>” means the earliest to occur of the following events with respect to the then-current Benchmark:</w:t>
      </w:r>
    </w:p>
    <w:p>
      <w:pPr>
        <w:spacing w:after="0" w:line="175" w:lineRule="exact"/>
        <w:rPr>
          <w:sz w:val="20"/>
          <w:szCs w:val="20"/>
          <w:color w:val="auto"/>
        </w:rPr>
      </w:pPr>
    </w:p>
    <w:p>
      <w:pPr>
        <w:jc w:val="both"/>
        <w:ind w:firstLine="3"/>
        <w:spacing w:after="0" w:line="220" w:lineRule="auto"/>
        <w:tabs>
          <w:tab w:leader="none" w:pos="435"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45" w:lineRule="exact"/>
        <w:rPr>
          <w:rFonts w:ascii="Times New Roman" w:cs="Times New Roman" w:eastAsia="Times New Roman" w:hAnsi="Times New Roman"/>
          <w:sz w:val="21"/>
          <w:szCs w:val="21"/>
          <w:color w:val="auto"/>
        </w:rPr>
      </w:pPr>
    </w:p>
    <w:p>
      <w:pPr>
        <w:jc w:val="both"/>
        <w:ind w:firstLine="3"/>
        <w:spacing w:after="0" w:line="213" w:lineRule="auto"/>
        <w:tabs>
          <w:tab w:leader="none" w:pos="55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and even if such Benchmark (or such component thereof) or, if such Benchmark is a term rate, any Available Tenor of such Benchmark (or such component thereof) continues to be provided on such date.</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For the avoidance of doubt, if such Benchmark is a term rate, the “Benchmark Replacement Date” will be deemed to have occurred in the case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with respect to any Benchmark upon the occurrence of the applicable event or events set forth therein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335"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1"/>
          <w:szCs w:val="21"/>
          <w:color w:val="auto"/>
        </w:rPr>
        <w:t>all then-current Available Tenors of such Benchmark (or the published component used in the calculation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Transition Event</w:t>
      </w:r>
      <w:r>
        <w:rPr>
          <w:rFonts w:ascii="Times New Roman" w:cs="Times New Roman" w:eastAsia="Times New Roman" w:hAnsi="Times New Roman"/>
          <w:sz w:val="21"/>
          <w:szCs w:val="21"/>
          <w:color w:val="auto"/>
        </w:rPr>
        <w:t>” means the occurrence of one or more of the following events with respect to the then-current</w:t>
      </w:r>
    </w:p>
    <w:p>
      <w:pPr>
        <w:spacing w:after="0"/>
        <w:rPr>
          <w:sz w:val="20"/>
          <w:szCs w:val="20"/>
          <w:color w:val="auto"/>
        </w:rPr>
      </w:pPr>
      <w:r>
        <w:rPr>
          <w:rFonts w:ascii="Times New Roman" w:cs="Times New Roman" w:eastAsia="Times New Roman" w:hAnsi="Times New Roman"/>
          <w:sz w:val="21"/>
          <w:szCs w:val="21"/>
          <w:color w:val="auto"/>
        </w:rPr>
        <w:t>Benchmark:</w:t>
      </w:r>
    </w:p>
    <w:p>
      <w:pPr>
        <w:spacing w:after="0" w:line="149" w:lineRule="exact"/>
        <w:rPr>
          <w:sz w:val="20"/>
          <w:szCs w:val="20"/>
          <w:color w:val="auto"/>
        </w:rPr>
      </w:pPr>
    </w:p>
    <w:p>
      <w:pPr>
        <w:jc w:val="both"/>
        <w:ind w:firstLine="3"/>
        <w:spacing w:after="0" w:line="215" w:lineRule="auto"/>
        <w:tabs>
          <w:tab w:leader="none" w:pos="567"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45" w:lineRule="exact"/>
        <w:rPr>
          <w:rFonts w:ascii="Times New Roman" w:cs="Times New Roman" w:eastAsia="Times New Roman" w:hAnsi="Times New Roman"/>
          <w:sz w:val="21"/>
          <w:szCs w:val="21"/>
          <w:color w:val="auto"/>
        </w:rPr>
      </w:pPr>
    </w:p>
    <w:p>
      <w:pPr>
        <w:jc w:val="both"/>
        <w:ind w:firstLine="3"/>
        <w:spacing w:after="0" w:line="222" w:lineRule="auto"/>
        <w:tabs>
          <w:tab w:leader="none" w:pos="531"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48" w:lineRule="exact"/>
        <w:rPr>
          <w:rFonts w:ascii="Times New Roman" w:cs="Times New Roman" w:eastAsia="Times New Roman" w:hAnsi="Times New Roman"/>
          <w:sz w:val="20"/>
          <w:szCs w:val="20"/>
          <w:color w:val="auto"/>
        </w:rPr>
      </w:pPr>
    </w:p>
    <w:p>
      <w:pPr>
        <w:jc w:val="both"/>
        <w:ind w:firstLine="3"/>
        <w:spacing w:after="0" w:line="220" w:lineRule="auto"/>
        <w:tabs>
          <w:tab w:leader="none" w:pos="522"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4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Unavailability Period</w:t>
      </w:r>
      <w:r>
        <w:rPr>
          <w:rFonts w:ascii="Times New Roman" w:cs="Times New Roman" w:eastAsia="Times New Roman" w:hAnsi="Times New Roman"/>
          <w:sz w:val="21"/>
          <w:szCs w:val="21"/>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339" w:right="339" w:bottom="1440" w:gutter="0" w:footer="0" w:header="0"/>
        </w:sectPr>
      </w:pPr>
    </w:p>
    <w:bookmarkStart w:id="248" w:name="page249"/>
    <w:bookmarkEnd w:id="248"/>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Ownership Certification</w:t>
      </w:r>
      <w:r>
        <w:rPr>
          <w:rFonts w:ascii="Times New Roman" w:cs="Times New Roman" w:eastAsia="Times New Roman" w:hAnsi="Times New Roman"/>
          <w:sz w:val="21"/>
          <w:szCs w:val="21"/>
          <w:color w:val="auto"/>
        </w:rPr>
        <w:t>” means a certification regarding beneficial ownership as required by the Beneficial Ownership Regulation.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Ownership Regulation</w:t>
      </w:r>
      <w:r>
        <w:rPr>
          <w:rFonts w:ascii="Times New Roman" w:cs="Times New Roman" w:eastAsia="Times New Roman" w:hAnsi="Times New Roman"/>
          <w:sz w:val="21"/>
          <w:szCs w:val="21"/>
          <w:color w:val="auto"/>
        </w:rPr>
        <w:t>” means 31 C.F.R. § 1010.230.</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Plan</w:t>
      </w:r>
      <w:r>
        <w:rPr>
          <w:rFonts w:ascii="Times New Roman" w:cs="Times New Roman" w:eastAsia="Times New Roman" w:hAnsi="Times New Roman"/>
          <w:sz w:val="21"/>
          <w:szCs w:val="21"/>
          <w:color w:val="auto"/>
        </w:rPr>
        <w:t>” means any of (a) an “employee benefit plan” (as define in ERISA) that is subject to Part 4 of Subtitle B of Title I of ERISA, (b) a “plan” as defined in Section 4975 of the Code to which Section 4975 of the Code applies or (c) any Person whose assets include (for within the meaning of the Plan Asset Regulations) the assets of any such “employee benefit plan” or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has the meaning set forth in the introductory paragraph to this Agreement.</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EBITDA</w:t>
      </w:r>
      <w:r>
        <w:rPr>
          <w:rFonts w:ascii="Times New Roman" w:cs="Times New Roman" w:eastAsia="Times New Roman" w:hAnsi="Times New Roman"/>
          <w:sz w:val="20"/>
          <w:szCs w:val="20"/>
          <w:color w:val="auto"/>
        </w:rPr>
        <w:t xml:space="preserve">” means Available Cash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(to the extent not already deducted) Operating Expenses;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solely for purposes of any calculation of the Total Debt to EBITDA Ratio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Borrower EBITDA may, at the Borrower’s option, be determined on a pro forma basis taking into account any Borrower EBITDA Adjustment.</w:t>
      </w:r>
    </w:p>
    <w:p>
      <w:pPr>
        <w:spacing w:after="0" w:line="14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 EBITDA Adjustment</w:t>
      </w:r>
      <w:r>
        <w:rPr>
          <w:rFonts w:ascii="Times New Roman" w:cs="Times New Roman" w:eastAsia="Times New Roman" w:hAnsi="Times New Roman"/>
          <w:sz w:val="21"/>
          <w:szCs w:val="21"/>
          <w:color w:val="auto"/>
        </w:rPr>
        <w:t>” means: (i) prior to the date on which the applicable Committed Capacity Contract, the Compression Addition and/or Permitted Expansion, as applicable, has achieved commercial operation (the “</w:t>
      </w:r>
      <w:r>
        <w:rPr>
          <w:rFonts w:ascii="Times New Roman" w:cs="Times New Roman" w:eastAsia="Times New Roman" w:hAnsi="Times New Roman"/>
          <w:sz w:val="21"/>
          <w:szCs w:val="21"/>
          <w:b w:val="1"/>
          <w:bCs w:val="1"/>
          <w:color w:val="auto"/>
        </w:rPr>
        <w:t>Commercial Operation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(but including the fiscal quarter in which such Commercial Operation Date occurs), a percentage (based on the then-current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completion percentage of such Committed Capacity Contract, Compression Addition and/or Permitted Expansion, as applicable, as of the applicable date of determination) of an amount of the projected Borrower EBITDA attributable to such Committed Capacity Contract, Compression Addition and/or Permitted Expansion, as applicable, for the first twelve (12) month period following the scheduled Commercial Operation Date thereof (such amount to be determined (i) in good faith by the Borrower with respect to (a) expected capital costs, (b) revenues based on the forecasted income to be derived from take-or-pay charges, minimum volume commitments, capacity reservation fees, monthly lease payments or comparable revenue contract provisions of binding revenue contracts and (c) estimated incremental expenses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shall include in the Compliance Certificate that is required to be delivered following any such Borrower EBITDA Adjustment a reasonably detailed description in writing of any such determination pursuant to clauses </w:t>
      </w:r>
      <w:r>
        <w:rPr>
          <w:rFonts w:ascii="Times New Roman" w:cs="Times New Roman" w:eastAsia="Times New Roman" w:hAnsi="Times New Roman"/>
          <w:sz w:val="21"/>
          <w:szCs w:val="21"/>
          <w:u w:val="single" w:color="auto"/>
          <w:color w:val="auto"/>
        </w:rPr>
        <w:t>(i)(a)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together with any supporting information reasonably requested by the Administrative Agent) and (ii) in good faith by the Borrower and agreed by the Administrative Agent in its reasonable discretion (not to be unreasonably withheld, delayed or conditioned) with respect to any other estimated revenues not covered in clause (i)(b) above), which amount may, at Borrower’s option, be added to Borrower EBITDA for the fiscal quarter in which construction or expansion of such Committed Capacity Contract, the Compression Addition and/or Permitted Expansion, as applicable, commences and for each fiscal quarter thereafter until the Commercial Operation Date of such Committed Capacity Contract, the Compression Addition and/or Permitted Expansion, as applicable (including the fiscal quarter in which such Commercial Operation Date occurs, but net of any Borrower EBITDA attributable to such Committed Capacity Contract, the Compression Addition and/or Permitted Expansion, as applicable, following such Commercial Operation Date), and (ii) beginning with the first full fiscal quarter following the Commercial Operation Date of the applicable Committed Capacity Contract, Compression Addition and/or Permitted Expansion, as applicable, and for the three immediately succeeding fiscal quarters, an amount of the projected Borrower EBITDA (determined in the same manner set forth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attributable to such Committed Capacity Contract, Compression Addition and/or Permitted Expansion, as applicable, for the remainder of the four full fiscal quarter period following such Commercial Operation Date, which may, at Borrower’s option, be added to Borrower EBITDA for such fiscal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335"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Borrowing</w:t>
      </w:r>
      <w:r>
        <w:rPr>
          <w:rFonts w:ascii="Times New Roman" w:cs="Times New Roman" w:eastAsia="Times New Roman" w:hAnsi="Times New Roman"/>
          <w:sz w:val="21"/>
          <w:szCs w:val="21"/>
          <w:color w:val="auto"/>
        </w:rPr>
        <w:t>” means a borrowing consisting of simultaneous Loans of the same Class and Type.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Borrowing Certificate</w:t>
      </w:r>
      <w:r>
        <w:rPr>
          <w:rFonts w:ascii="Times New Roman" w:cs="Times New Roman" w:eastAsia="Times New Roman" w:hAnsi="Times New Roman"/>
          <w:sz w:val="21"/>
          <w:szCs w:val="21"/>
          <w:color w:val="auto"/>
        </w:rPr>
        <w:t xml:space="preserve">” means a certificate, signed by a Responsible Officer of the Borrower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xml:space="preserve">” means any day (other than a day which is a Saturday, Sunday or legal holiday in the State of New York or Montreal, Quebec) on which banks are open for business in New York City or Montreal, Quebec;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when used in connection with any interest rate settings of any SOFR Loan, the term “Business Day” shall also exclude any day which is not a U.S. Government Securities Business Day.</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Capacity Lease Agreement</w:t>
      </w:r>
      <w:r>
        <w:rPr>
          <w:rFonts w:ascii="Times New Roman" w:cs="Times New Roman" w:eastAsia="Times New Roman" w:hAnsi="Times New Roman"/>
          <w:sz w:val="21"/>
          <w:szCs w:val="21"/>
          <w:color w:val="auto"/>
        </w:rPr>
        <w:t xml:space="preserve">” mean each capacity lease agreement listed on Part I of </w:t>
      </w:r>
      <w:r>
        <w:rPr>
          <w:rFonts w:ascii="Times New Roman" w:cs="Times New Roman" w:eastAsia="Times New Roman" w:hAnsi="Times New Roman"/>
          <w:sz w:val="21"/>
          <w:szCs w:val="21"/>
          <w:u w:val="single" w:color="auto"/>
          <w:color w:val="auto"/>
        </w:rPr>
        <w:t>Schedule 1.01B</w:t>
      </w:r>
      <w:r>
        <w:rPr>
          <w:rFonts w:ascii="Times New Roman" w:cs="Times New Roman" w:eastAsia="Times New Roman" w:hAnsi="Times New Roman"/>
          <w:sz w:val="21"/>
          <w:szCs w:val="21"/>
          <w:color w:val="auto"/>
        </w:rPr>
        <w:t xml:space="preserve"> and any Qualified Capacity Lease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Call Notice</w:t>
      </w:r>
      <w:r>
        <w:rPr>
          <w:rFonts w:ascii="Times New Roman" w:cs="Times New Roman" w:eastAsia="Times New Roman" w:hAnsi="Times New Roman"/>
          <w:sz w:val="21"/>
          <w:szCs w:val="21"/>
          <w:color w:val="auto"/>
        </w:rPr>
        <w:t>” has the meaning given to such term in the JV LLC Agreement.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Expenditures</w:t>
      </w:r>
      <w:r>
        <w:rPr>
          <w:rFonts w:ascii="Times New Roman" w:cs="Times New Roman" w:eastAsia="Times New Roman" w:hAnsi="Times New Roman"/>
          <w:sz w:val="21"/>
          <w:szCs w:val="21"/>
          <w:color w:val="auto"/>
        </w:rPr>
        <w:t>” means, for any period, the aggregate of all expenditures (whether paid in cash or accrued as liabilities and including in all events all amounts expended or capitalized under Capitalized Leases) by the Borrower during such period that, in conformity with GAAP, are or are required to be included as capital expenditures on the statement of cash flows of the Borrower.</w:t>
      </w:r>
    </w:p>
    <w:p>
      <w:pPr>
        <w:spacing w:after="0" w:line="14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Capitalized Lease Obligation</w:t>
      </w:r>
      <w:r>
        <w:rPr>
          <w:rFonts w:ascii="Times New Roman" w:cs="Times New Roman" w:eastAsia="Times New Roman" w:hAnsi="Times New Roman"/>
          <w:sz w:val="21"/>
          <w:szCs w:val="21"/>
          <w:color w:val="auto"/>
        </w:rPr>
        <w:t xml:space="preserve">” means, at the time any determination thereof is to be made, the amount of the liability in respect of a Capitalized Lease;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obligations of the Borrower either existing on the Closing Date or created prior to any re-characterization described below (i) that were not included on the balance sheet of the Borrower as financing or capital lease obligations and (ii) that are subsequently re-characterized as financing or capital lease obligations or indebtedness due to a change in accounting treatment or otherwise, shall for all purposes under this Agreement not be treated as financing or capital lease obligations, Capitalized Lease Obligations or Indebtedness.</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Capitalized Leases</w:t>
      </w:r>
      <w:r>
        <w:rPr>
          <w:rFonts w:ascii="Times New Roman" w:cs="Times New Roman" w:eastAsia="Times New Roman" w:hAnsi="Times New Roman"/>
          <w:sz w:val="21"/>
          <w:szCs w:val="21"/>
          <w:color w:val="auto"/>
        </w:rPr>
        <w:t xml:space="preserve">” means all leases that have been or are required to be, in accordance with GAAP, recorded as a lease with amounts required to be capitalized on both the balance sheet and income statement for financial reporting purposes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all purposes hereunder the amount of obligations under any Capitalized Lease shall be the amount thereof accounted for as a liability on a balance sheet in accordance with GAAP;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for purposes of calculations made pursuant to the terms of this Agreement or compliance with any covenant, GAAP will be deemed to treat leases in a manner consistent with its current treatment under GAAP as of the Closing Date, notwithstanding any modifications or interpretive changes thereto that may occur thereafter.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Equivalents</w:t>
      </w:r>
      <w:r>
        <w:rPr>
          <w:rFonts w:ascii="Times New Roman" w:cs="Times New Roman" w:eastAsia="Times New Roman" w:hAnsi="Times New Roman"/>
          <w:sz w:val="21"/>
          <w:szCs w:val="21"/>
          <w:color w:val="auto"/>
        </w:rPr>
        <w:t>” means any of the following types of Investments, to the extent owned by the Borrower:</w:t>
      </w:r>
    </w:p>
    <w:p>
      <w:pPr>
        <w:spacing w:after="0" w:line="175" w:lineRule="exact"/>
        <w:rPr>
          <w:sz w:val="20"/>
          <w:szCs w:val="20"/>
          <w:color w:val="auto"/>
        </w:rPr>
      </w:pPr>
    </w:p>
    <w:p>
      <w:pPr>
        <w:ind w:left="620" w:hanging="617"/>
        <w:spacing w:after="0"/>
        <w:tabs>
          <w:tab w:leader="none" w:pos="62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Dollars (being the lawful money of the United States of America);</w:t>
      </w:r>
    </w:p>
    <w:p>
      <w:pPr>
        <w:spacing w:after="0" w:line="171"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16"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17"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certificates of deposit, time deposits and eurodollar time deposits demand deposits and bankers’ acceptances, in each case with maturities not exceeding three hundred and sixty-five (365) days and bank deposits (including overnight bank deposits), in each case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335" w:right="339" w:bottom="1440" w:gutter="0" w:footer="0" w:header="0"/>
        </w:sectPr>
      </w:pPr>
    </w:p>
    <w:bookmarkStart w:id="250" w:name="page251"/>
    <w:bookmarkEnd w:id="250"/>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the (x) the Depositary Bank or (y) any member bank of the Federal Reserve System which is organized under the laws of the United States or any political subdivision thereof or under the laws of Canada, Switzerland, Japan, the United Kingdom or any country which is a member of the European Union bank having capital and surplus of not less than $250,000,000 in the case of U.S. banks and $1,000,000,000 in the case of non-U.S. banks;</w:t>
      </w:r>
    </w:p>
    <w:p>
      <w:pPr>
        <w:spacing w:after="0" w:line="146" w:lineRule="exact"/>
        <w:rPr>
          <w:sz w:val="20"/>
          <w:szCs w:val="20"/>
          <w:color w:val="auto"/>
        </w:rPr>
      </w:pPr>
    </w:p>
    <w:p>
      <w:pPr>
        <w:jc w:val="both"/>
        <w:ind w:left="620" w:hanging="617"/>
        <w:spacing w:after="0" w:line="225" w:lineRule="auto"/>
        <w:tabs>
          <w:tab w:leader="none" w:pos="61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repurchase obligations with a term of not more than three hundred and sixty-five (365) days for underlying securities of the types described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entered into with any financial institution or recognized securities dealer meeting the qualifications applicable to banks specified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17"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and variable or fixed rate notes rated at least P-1 by Moody’s or at least A-1 by S&amp;P (or, if at any time neither Moody’s nor S&amp;P shall be rating such obligations, an equivalent rating from another nationally recognized statistical rating agency) and in each case maturing within one (1) year after the date of acquisition thereof;</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2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marketable short-term money market and similar funds having a rating of at least P-1 or A-1 from either Moody’s or S&amp;P, respectively (or, if at any time neither Moody’s nor S&amp;P shall be rating such obligations, an equivalent rating from another nationally recognized statistical rating agency);</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0" w:lineRule="auto"/>
        <w:tabs>
          <w:tab w:leader="none" w:pos="61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readily marketable direct obligations issued by any state, commonwealth or territory of the United States or any political subdivision or taxing authority thereof having an investment grade rating from either Moody’s or S&amp;P (or, if at any time neither Moody’s nor S&amp;P shall be rating such obligations, an equivalent rating from another nationally recognized statistical rating agency) with maturities of twenty-four (24) months or less from the date of acquisition;</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8" w:lineRule="auto"/>
        <w:tabs>
          <w:tab w:leader="none" w:pos="61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twelve (12) months or less from the date of acquisition in “money market funds” within the meaning of Rule 2a7 of the Investment Company Act of 1940, as amended rated AAA (or the equivalent thereof) or better by S&amp;P or Aaa3 (or the equivalent thereof) or better by Moody’s (or, if at any time neither Moody’s nor S&amp;P shall be rating such obligations, an equivalent rating from another nationally recognized statistical rating agency), substantially all of whose assets are invested in investments issued by a financial institution having total assets in excess of $5,000,000,000; and</w:t>
      </w:r>
    </w:p>
    <w:p>
      <w:pPr>
        <w:spacing w:after="0" w:line="143" w:lineRule="exact"/>
        <w:rPr>
          <w:rFonts w:ascii="Times New Roman" w:cs="Times New Roman" w:eastAsia="Times New Roman" w:hAnsi="Times New Roman"/>
          <w:sz w:val="20"/>
          <w:szCs w:val="20"/>
          <w:color w:val="auto"/>
        </w:rPr>
      </w:pPr>
    </w:p>
    <w:p>
      <w:pPr>
        <w:ind w:left="620" w:hanging="617"/>
        <w:spacing w:after="0"/>
        <w:tabs>
          <w:tab w:leader="none" w:pos="6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 funds investing at least ninety percent (90%) of their assets in securities of the types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w:t>
      </w:r>
    </w:p>
    <w:p>
      <w:pPr>
        <w:ind w:left="920" w:hanging="298"/>
        <w:spacing w:after="0"/>
        <w:tabs>
          <w:tab w:leader="none" w:pos="920" w:val="left"/>
        </w:tabs>
        <w:numPr>
          <w:ilvl w:val="1"/>
          <w:numId w:val="21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above.</w:t>
      </w:r>
    </w:p>
    <w:p>
      <w:pPr>
        <w:spacing w:after="0" w:line="1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For the avoidance of doubt, any items identified as Cash Equivalents under this definition will be deemed to be Cash Equivalents for all purposes regardless of the treatment of such items under GAAP.</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Casualty Event</w:t>
      </w:r>
      <w:r>
        <w:rPr>
          <w:rFonts w:ascii="Times New Roman" w:cs="Times New Roman" w:eastAsia="Times New Roman" w:hAnsi="Times New Roman"/>
          <w:sz w:val="21"/>
          <w:szCs w:val="21"/>
          <w:color w:val="auto"/>
        </w:rPr>
        <w:t>” means any event with respect to Borrower or its assets, or Double E Joint Venture or its assets, that gives rise to the receipt by any Person of any insurance proceeds (including casualty insurance settlements) or condemnation awards in respect of any equipment, fixed assets or real property (including any improvements thereon).</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Law</w:t>
      </w:r>
      <w:r>
        <w:rPr>
          <w:rFonts w:ascii="Times New Roman" w:cs="Times New Roman" w:eastAsia="Times New Roman" w:hAnsi="Times New Roman"/>
          <w:sz w:val="21"/>
          <w:szCs w:val="21"/>
          <w:color w:val="auto"/>
        </w:rPr>
        <w:t>” means the occurrence after the date of this Agreement of: (a) the adoption of or taking effect of any law, rule, regulation or treaty, (b) any change in any law, rule,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339" w:right="339" w:bottom="1440" w:gutter="0" w:footer="0" w:header="0"/>
        </w:sectPr>
      </w:pPr>
    </w:p>
    <w:bookmarkStart w:id="251" w:name="page252"/>
    <w:bookmarkEnd w:id="251"/>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or treaty or in the administration, interpretation, implementation or application thereof by any Governmental Authority, or (c) the making or issuance of, or the compliance by any Lender (or, for purposes of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 xml:space="preserve">, by any lending office of such Lender or by such Lender’s holding company, if any) with, any request, rule, guideline or directive (whether or not having the force of law) of any Governmental Authority;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be deemed to occur if at any time:</w:t>
      </w:r>
    </w:p>
    <w:p>
      <w:pPr>
        <w:spacing w:after="0" w:line="175" w:lineRule="exact"/>
        <w:rPr>
          <w:sz w:val="20"/>
          <w:szCs w:val="20"/>
          <w:color w:val="auto"/>
        </w:rPr>
      </w:pPr>
    </w:p>
    <w:p>
      <w:pPr>
        <w:ind w:left="620" w:hanging="617"/>
        <w:spacing w:after="0"/>
        <w:tabs>
          <w:tab w:leader="none" w:pos="62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Pledgor shall fail to own 100% of the Equity Interests in the Borrower;</w:t>
      </w:r>
    </w:p>
    <w:p>
      <w:pPr>
        <w:spacing w:after="0" w:line="171" w:lineRule="exact"/>
        <w:rPr>
          <w:rFonts w:ascii="Times New Roman" w:cs="Times New Roman" w:eastAsia="Times New Roman" w:hAnsi="Times New Roman"/>
          <w:sz w:val="21"/>
          <w:szCs w:val="21"/>
          <w:color w:val="auto"/>
        </w:rPr>
      </w:pPr>
    </w:p>
    <w:p>
      <w:pPr>
        <w:ind w:left="620" w:hanging="617"/>
        <w:spacing w:after="0" w:line="235" w:lineRule="auto"/>
        <w:tabs>
          <w:tab w:leader="none" w:pos="616"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Summit Midstream Corporation and Permitted Transferees shall fail to collectively own, directly or indirectly, more than 50% of each of (x) the Equity Interests or voting rights in the Pledgor and (y) the economic interest in the Pledgor; or</w:t>
      </w:r>
    </w:p>
    <w:p>
      <w:pPr>
        <w:spacing w:after="0" w:line="14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fail to own at least 55% of the Equity Interests in the Double E Joint Venture.</w:t>
      </w:r>
    </w:p>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For the avoidance of doubt, transfers of direct or indirect equity interests in Summit Midstream Corporation shall not be deemed a Change of Control nor require any approvals from any of the Administrative Agent, the Collateral Agent, any Lender or any other holder of Obligations.</w:t>
      </w:r>
    </w:p>
    <w:p>
      <w:pPr>
        <w:spacing w:after="0" w:line="14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Class</w:t>
      </w:r>
      <w:r>
        <w:rPr>
          <w:rFonts w:ascii="Times New Roman" w:cs="Times New Roman" w:eastAsia="Times New Roman" w:hAnsi="Times New Roman"/>
          <w:sz w:val="21"/>
          <w:szCs w:val="21"/>
          <w:color w:val="auto"/>
        </w:rPr>
        <w:t>” (a) when used with respect to any Lender, refers to whether such Lender has a Loan or Commitment with respect to a particular Class of Loans or Commitments, (b) when used with respect to Commitments, refers to whether such Commitments are Delayed Draw Loan Commitments, Initial Term Commitments or Incremental Commitments and (c) when used with respect to Loans or a Borrowing, refers to whether such Loans, or the Loans comprising such Borrowing, are Initial Term Loans, Delayed Draw Term Loans or Incremental Term Loans. Delayed Draw Loan Commitments, Initial Term Commitments, Nuveen Incremental Term Commitments or Incremental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xml:space="preserve">” means March 16, 2026, the first date on which all conditions precedent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are satisfied or waived in accordance with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 Base Case Model</w:t>
      </w:r>
      <w:r>
        <w:rPr>
          <w:rFonts w:ascii="Times New Roman" w:cs="Times New Roman" w:eastAsia="Times New Roman" w:hAnsi="Times New Roman"/>
          <w:sz w:val="21"/>
          <w:szCs w:val="21"/>
          <w:color w:val="auto"/>
        </w:rPr>
        <w:t xml:space="preserve">” is attached hereto as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 Distribution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5.19</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Fee</w:t>
      </w:r>
      <w:r>
        <w:rPr>
          <w:rFonts w:ascii="Times New Roman" w:cs="Times New Roman" w:eastAsia="Times New Roman" w:hAnsi="Times New Roman"/>
          <w:sz w:val="21"/>
          <w:szCs w:val="21"/>
          <w:color w:val="auto"/>
        </w:rPr>
        <w:t>” means those fees required to be paid on the Closing Date pursuant to the Fee Letter.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U.S.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40"/>
          </w:cols>
          <w:pgMar w:left="320" w:top="1365" w:right="339" w:bottom="1440" w:gutter="0" w:footer="0" w:header="0"/>
        </w:sectPr>
      </w:pPr>
    </w:p>
    <w:bookmarkStart w:id="252" w:name="page253"/>
    <w:bookmarkEnd w:id="252"/>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means (i) the “Collateral” as defined in the Security Agreement, (ii) all the “Collateral”, “Pledged Assets” or “Account Collateral” as defined in any other Collateral Document and (iii) any other assets pledged or in which a Lien is granted, in each case, pursuant to any Collateral Document.</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 Accounts</w:t>
      </w:r>
      <w:r>
        <w:rPr>
          <w:rFonts w:ascii="Times New Roman" w:cs="Times New Roman" w:eastAsia="Times New Roman" w:hAnsi="Times New Roman"/>
          <w:sz w:val="21"/>
          <w:szCs w:val="21"/>
          <w:color w:val="auto"/>
        </w:rPr>
        <w:t>” means the Debt Service Reserve Account, the Distribution Suspense Account, the Extraordinary Proceeds Account and the Revenue Account, each of which shall be subject to a Control Agreement.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 Agent</w:t>
      </w:r>
      <w:r>
        <w:rPr>
          <w:rFonts w:ascii="Times New Roman" w:cs="Times New Roman" w:eastAsia="Times New Roman" w:hAnsi="Times New Roman"/>
          <w:sz w:val="21"/>
          <w:szCs w:val="21"/>
          <w:color w:val="auto"/>
        </w:rPr>
        <w:t>” means EPIC Administration, LLC, solely in its capacity as collateral agent or pledgee under any of the Loan Documents, or any successor collateral agent.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 Documents</w:t>
      </w:r>
      <w:r>
        <w:rPr>
          <w:rFonts w:ascii="Times New Roman" w:cs="Times New Roman" w:eastAsia="Times New Roman" w:hAnsi="Times New Roman"/>
          <w:sz w:val="21"/>
          <w:szCs w:val="21"/>
          <w:color w:val="auto"/>
        </w:rPr>
        <w:t xml:space="preserve">” means, collectively, the Security Agreement, the Pledge Agreement, each Control Agreement and each other similar agreement delivered to the Administrative Agent or the Collateral Agent pursuant to </w:t>
      </w:r>
      <w:r>
        <w:rPr>
          <w:rFonts w:ascii="Times New Roman" w:cs="Times New Roman" w:eastAsia="Times New Roman" w:hAnsi="Times New Roman"/>
          <w:sz w:val="21"/>
          <w:szCs w:val="21"/>
          <w:u w:val="single" w:color="auto"/>
          <w:color w:val="auto"/>
        </w:rPr>
        <w:t>Section 4.01(c)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6.12</w:t>
      </w:r>
      <w:r>
        <w:rPr>
          <w:rFonts w:ascii="Times New Roman" w:cs="Times New Roman" w:eastAsia="Times New Roman" w:hAnsi="Times New Roman"/>
          <w:sz w:val="21"/>
          <w:szCs w:val="21"/>
          <w:color w:val="auto"/>
        </w:rPr>
        <w:t>, and each of the other agreements, instruments or documents that creates or purports to create a Lien in favor of the Administrative Agent or the Collateral Agent for the benefit of the Secured Parties.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 Requirement</w:t>
      </w:r>
      <w:r>
        <w:rPr>
          <w:rFonts w:ascii="Times New Roman" w:cs="Times New Roman" w:eastAsia="Times New Roman" w:hAnsi="Times New Roman"/>
          <w:sz w:val="21"/>
          <w:szCs w:val="21"/>
          <w:color w:val="auto"/>
        </w:rPr>
        <w:t>” means, at any time, the requirement that:</w:t>
      </w:r>
    </w:p>
    <w:p>
      <w:pPr>
        <w:spacing w:after="0" w:line="175" w:lineRule="exact"/>
        <w:rPr>
          <w:sz w:val="20"/>
          <w:szCs w:val="20"/>
          <w:color w:val="auto"/>
        </w:rPr>
      </w:pPr>
    </w:p>
    <w:p>
      <w:pPr>
        <w:jc w:val="both"/>
        <w:ind w:left="620" w:hanging="617"/>
        <w:spacing w:after="0" w:line="225" w:lineRule="auto"/>
        <w:tabs>
          <w:tab w:leader="none" w:pos="617"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and the Collateral Agent shall have received each Collateral Document required to be delivered to it on the Closing Date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or from time to time pursuant to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subject to the limitations and exceptions of this Agreement, duly executed by the Borrower and, if applicable, the Pledgor;</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3" w:lineRule="auto"/>
        <w:tabs>
          <w:tab w:leader="none" w:pos="61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shall have been secured pursuant to the Security Agreement, the Pledge Agreement and the Control Agreements by a first-priority security interest, subject to Permitted Liens, in (i) all the Equity Interests of the Borrower owned by the Pledgor (and, to the extent that such Equity Interests are certificated, the Collateral Agent shall have received such certificates or other instruments representing all such Equity Interests, together with undated stock powers or other instruments of transfer with respect thereto endorsed in blank), (ii) all Equity Interests of the Double E Joint Venture directly owned by the Borrower (and, to the extent that such Equity Interests are certificated, the Collateral Agent shall have received such certificates or other instruments representing all such Equity Interests, together with undated stock powers or other instruments of transfer with respect thereto endorsed in blank), and (iii) the Collateral Accounts and all cash or Cash Equivalents deposited therein;</w:t>
      </w:r>
    </w:p>
    <w:p>
      <w:pPr>
        <w:spacing w:after="0" w:line="146" w:lineRule="exact"/>
        <w:rPr>
          <w:rFonts w:ascii="Times New Roman" w:cs="Times New Roman" w:eastAsia="Times New Roman" w:hAnsi="Times New Roman"/>
          <w:sz w:val="20"/>
          <w:szCs w:val="20"/>
          <w:color w:val="auto"/>
        </w:rPr>
      </w:pPr>
    </w:p>
    <w:p>
      <w:pPr>
        <w:jc w:val="both"/>
        <w:ind w:left="620" w:hanging="617"/>
        <w:spacing w:after="0" w:line="236" w:lineRule="auto"/>
        <w:tabs>
          <w:tab w:leader="none" w:pos="617"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Pledged Debt owing to the Borrower that is evidenced by a promissory note with a principal amount in excess of $5,000,000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46" w:lineRule="exact"/>
        <w:rPr>
          <w:rFonts w:ascii="Times New Roman" w:cs="Times New Roman" w:eastAsia="Times New Roman" w:hAnsi="Times New Roman"/>
          <w:sz w:val="20"/>
          <w:szCs w:val="20"/>
          <w:color w:val="auto"/>
        </w:rPr>
      </w:pPr>
    </w:p>
    <w:p>
      <w:pPr>
        <w:jc w:val="both"/>
        <w:ind w:left="620" w:hanging="617"/>
        <w:spacing w:after="0" w:line="215" w:lineRule="auto"/>
        <w:tabs>
          <w:tab w:leader="none" w:pos="61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shall have been secured by a perfected security interest in substantially all now owned or at any time hereafter acquired tangible and intangible assets of the Borrower (including Equity Interests, intercompany debt, accounts, inventory, equipment, investment property, contract rights, intellectual property, other general intangibles and proceeds of the foregoing), in each case to the extent the value thereof (as determined in good faith by the Borrower) exceeds $5,000,000 and subject to exceptions and limitations otherwise set forth in this Agreement and the Collateral Documents (to the extent appropriate in the applicable jurisdiction);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335" w:right="339" w:bottom="1440" w:gutter="0" w:footer="0" w:header="0"/>
        </w:sectPr>
      </w:pPr>
    </w:p>
    <w:bookmarkStart w:id="253" w:name="page254"/>
    <w:bookmarkEnd w:id="253"/>
    <w:p>
      <w:pPr>
        <w:jc w:val="both"/>
        <w:ind w:left="620" w:hanging="617"/>
        <w:spacing w:after="0" w:line="213" w:lineRule="auto"/>
        <w:tabs>
          <w:tab w:leader="none" w:pos="61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Administrative Agent to be filed, delivered, registered or recorded to create the Liens intended to be created by the Collateral Documents and perfect such Liens to the extent required by, and with the priority required by, the Collateral Documents and the other provisions of the term “Collateral Requirement”, shall have been filed, registered or recorded or delivered to the Administrative Agent or the Collateral Agent for filing, registration or recording.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provisions of this definition or anything in this Agreement or any other Loan Document to the contrary:</w:t>
      </w:r>
    </w:p>
    <w:p>
      <w:pPr>
        <w:spacing w:after="0" w:line="183" w:lineRule="exact"/>
        <w:rPr>
          <w:sz w:val="20"/>
          <w:szCs w:val="20"/>
          <w:color w:val="auto"/>
        </w:rPr>
      </w:pPr>
    </w:p>
    <w:p>
      <w:pPr>
        <w:ind w:left="620" w:hanging="617"/>
        <w:spacing w:after="0" w:line="235" w:lineRule="auto"/>
        <w:tabs>
          <w:tab w:leader="none" w:pos="617"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foregoing definition shall not require, unless otherwise stated in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 creation or perfection of pledges of, security interests in or taking other actions with respect to the following (collectively, the “</w:t>
      </w:r>
      <w:r>
        <w:rPr>
          <w:rFonts w:ascii="Times New Roman" w:cs="Times New Roman" w:eastAsia="Times New Roman" w:hAnsi="Times New Roman"/>
          <w:sz w:val="21"/>
          <w:szCs w:val="21"/>
          <w:b w:val="1"/>
          <w:bCs w:val="1"/>
          <w:color w:val="auto"/>
        </w:rPr>
        <w:t>Excluded Assets</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1220" w:hanging="598"/>
        <w:spacing w:after="0"/>
        <w:tabs>
          <w:tab w:leader="none" w:pos="122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real property or interest therein,</w:t>
      </w:r>
    </w:p>
    <w:p>
      <w:pPr>
        <w:spacing w:after="0" w:line="171" w:lineRule="exact"/>
        <w:rPr>
          <w:rFonts w:ascii="Times New Roman" w:cs="Times New Roman" w:eastAsia="Times New Roman" w:hAnsi="Times New Roman"/>
          <w:sz w:val="21"/>
          <w:szCs w:val="21"/>
          <w:color w:val="auto"/>
        </w:rPr>
      </w:pPr>
    </w:p>
    <w:p>
      <w:pPr>
        <w:ind w:left="1240" w:hanging="618"/>
        <w:spacing w:after="0" w:line="235" w:lineRule="auto"/>
        <w:tabs>
          <w:tab w:leader="none" w:pos="1234"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commercial tort claims where the amount of damages claimed by the Borrower is less than $5,000,000 and (y) motor vehicles and other assets subject to certificates of title,</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5" w:lineRule="auto"/>
        <w:tabs>
          <w:tab w:leader="none" w:pos="124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 of credit rights, except to the extent constituting a supporting obligation for other Collateral as to which perfection of the security interest in such other Collateral is accomplished by the filing of a Uniform Commercial Code financing statement,</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2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cash or Cash Equivalents deposited in any Excluded Account,</w:t>
      </w:r>
    </w:p>
    <w:p>
      <w:pPr>
        <w:spacing w:after="0" w:line="171"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2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particular assets if the Administrative Agent and the Borrower reasonably agree in writing that the burden, cost or consequences (including any adverse tax consequences) of creating or perfecting such pledges or security interests therein is excessive in relation to the practical benefits to be obtained therefrom by the Lenders under the Loan Documents,</w:t>
      </w:r>
    </w:p>
    <w:p>
      <w:pPr>
        <w:spacing w:after="0" w:line="145" w:lineRule="exact"/>
        <w:rPr>
          <w:rFonts w:ascii="Times New Roman" w:cs="Times New Roman" w:eastAsia="Times New Roman" w:hAnsi="Times New Roman"/>
          <w:sz w:val="21"/>
          <w:szCs w:val="21"/>
          <w:color w:val="auto"/>
        </w:rPr>
      </w:pPr>
    </w:p>
    <w:p>
      <w:pPr>
        <w:ind w:left="1240" w:hanging="618"/>
        <w:spacing w:after="0" w:line="235" w:lineRule="auto"/>
        <w:tabs>
          <w:tab w:leader="none" w:pos="1234"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assets to the extent such assets are expected to be contributed to the Double E Joint Venture within one hundred and twenty (120) days after the acquisition thereof,</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assets acquired using Excluded Proceeds, or</w:t>
      </w:r>
    </w:p>
    <w:p>
      <w:pPr>
        <w:spacing w:after="0" w:line="171" w:lineRule="exact"/>
        <w:rPr>
          <w:rFonts w:ascii="Times New Roman" w:cs="Times New Roman" w:eastAsia="Times New Roman" w:hAnsi="Times New Roman"/>
          <w:sz w:val="21"/>
          <w:szCs w:val="21"/>
          <w:color w:val="auto"/>
        </w:rPr>
      </w:pPr>
    </w:p>
    <w:p>
      <w:pPr>
        <w:ind w:left="1220" w:hanging="598"/>
        <w:spacing w:after="0"/>
        <w:tabs>
          <w:tab w:leader="none" w:pos="122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Excluded Accounts; and</w:t>
      </w:r>
    </w:p>
    <w:p>
      <w:pPr>
        <w:spacing w:after="0" w:line="171" w:lineRule="exact"/>
        <w:rPr>
          <w:rFonts w:ascii="Times New Roman" w:cs="Times New Roman" w:eastAsia="Times New Roman" w:hAnsi="Times New Roman"/>
          <w:sz w:val="21"/>
          <w:szCs w:val="21"/>
          <w:color w:val="auto"/>
        </w:rPr>
      </w:pPr>
    </w:p>
    <w:p>
      <w:pPr>
        <w:ind w:left="620" w:hanging="617"/>
        <w:spacing w:after="0" w:line="235" w:lineRule="auto"/>
        <w:tabs>
          <w:tab w:leader="none" w:pos="61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foregoing definition of “Collateral Requirement” shall not require control agreements, other control arrangements or perfection by “control” with respect to cash, Cash Equivalents, deposit accounts, securities accounts or commodity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339" w:right="339" w:bottom="1440" w:gutter="0" w:footer="0" w:header="0"/>
        </w:sectPr>
      </w:pPr>
    </w:p>
    <w:bookmarkStart w:id="254" w:name="page255"/>
    <w:bookmarkEnd w:id="254"/>
    <w:p>
      <w:pPr>
        <w:jc w:val="both"/>
        <w:ind w:left="620"/>
        <w:spacing w:after="0" w:line="213" w:lineRule="auto"/>
        <w:rPr>
          <w:sz w:val="20"/>
          <w:szCs w:val="20"/>
          <w:color w:val="auto"/>
        </w:rPr>
      </w:pPr>
      <w:r>
        <w:rPr>
          <w:rFonts w:ascii="Times New Roman" w:cs="Times New Roman" w:eastAsia="Times New Roman" w:hAnsi="Times New Roman"/>
          <w:sz w:val="21"/>
          <w:szCs w:val="21"/>
          <w:color w:val="auto"/>
        </w:rPr>
        <w:t xml:space="preserve">including any securities entitlements or related assets on deposit therein or any other Collateral (other than in respect of the Collateral Accounts, cash or Cash Equivalents deposited in or required to be deposited in the Collateral Accounts, or the Equity Interests of the Borrower or the Double E Joint Venture), (ii) except as set forth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no actions other than the filing of Uniform Commercial Code financing statements and the entry into Control Agreements with respect to the Collateral Accounts shall be required to perfect security interest in any Collateral consisting of proceeds of other Collateral, and (iii) no actions shall be required to perfect a security interest in letter of credit rights, other than the filing of Uniform Commercial Code financing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 Operation Date</w:t>
      </w:r>
      <w:r>
        <w:rPr>
          <w:rFonts w:ascii="Times New Roman" w:cs="Times New Roman" w:eastAsia="Times New Roman" w:hAnsi="Times New Roman"/>
          <w:sz w:val="21"/>
          <w:szCs w:val="21"/>
          <w:color w:val="auto"/>
        </w:rPr>
        <w:t>” has the meaning set forth in the definition of “Borrower EBITDA Adjustment.”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w:t>
      </w:r>
      <w:r>
        <w:rPr>
          <w:rFonts w:ascii="Times New Roman" w:cs="Times New Roman" w:eastAsia="Times New Roman" w:hAnsi="Times New Roman"/>
          <w:sz w:val="21"/>
          <w:szCs w:val="21"/>
          <w:color w:val="auto"/>
        </w:rPr>
        <w:t>” means, with respect to each Lender, such Lender’s Initial Term Commitment, Delayed Draw Loan Commitment or Incremental Commitment, as the context may require.</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Committed Capacity Contract</w:t>
      </w:r>
      <w:r>
        <w:rPr>
          <w:rFonts w:ascii="Times New Roman" w:cs="Times New Roman" w:eastAsia="Times New Roman" w:hAnsi="Times New Roman"/>
          <w:sz w:val="21"/>
          <w:szCs w:val="21"/>
          <w:color w:val="auto"/>
        </w:rPr>
        <w:t>” means each Transportation Agreement, each Capacity Lease Agreement and each other material take-or-pay commercial agreement which is included for purposes of incurring any Incremental Term Facility or the Nuveen Incremental Term Facility, in each case which the Double E Joint Venture enters into after the Closing Date and that has the effect of increasing the capacity that is committed on a take-or-pay basis beyond the capacity that is committed on a take-or-pay basis as of the Closing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 Fee Rate</w:t>
      </w:r>
      <w:r>
        <w:rPr>
          <w:rFonts w:ascii="Times New Roman" w:cs="Times New Roman" w:eastAsia="Times New Roman" w:hAnsi="Times New Roman"/>
          <w:sz w:val="21"/>
          <w:szCs w:val="21"/>
          <w:color w:val="auto"/>
        </w:rPr>
        <w:t>” shall mean, for any day, 1.00% per annum.</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Committed Loan Notice</w:t>
      </w:r>
      <w:r>
        <w:rPr>
          <w:rFonts w:ascii="Times New Roman" w:cs="Times New Roman" w:eastAsia="Times New Roman" w:hAnsi="Times New Roman"/>
          <w:sz w:val="21"/>
          <w:szCs w:val="21"/>
          <w:color w:val="auto"/>
        </w:rPr>
        <w:t xml:space="preserve">” means a notice of (a) a Borrowing, (b) a conversion of Loans from one Type to the other, or (c) a continuation of SOFR Loans,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which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Compensation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2.11(c)(ii)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E-1</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Compression Addition</w:t>
      </w:r>
      <w:r>
        <w:rPr>
          <w:rFonts w:ascii="Times New Roman" w:cs="Times New Roman" w:eastAsia="Times New Roman" w:hAnsi="Times New Roman"/>
          <w:sz w:val="21"/>
          <w:szCs w:val="21"/>
          <w:color w:val="auto"/>
        </w:rPr>
        <w:t>” means any station or series of stations (including compressor units and related equipment) capable of compressing natural gas to specified pressures, or any other expansion, modification or enhancement (or series thereof) having the effect of upgrading compression with respect to any existing portion of the Project, with the results described as an “</w:t>
      </w:r>
      <w:r>
        <w:rPr>
          <w:rFonts w:ascii="Times New Roman" w:cs="Times New Roman" w:eastAsia="Times New Roman" w:hAnsi="Times New Roman"/>
          <w:sz w:val="21"/>
          <w:szCs w:val="21"/>
          <w:b w:val="1"/>
          <w:bCs w:val="1"/>
          <w:color w:val="auto"/>
        </w:rPr>
        <w:t>Expansion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Opportunity</w:t>
      </w:r>
      <w:r>
        <w:rPr>
          <w:rFonts w:ascii="Times New Roman" w:cs="Times New Roman" w:eastAsia="Times New Roman" w:hAnsi="Times New Roman"/>
          <w:sz w:val="21"/>
          <w:szCs w:val="21"/>
          <w:color w:val="auto"/>
        </w:rPr>
        <w:t>” under the JV LLC Agreement, including as may be used to increase the capacity of the Project to up to approximately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 Bcf/d.</w:t>
      </w:r>
    </w:p>
    <w:p>
      <w:pPr>
        <w:spacing w:after="0" w:line="14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xml:space="preserve"> ”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and other technical, administrative or operational matters) that the Administrative Agent decides (after consultation with the Borrower) may be appropriate to reflect the adoption and implementation of Term SOFR or such Benchmark Replacement and to permit the use and administration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339" w:right="339" w:bottom="1440" w:gutter="0" w:footer="0" w:header="0"/>
        </w:sectPr>
      </w:pPr>
    </w:p>
    <w:bookmarkStart w:id="255" w:name="page256"/>
    <w:bookmarkEnd w:id="255"/>
    <w:p>
      <w:pPr>
        <w:jc w:val="both"/>
        <w:spacing w:after="0" w:line="217" w:lineRule="auto"/>
        <w:rPr>
          <w:sz w:val="20"/>
          <w:szCs w:val="20"/>
          <w:color w:val="auto"/>
        </w:rPr>
      </w:pPr>
      <w:r>
        <w:rPr>
          <w:rFonts w:ascii="Times New Roman" w:cs="Times New Roman" w:eastAsia="Times New Roman" w:hAnsi="Times New Roman"/>
          <w:sz w:val="21"/>
          <w:szCs w:val="21"/>
          <w:color w:val="auto"/>
        </w:rPr>
        <w:t>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Term SOFR or such Benchmark Replacement exists, in such other manner of administration as the Administrative Agent decides is reasonably necessary in connection with the administration of this Agreement and the other Loan Documents).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Construction Opportunity</w:t>
      </w:r>
      <w:r>
        <w:rPr>
          <w:rFonts w:ascii="Times New Roman" w:cs="Times New Roman" w:eastAsia="Times New Roman" w:hAnsi="Times New Roman"/>
          <w:sz w:val="21"/>
          <w:szCs w:val="21"/>
          <w:color w:val="auto"/>
        </w:rPr>
        <w:t>” has the meaning given to such term in the JV LLC Agreement.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b w:val="1"/>
          <w:bCs w:val="1"/>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have meanings correlative thereto.</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 Agreement</w:t>
      </w:r>
      <w:r>
        <w:rPr>
          <w:rFonts w:ascii="Times New Roman" w:cs="Times New Roman" w:eastAsia="Times New Roman" w:hAnsi="Times New Roman"/>
          <w:sz w:val="20"/>
          <w:szCs w:val="20"/>
          <w:color w:val="auto"/>
        </w:rPr>
        <w:t>” means any customary account control agreement in form and substance reasonably satisfactory to the Administrative Agent, pursuant to which the depositary institution maintaining the relevant account agrees that the Collateral Agent shall have “control” (as defined in Section 8-106 of the UCC, as such term relates to investment property (other than certificated securities or commodity contracts), or as used in Section 9-106 of the UCC, as such term relates to commodity contracts, or as used in Section 9-104(a) of the UCC, as such term relates to deposit accounts) and pursuant to which such issuer, securities intermediary, commodities intermediary or depositary institution (as applicable) shall agree to comply solely with the Collateral Agent’s entitlement orders or instructions with respect to the disposition of funds or to apply any value distributed on account of any commodity account, as applicable, in such account upon the occurrence and continuance of an Event of Default and without the consent of any other Person.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Extension</w:t>
      </w:r>
      <w:r>
        <w:rPr>
          <w:rFonts w:ascii="Times New Roman" w:cs="Times New Roman" w:eastAsia="Times New Roman" w:hAnsi="Times New Roman"/>
          <w:sz w:val="21"/>
          <w:szCs w:val="21"/>
          <w:color w:val="auto"/>
        </w:rPr>
        <w:t>” means a Borrowing.</w:t>
      </w:r>
    </w:p>
    <w:p>
      <w:pPr>
        <w:spacing w:after="0" w:line="17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Service</w:t>
      </w:r>
      <w:r>
        <w:rPr>
          <w:rFonts w:ascii="Times New Roman" w:cs="Times New Roman" w:eastAsia="Times New Roman" w:hAnsi="Times New Roman"/>
          <w:sz w:val="20"/>
          <w:szCs w:val="20"/>
          <w:color w:val="auto"/>
        </w:rPr>
        <w:t xml:space="preserve">” means, for any period, the </w:t>
      </w:r>
      <w:r>
        <w:rPr>
          <w:rFonts w:ascii="Times New Roman" w:cs="Times New Roman" w:eastAsia="Times New Roman" w:hAnsi="Times New Roman"/>
          <w:sz w:val="20"/>
          <w:szCs w:val="20"/>
          <w:i w:val="1"/>
          <w:iCs w:val="1"/>
          <w:color w:val="auto"/>
        </w:rPr>
        <w:t>sum</w:t>
      </w:r>
      <w:r>
        <w:rPr>
          <w:rFonts w:ascii="Times New Roman" w:cs="Times New Roman" w:eastAsia="Times New Roman" w:hAnsi="Times New Roman"/>
          <w:sz w:val="20"/>
          <w:szCs w:val="20"/>
          <w:color w:val="auto"/>
        </w:rPr>
        <w:t xml:space="preserve"> of all (a) scheduled cash interest, commitment fees, letter of credit fees, and scheduled principal payable during such period in respect of the Pari Passu Permitted Debt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any net payments received by the Borrower during such period pursuant to Secured Interest Rate Hedge Agreements and (b) any net payments paid by the Borrower during such period pursuant to Secured Interest Rate Hedge Agreements. For the avoidance of doubt, Debt Service shall not include (i) mandatory prepayments pursuant to the Loan Documents and (ii) any amounts required to be transferred to the Debt Service Reserve Account.</w:t>
      </w:r>
    </w:p>
    <w:p>
      <w:pPr>
        <w:spacing w:after="0" w:line="1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 Service Coverage Ratio</w:t>
      </w:r>
      <w:r>
        <w:rPr>
          <w:rFonts w:ascii="Times New Roman" w:cs="Times New Roman" w:eastAsia="Times New Roman" w:hAnsi="Times New Roman"/>
          <w:sz w:val="21"/>
          <w:szCs w:val="21"/>
          <w:color w:val="auto"/>
        </w:rPr>
        <w:t>” means, for any Test Period, the ratio of (a) Borrower EBITDA to (b) Debt Service for such Test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 Service Reserve Account</w:t>
      </w:r>
      <w:r>
        <w:rPr>
          <w:rFonts w:ascii="Times New Roman" w:cs="Times New Roman" w:eastAsia="Times New Roman" w:hAnsi="Times New Roman"/>
          <w:sz w:val="21"/>
          <w:szCs w:val="21"/>
          <w:color w:val="auto"/>
        </w:rPr>
        <w:t>” means account number 6330004777 of the Borrower, established with the Depositary Bank.</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Debtor Relief Laws</w:t>
      </w:r>
      <w:r>
        <w:rPr>
          <w:rFonts w:ascii="Times New Roman" w:cs="Times New Roman" w:eastAsia="Times New Roman" w:hAnsi="Times New Roman"/>
          <w:sz w:val="21"/>
          <w:szCs w:val="21"/>
          <w:color w:val="auto"/>
        </w:rPr>
        <w:t>” means the Bankruptcy Code and all other liquidation, conservatorship, bankruptcy, assignment for the benefit of creditors, moratorium, rearrangement, receivership,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339" w:right="339" w:bottom="1440" w:gutter="0" w:footer="0" w:header="0"/>
        </w:sectPr>
      </w:pPr>
    </w:p>
    <w:bookmarkStart w:id="256" w:name="page257"/>
    <w:bookmarkEnd w:id="256"/>
    <w:p>
      <w:pPr>
        <w:jc w:val="both"/>
        <w:spacing w:after="0" w:line="235" w:lineRule="auto"/>
        <w:rPr>
          <w:sz w:val="20"/>
          <w:szCs w:val="20"/>
          <w:color w:val="auto"/>
        </w:rPr>
      </w:pPr>
      <w:r>
        <w:rPr>
          <w:rFonts w:ascii="Times New Roman" w:cs="Times New Roman" w:eastAsia="Times New Roman" w:hAnsi="Times New Roman"/>
          <w:sz w:val="21"/>
          <w:szCs w:val="21"/>
          <w:color w:val="auto"/>
        </w:rPr>
        <w:t>insolvency, reorganization or similar debtor relief Laws of the United States or other applicable jurisdictions from time to time in effect and affecting the rights of creditors generally.</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w:t>
      </w:r>
      <w:r>
        <w:rPr>
          <w:rFonts w:ascii="Times New Roman" w:cs="Times New Roman" w:eastAsia="Times New Roman" w:hAnsi="Times New Roman"/>
          <w:sz w:val="21"/>
          <w:szCs w:val="21"/>
          <w:color w:val="auto"/>
        </w:rPr>
        <w:t xml:space="preserve">” means any event or condition specified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that constitutes an Event of Default or that, with the giving of any notice, the passage of time, or both, would be an Event of Default.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xml:space="preserve">” means an interest rate equal to (a) the Base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the Applicable Rate applicable to Loans that are Base Rate Loans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(c) two percent (2.0%)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the overdue principal in respect of a SOFR Loan, the Default Rate shall be an interest rate equal to the interest rate (including any Applicable Rate) otherwise applicable to such Loan,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two percent (2.0%)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in each case to the fullest extent permitted by applicable Laws.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Defaulting Lender</w:t>
      </w:r>
      <w:r>
        <w:rPr>
          <w:rFonts w:ascii="Times New Roman" w:cs="Times New Roman" w:eastAsia="Times New Roman" w:hAnsi="Times New Roman"/>
          <w:sz w:val="21"/>
          <w:szCs w:val="21"/>
          <w:color w:val="auto"/>
        </w:rPr>
        <w:t>” means any Lender whose acts or failure to act, whether directly or indirectly, cause it to meet any part of the definition of “Lender Default.”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Delayed Draw Availability Period</w:t>
      </w:r>
      <w:r>
        <w:rPr>
          <w:rFonts w:ascii="Times New Roman" w:cs="Times New Roman" w:eastAsia="Times New Roman" w:hAnsi="Times New Roman"/>
          <w:sz w:val="21"/>
          <w:szCs w:val="21"/>
          <w:color w:val="auto"/>
        </w:rPr>
        <w:t xml:space="preserve">” shall mean the period beginning on the Closing Date and ending at 11:59 p.m. New York time on September 18, 2028;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Delayed Draw Loan Commitment is reduced to $0 in accordance with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the Delayed Draw Availability Period shall end on the date of such reduction.</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Delayed Draw Lender</w:t>
      </w:r>
      <w:r>
        <w:rPr>
          <w:rFonts w:ascii="Times New Roman" w:cs="Times New Roman" w:eastAsia="Times New Roman" w:hAnsi="Times New Roman"/>
          <w:sz w:val="21"/>
          <w:szCs w:val="21"/>
          <w:color w:val="auto"/>
        </w:rPr>
        <w:t xml:space="preserve">” shall mean each financial institution listed on </w:t>
      </w:r>
      <w:r>
        <w:rPr>
          <w:rFonts w:ascii="Times New Roman" w:cs="Times New Roman" w:eastAsia="Times New Roman" w:hAnsi="Times New Roman"/>
          <w:sz w:val="21"/>
          <w:szCs w:val="21"/>
          <w:u w:val="single" w:color="auto"/>
          <w:color w:val="auto"/>
        </w:rPr>
        <w:t>Schedule 1.01A</w:t>
      </w:r>
      <w:r>
        <w:rPr>
          <w:rFonts w:ascii="Times New Roman" w:cs="Times New Roman" w:eastAsia="Times New Roman" w:hAnsi="Times New Roman"/>
          <w:sz w:val="21"/>
          <w:szCs w:val="21"/>
          <w:color w:val="auto"/>
        </w:rPr>
        <w:t xml:space="preserve"> under the heading “Delayed Draw Lender”, as well as any registered assignee that becomes a “Lender” hereunder pursuant to </w:t>
      </w:r>
      <w:r>
        <w:rPr>
          <w:rFonts w:ascii="Times New Roman" w:cs="Times New Roman" w:eastAsia="Times New Roman" w:hAnsi="Times New Roman"/>
          <w:sz w:val="21"/>
          <w:szCs w:val="21"/>
          <w:u w:val="single" w:color="auto"/>
          <w:color w:val="auto"/>
        </w:rPr>
        <w:t>Section 10.07(b)</w:t>
      </w:r>
      <w:r>
        <w:rPr>
          <w:rFonts w:ascii="Times New Roman" w:cs="Times New Roman" w:eastAsia="Times New Roman" w:hAnsi="Times New Roman"/>
          <w:sz w:val="21"/>
          <w:szCs w:val="21"/>
          <w:color w:val="auto"/>
        </w:rPr>
        <w:t xml:space="preserve"> with respect to the Delayed Draw Term Loans and/or Delayed Draw Loan Commitments that, in each case, is a party to this Agreement.</w:t>
      </w:r>
    </w:p>
    <w:p>
      <w:pPr>
        <w:spacing w:after="0" w:line="14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Delayed Draw Loan Commitment</w:t>
      </w:r>
      <w:r>
        <w:rPr>
          <w:rFonts w:ascii="Times New Roman" w:cs="Times New Roman" w:eastAsia="Times New Roman" w:hAnsi="Times New Roman"/>
          <w:sz w:val="21"/>
          <w:szCs w:val="21"/>
          <w:color w:val="auto"/>
        </w:rPr>
        <w:t xml:space="preserve">” shall mean, with respect to any Delayed Draw Lender, the amount set forth on </w:t>
      </w:r>
      <w:r>
        <w:rPr>
          <w:rFonts w:ascii="Times New Roman" w:cs="Times New Roman" w:eastAsia="Times New Roman" w:hAnsi="Times New Roman"/>
          <w:sz w:val="21"/>
          <w:szCs w:val="21"/>
          <w:u w:val="single" w:color="auto"/>
          <w:color w:val="auto"/>
        </w:rPr>
        <w:t>Schedule 1.01A</w:t>
      </w:r>
      <w:r>
        <w:rPr>
          <w:rFonts w:ascii="Times New Roman" w:cs="Times New Roman" w:eastAsia="Times New Roman" w:hAnsi="Times New Roman"/>
          <w:sz w:val="21"/>
          <w:szCs w:val="21"/>
          <w:color w:val="auto"/>
        </w:rPr>
        <w:t xml:space="preserve"> with respect to such Delayed Draw Lender under the heading “Delayed Draw Loan Commitment” as the same may be reduced from time to time in accordance with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The aggregate principal amount of the Delayed Draw Loan Commitments on the Closing Date is $50,000,000.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Delayed Draw Loan Commitment Fee</w:t>
      </w:r>
      <w:r>
        <w:rPr>
          <w:rFonts w:ascii="Times New Roman" w:cs="Times New Roman" w:eastAsia="Times New Roman" w:hAnsi="Times New Roman"/>
          <w:sz w:val="21"/>
          <w:szCs w:val="21"/>
          <w:color w:val="auto"/>
        </w:rPr>
        <w:t xml:space="preserve">” shall have the meaning assigned to such term in </w:t>
      </w:r>
      <w:r>
        <w:rPr>
          <w:rFonts w:ascii="Times New Roman" w:cs="Times New Roman" w:eastAsia="Times New Roman" w:hAnsi="Times New Roman"/>
          <w:sz w:val="21"/>
          <w:szCs w:val="21"/>
          <w:u w:val="single" w:color="auto"/>
          <w:color w:val="auto"/>
        </w:rPr>
        <w:t>Section 2.08(a)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Delayed Draw Loan Facility</w:t>
      </w:r>
      <w:r>
        <w:rPr>
          <w:rFonts w:ascii="Times New Roman" w:cs="Times New Roman" w:eastAsia="Times New Roman" w:hAnsi="Times New Roman"/>
          <w:sz w:val="21"/>
          <w:szCs w:val="21"/>
          <w:color w:val="auto"/>
        </w:rPr>
        <w:t>” shall mean the Delayed Draw Loan Commitments and the Delayed Draw Term Loans.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Delayed Draw Term Loans</w:t>
      </w:r>
      <w:r>
        <w:rPr>
          <w:rFonts w:ascii="Times New Roman" w:cs="Times New Roman" w:eastAsia="Times New Roman" w:hAnsi="Times New Roman"/>
          <w:sz w:val="21"/>
          <w:szCs w:val="21"/>
          <w:color w:val="auto"/>
        </w:rPr>
        <w:t xml:space="preserve">” shall mean the term loans made by the Delayed Draw Lenders to the Borrower from time to time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Depositary Bank</w:t>
      </w:r>
      <w:r>
        <w:rPr>
          <w:rFonts w:ascii="Times New Roman" w:cs="Times New Roman" w:eastAsia="Times New Roman" w:hAnsi="Times New Roman"/>
          <w:sz w:val="21"/>
          <w:szCs w:val="21"/>
          <w:color w:val="auto"/>
        </w:rPr>
        <w:t>” means Citizens Bank, N.A., solely in its capacity as depositary bank or securities intermediary (as applicable), or a successor selected by the Borrower and reasonably acceptable to the Administrative Agent and Collateral Agent.</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Disposition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Dispose</w:t>
      </w:r>
      <w:r>
        <w:rPr>
          <w:rFonts w:ascii="Times New Roman" w:cs="Times New Roman" w:eastAsia="Times New Roman" w:hAnsi="Times New Roman"/>
          <w:sz w:val="21"/>
          <w:szCs w:val="21"/>
          <w:color w:val="auto"/>
        </w:rPr>
        <w:t xml:space="preserve">” means the sale, transfer, license, lease or other disposition (including any sale and leaseback transaction and any sale or issuance of Equity Interests in a Subsidiary) of any property by any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b w:val="1"/>
          <w:bCs w:val="1"/>
          <w:color w:val="auto"/>
        </w:rPr>
        <w:t>Disposition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Dispose</w:t>
      </w:r>
      <w:r>
        <w:rPr>
          <w:rFonts w:ascii="Times New Roman" w:cs="Times New Roman" w:eastAsia="Times New Roman" w:hAnsi="Times New Roman"/>
          <w:sz w:val="21"/>
          <w:szCs w:val="21"/>
          <w:color w:val="auto"/>
        </w:rPr>
        <w:t>” shall not be deemed to include any issuance by the Borrower of any its Equity Interests to Pledgor, by the Double E Joint Venture of any of its Equity Interests to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339" w:right="339" w:bottom="1440" w:gutter="0" w:footer="0" w:header="0"/>
        </w:sectPr>
      </w:pPr>
    </w:p>
    <w:bookmarkStart w:id="257" w:name="page258"/>
    <w:bookmarkEnd w:id="257"/>
    <w:p>
      <w:pPr>
        <w:jc w:val="both"/>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Lenders</w:t>
      </w:r>
      <w:r>
        <w:rPr>
          <w:rFonts w:ascii="Times New Roman" w:cs="Times New Roman" w:eastAsia="Times New Roman" w:hAnsi="Times New Roman"/>
          <w:sz w:val="21"/>
          <w:szCs w:val="21"/>
          <w:color w:val="auto"/>
        </w:rPr>
        <w:t xml:space="preserve">” means (a) those Persons identified by the Borrower or the Sponsor to the Administrative Agent in writing on or prior to March 16, 2026 (and such Persons’ Affiliates clearly identifiable as such solely on the basis of their names), and (b) competitors (and such competitors’ sponsors and Affiliates identified to the Administrative Agent in writing or clearly identifiable as such solely on the basis of their names) of the Borrower and the Double E Joint Venture separately identified by the Borrower or the Sponsor to the Administrative Agent in writing from time to time (including after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updates to the Disqualified Lender list shall be deemed to retroactively disqualify any parties that have previously acquired an assignment or participation in respect of the Loans from continuing to hold or vote such previously acquired assignments and participations on the terms set forth herein for Lenders that are not Disqualified Lenders. Any supplement to the list of Disqualified Lenders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shall be made by the Borrower or Sponsors to the Administrative Agent in writing (including by email) and such supplement shall take effect the same Business Day such notice is received by the Administrative Agent. The list of Disqualified Lenders shall be made available to any Lender upon request to the Administrative Agent, subject to customary confidentiality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Distressed Person</w:t>
      </w:r>
      <w:r>
        <w:rPr>
          <w:rFonts w:ascii="Times New Roman" w:cs="Times New Roman" w:eastAsia="Times New Roman" w:hAnsi="Times New Roman"/>
          <w:sz w:val="21"/>
          <w:szCs w:val="21"/>
          <w:color w:val="auto"/>
        </w:rPr>
        <w:t>” has the meaning set forth in the definition of “Lender-Related Distress Event”.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Account</w:t>
      </w:r>
      <w:r>
        <w:rPr>
          <w:rFonts w:ascii="Times New Roman" w:cs="Times New Roman" w:eastAsia="Times New Roman" w:hAnsi="Times New Roman"/>
          <w:sz w:val="21"/>
          <w:szCs w:val="21"/>
          <w:color w:val="auto"/>
        </w:rPr>
        <w:t>” means account number 6330004149 of the Borrower held with the Depositary Bank or such other financial institution as the Borrower may from time to time select.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Commencement Date</w:t>
      </w:r>
      <w:r>
        <w:rPr>
          <w:rFonts w:ascii="Times New Roman" w:cs="Times New Roman" w:eastAsia="Times New Roman" w:hAnsi="Times New Roman"/>
          <w:sz w:val="21"/>
          <w:szCs w:val="21"/>
          <w:color w:val="auto"/>
        </w:rPr>
        <w:t>” means the later of (x) March 16, 2028 and (y) the effective date of the extension of the term of the XOM Contract for an additional period of at least four (4) years or the effective date of the entry into one or more new agreements in replacement thereof on substantially similar or more favorable terms to the Double E Joint Venture, taken as a whole, than the XOM Contract, with a term of at least four years.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Suspense Account</w:t>
      </w:r>
      <w:r>
        <w:rPr>
          <w:rFonts w:ascii="Times New Roman" w:cs="Times New Roman" w:eastAsia="Times New Roman" w:hAnsi="Times New Roman"/>
          <w:sz w:val="21"/>
          <w:szCs w:val="21"/>
          <w:color w:val="auto"/>
        </w:rPr>
        <w:t>” means account number 6330004742 of the Borrower, established with the Depositary Bank.</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Division/Series Transaction</w:t>
      </w:r>
      <w:r>
        <w:rPr>
          <w:rFonts w:ascii="Times New Roman" w:cs="Times New Roman" w:eastAsia="Times New Roman" w:hAnsi="Times New Roman"/>
          <w:sz w:val="21"/>
          <w:szCs w:val="21"/>
          <w:color w:val="auto"/>
        </w:rPr>
        <w:t>” means with respect to any Person that is organized under the laws of the State of Delaware, that any such Person (a) divides into two or more Persons (whether or not the original Person survives such division) or (b) creates, or reorganizes into, one or more series, in each case, as contemplated under the laws of the State of Delaware.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mean lawful money of the United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Double E Joint Venture</w:t>
      </w:r>
      <w:r>
        <w:rPr>
          <w:rFonts w:ascii="Times New Roman" w:cs="Times New Roman" w:eastAsia="Times New Roman" w:hAnsi="Times New Roman"/>
          <w:sz w:val="21"/>
          <w:szCs w:val="21"/>
          <w:color w:val="auto"/>
        </w:rPr>
        <w:t>” means Double E Pipeline, LLC, a Delaware limited liability company.</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“DSR Letter of Credit” </w:t>
      </w:r>
      <w:r>
        <w:rPr>
          <w:rFonts w:ascii="Times New Roman" w:cs="Times New Roman" w:eastAsia="Times New Roman" w:hAnsi="Times New Roman"/>
          <w:sz w:val="21"/>
          <w:szCs w:val="21"/>
          <w:color w:val="auto"/>
        </w:rPr>
        <w:t>means any irrevocable standby letter of credit, in the form reasonably acceptable to the applicable L/C Issuer,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Borrower and the Collateral Agent issued to satisfy the DSR Requirement by an Acceptable L/C Issuer.</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DSR Requirement</w:t>
      </w:r>
      <w:r>
        <w:rPr>
          <w:rFonts w:ascii="Times New Roman" w:cs="Times New Roman" w:eastAsia="Times New Roman" w:hAnsi="Times New Roman"/>
          <w:sz w:val="21"/>
          <w:szCs w:val="21"/>
          <w:color w:val="auto"/>
        </w:rPr>
        <w:t xml:space="preserve">” means as of any date of determination, the next three (3) months of principal and interest scheduled to be payable hereunder after such date of determination in respect of the Loans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2.06 and </w:t>
      </w:r>
      <w:r>
        <w:rPr>
          <w:rFonts w:ascii="Times New Roman" w:cs="Times New Roman" w:eastAsia="Times New Roman" w:hAnsi="Times New Roman"/>
          <w:sz w:val="21"/>
          <w:szCs w:val="21"/>
          <w:u w:val="single" w:color="auto"/>
          <w:color w:val="auto"/>
        </w:rPr>
        <w:t>Section 2.07(a)</w:t>
      </w:r>
      <w:r>
        <w:rPr>
          <w:rFonts w:ascii="Times New Roman" w:cs="Times New Roman" w:eastAsia="Times New Roman" w:hAnsi="Times New Roman"/>
          <w:sz w:val="21"/>
          <w:szCs w:val="21"/>
          <w:color w:val="auto"/>
        </w:rPr>
        <w:t xml:space="preserve"> (as adjusted for settlement amounts under the Interest Rate Hedge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DSRA Deficiency Event</w:t>
      </w:r>
      <w:r>
        <w:rPr>
          <w:rFonts w:ascii="Times New Roman" w:cs="Times New Roman" w:eastAsia="Times New Roman" w:hAnsi="Times New Roman"/>
          <w:sz w:val="21"/>
          <w:szCs w:val="21"/>
          <w:color w:val="auto"/>
        </w:rPr>
        <w:t>” occurs when, as of the last day of any fiscal quarter, the Funded DSR is less than the DSR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335"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DSRA Overfunding Event</w:t>
      </w:r>
      <w:r>
        <w:rPr>
          <w:rFonts w:ascii="Times New Roman" w:cs="Times New Roman" w:eastAsia="Times New Roman" w:hAnsi="Times New Roman"/>
          <w:sz w:val="21"/>
          <w:szCs w:val="21"/>
          <w:color w:val="auto"/>
        </w:rPr>
        <w:t>” occurs when the Funded DSR exceeds the DSR Requirement.</w:t>
      </w:r>
    </w:p>
    <w:p>
      <w:pPr>
        <w:spacing w:after="0" w:line="1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Assignee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w:t>
      </w:r>
      <w:r>
        <w:rPr>
          <w:rFonts w:ascii="Times New Roman" w:cs="Times New Roman" w:eastAsia="Times New Roman" w:hAnsi="Times New Roman"/>
          <w:sz w:val="21"/>
          <w:szCs w:val="21"/>
          <w:color w:val="auto"/>
        </w:rPr>
        <w:t>” means the environment, including ambient air, surface water, groundwater, drinking water, land surface, subsurface strata, and natural resources such as wetlands, flora and fauna.</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Claim</w:t>
      </w:r>
      <w:r>
        <w:rPr>
          <w:rFonts w:ascii="Times New Roman" w:cs="Times New Roman" w:eastAsia="Times New Roman" w:hAnsi="Times New Roman"/>
          <w:sz w:val="21"/>
          <w:szCs w:val="21"/>
          <w:color w:val="auto"/>
        </w:rPr>
        <w:t>” means any and all actions, suits, orders, demand letters, claims, complaints, notices of non-compliance or violation, notices of liability or potential liability, liens, proceedings, consent orders or consent agreements, in each instance in writing, relating to any actual or alleged violation of Environmental Law or any Release of, or exposure to, Hazardous Material.</w:t>
      </w:r>
    </w:p>
    <w:p>
      <w:pPr>
        <w:spacing w:after="0" w:line="14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means any applicable Law relating to the prevention of pollution or the protection of the Environment and natural resources or the protection of human health and safety to the extent it relates to exposure to Hazardous Materials, including any applicable Laws relating to the generation, use, handling, transportation, storage, treatment, disposal, or Release of, or exposure to, any Hazardous Materials.</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investigation and remediation, fines, or penalties), of the Borrower or the Double E Joint Venture directly or indirectly resulting from or based upon (a) violation of any Environmental Law, (b) the generation, use, handling, transportation, storage, treatment or disposal of any Hazardous Materials in violation of Environmental Laws, (c) exposure to any Hazardous Materials, or (d) the Release of any Hazardous Materials into the Environment.</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 Contribution Account</w:t>
      </w:r>
      <w:r>
        <w:rPr>
          <w:rFonts w:ascii="Times New Roman" w:cs="Times New Roman" w:eastAsia="Times New Roman" w:hAnsi="Times New Roman"/>
          <w:sz w:val="21"/>
          <w:szCs w:val="21"/>
          <w:color w:val="auto"/>
        </w:rPr>
        <w:t>” means account number 5330004777 of the Borrower held with the Depositary Bank or such other financial institution as the Borrower may from time to time select.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 Interests</w:t>
      </w:r>
      <w:r>
        <w:rPr>
          <w:rFonts w:ascii="Times New Roman" w:cs="Times New Roman" w:eastAsia="Times New Roman" w:hAnsi="Times New Roman"/>
          <w:sz w:val="21"/>
          <w:szCs w:val="21"/>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 Sale</w:t>
      </w:r>
      <w:r>
        <w:rPr>
          <w:rFonts w:ascii="Times New Roman" w:cs="Times New Roman" w:eastAsia="Times New Roman" w:hAnsi="Times New Roman"/>
          <w:sz w:val="21"/>
          <w:szCs w:val="21"/>
          <w:color w:val="auto"/>
        </w:rPr>
        <w:t>” means a Disposition of the Equity Interests owned by the Borrower in the Double E Joint Venture, other than in connection with any Qualified Equity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335"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means the Employee Retirement Income Security Act of 1974, as amended from time to time.</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Affiliate</w:t>
      </w:r>
      <w:r>
        <w:rPr>
          <w:rFonts w:ascii="Times New Roman" w:cs="Times New Roman" w:eastAsia="Times New Roman" w:hAnsi="Times New Roman"/>
          <w:sz w:val="21"/>
          <w:szCs w:val="21"/>
          <w:color w:val="auto"/>
        </w:rPr>
        <w:t>” means (a)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 or (b) any entity (whether or not incorporated) that is under common control within the meaning of Section 4001(a)(14) of ERISA with the Borrower.</w:t>
      </w:r>
    </w:p>
    <w:p>
      <w:pPr>
        <w:spacing w:after="0" w:line="14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Event</w:t>
      </w:r>
      <w:r>
        <w:rPr>
          <w:rFonts w:ascii="Times New Roman" w:cs="Times New Roman" w:eastAsia="Times New Roman" w:hAnsi="Times New Roman"/>
          <w:sz w:val="21"/>
          <w:szCs w:val="21"/>
          <w:color w:val="auto"/>
        </w:rPr>
        <w:t>” means (a) a Reportable Event;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(d) the filing by the PBGC of a notice of intent to terminate any Pension Plan, the treatment of a Pension Plan or Multiemployer Plan amendment as a termination under Section 4041 or Section 4041A of ERISA, respectively,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with respect to a Pension Plan, the failure to satisfy the minimum funding standards (within the meaning of Section 412 of the Code or Section 302 of ERISA) applicable to such Pension Plan, whether or not waived; (g) the occurrence of a nonexempt prohibited transaction (within the meaning of Section 4975 of the Code or Section 406 of ERISA) with respect to a Plan which could result in liability to the Borrower; or (h) the imposition of any liability under Title IV of ERISA, other than for PBGC premiums due but not delinquent under Section 4007 of ERISA, upon the Borrower or any ERISA Affiliate.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Excess Cash Flow</w:t>
      </w:r>
      <w:r>
        <w:rPr>
          <w:rFonts w:ascii="Times New Roman" w:cs="Times New Roman" w:eastAsia="Times New Roman" w:hAnsi="Times New Roman"/>
          <w:sz w:val="21"/>
          <w:szCs w:val="21"/>
          <w:color w:val="auto"/>
        </w:rPr>
        <w:t xml:space="preserve">” means, with respect to any applicable fiscal quarter, the amount of Proceeds for such fiscal quarter remaining in the Revenue Account after giving effect to the application of funds in accordance with clauses “First” through “Seventh”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2.15(h)</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Accounts</w:t>
      </w:r>
      <w:r>
        <w:rPr>
          <w:rFonts w:ascii="Times New Roman" w:cs="Times New Roman" w:eastAsia="Times New Roman" w:hAnsi="Times New Roman"/>
          <w:sz w:val="21"/>
          <w:szCs w:val="21"/>
          <w:color w:val="auto"/>
        </w:rPr>
        <w:t>” means the Distribution Account and the Equity Contribution Account.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Assets</w:t>
      </w:r>
      <w:r>
        <w:rPr>
          <w:rFonts w:ascii="Times New Roman" w:cs="Times New Roman" w:eastAsia="Times New Roman" w:hAnsi="Times New Roman"/>
          <w:sz w:val="21"/>
          <w:szCs w:val="21"/>
          <w:color w:val="auto"/>
        </w:rPr>
        <w:t>” has the meaning set forth in the definition of “Collateral Requirement”.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Debt Proceeds</w:t>
      </w:r>
      <w:r>
        <w:rPr>
          <w:rFonts w:ascii="Times New Roman" w:cs="Times New Roman" w:eastAsia="Times New Roman" w:hAnsi="Times New Roman"/>
          <w:sz w:val="21"/>
          <w:szCs w:val="21"/>
          <w:color w:val="auto"/>
        </w:rPr>
        <w:t>” means proceeds of any Additional Pari Passu Permitted Debt.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Equity Proceeds</w:t>
      </w:r>
      <w:r>
        <w:rPr>
          <w:rFonts w:ascii="Times New Roman" w:cs="Times New Roman" w:eastAsia="Times New Roman" w:hAnsi="Times New Roman"/>
          <w:sz w:val="21"/>
          <w:szCs w:val="21"/>
          <w:color w:val="auto"/>
        </w:rPr>
        <w:t>” means proceeds received by the Borrower after the Closing Date from contributions to its common equity capital.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Proceeds</w:t>
      </w:r>
      <w:r>
        <w:rPr>
          <w:rFonts w:ascii="Times New Roman" w:cs="Times New Roman" w:eastAsia="Times New Roman" w:hAnsi="Times New Roman"/>
          <w:sz w:val="21"/>
          <w:szCs w:val="21"/>
          <w:color w:val="auto"/>
        </w:rPr>
        <w:t>” means Excluded Debt Proceeds and Excluded Equity Proceeds.</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Credit Agreement</w:t>
      </w:r>
      <w:r>
        <w:rPr>
          <w:rFonts w:ascii="Times New Roman" w:cs="Times New Roman" w:eastAsia="Times New Roman" w:hAnsi="Times New Roman"/>
          <w:sz w:val="21"/>
          <w:szCs w:val="21"/>
          <w:color w:val="auto"/>
        </w:rPr>
        <w:t>” means that certain Credit Agreement, dated as of March 8, 2021, by and among the Borrower, MUFG Bank, LTD. as Administrative Agent, Mizuho Bank (USA), as Collateral Agent, the letter of credit issuers and the lenders parties from time to time thereto (as amended from time to time).</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Extraordinary Proceeds</w:t>
      </w:r>
      <w:r>
        <w:rPr>
          <w:rFonts w:ascii="Times New Roman" w:cs="Times New Roman" w:eastAsia="Times New Roman" w:hAnsi="Times New Roman"/>
          <w:sz w:val="21"/>
          <w:szCs w:val="21"/>
          <w:color w:val="auto"/>
        </w:rPr>
        <w:t>” means all cash proceeds actually received by the Borrower of (A) any Material Disposition, (B) any Equity Sale, (C) any Material Contract Payment, (D) any Casualty Event and (E) any Indebtedness, in each case, to the extent the Net Proceeds with respect thereto, if any, would be required to be offered to prepay (x) Term Loans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335"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1"/>
          <w:szCs w:val="21"/>
          <w:color w:val="auto"/>
        </w:rPr>
        <w:t>with the terms of this Agreement or (y) Additional Pari Passu Permitted Debt in accordance with the terms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Extraordinary Proceeds Account</w:t>
      </w:r>
      <w:r>
        <w:rPr>
          <w:rFonts w:ascii="Times New Roman" w:cs="Times New Roman" w:eastAsia="Times New Roman" w:hAnsi="Times New Roman"/>
          <w:sz w:val="21"/>
          <w:szCs w:val="21"/>
          <w:color w:val="auto"/>
        </w:rPr>
        <w:t>” means account number 6330004785 of the Borrower, established with the Depositary Bank.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Exxon Member</w:t>
      </w:r>
      <w:r>
        <w:rPr>
          <w:rFonts w:ascii="Times New Roman" w:cs="Times New Roman" w:eastAsia="Times New Roman" w:hAnsi="Times New Roman"/>
          <w:sz w:val="21"/>
          <w:szCs w:val="21"/>
          <w:color w:val="auto"/>
        </w:rPr>
        <w:t>” means ExxonMobil Permian Double E Pipeline LLC.</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Facility</w:t>
      </w:r>
      <w:r>
        <w:rPr>
          <w:rFonts w:ascii="Times New Roman" w:cs="Times New Roman" w:eastAsia="Times New Roman" w:hAnsi="Times New Roman"/>
          <w:sz w:val="21"/>
          <w:szCs w:val="21"/>
          <w:color w:val="auto"/>
        </w:rPr>
        <w:t>” means the Term Loan Facility, the Delayed Draw Loan Facility or a given Class of Incremental Term Loans, as the context may require.</w:t>
      </w:r>
    </w:p>
    <w:p>
      <w:pPr>
        <w:spacing w:after="0" w:line="14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Code (including, for the avoidance of doubt, any agreements entered into pursuant to Section 1471(b)(1) of the Code), as of the Closing Date (and any amended or successor version thereof that is substantively comparable and not materially more onerous to comply with), any current or future Treasury Regulations or other official administrative guidance promulgated thereunder, and any fiscal or regulatory legislation, rules or practices adopted pursuant to any intergovernmental agreement, treaty or convention among Governmental Authorities entered into in connection with the implementation of the foregoing.</w:t>
      </w:r>
    </w:p>
    <w:p>
      <w:pPr>
        <w:spacing w:after="0" w:line="14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Federal Funds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for any day that is a Business Day, the average of the quotations for the day for such transactions as determined by the Administrative Agent.</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Fee Letter</w:t>
      </w:r>
      <w:r>
        <w:rPr>
          <w:rFonts w:ascii="Times New Roman" w:cs="Times New Roman" w:eastAsia="Times New Roman" w:hAnsi="Times New Roman"/>
          <w:sz w:val="21"/>
          <w:szCs w:val="21"/>
          <w:color w:val="auto"/>
        </w:rPr>
        <w:t>” means that certain Fee Letter dated as of the Closing Date, between the Borrower and the Sole Lead Arranger, as the same may be amended, restated, amended and restated, supplemented or otherwise modified from time to time.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First Lien Intercreditor Agreement</w:t>
      </w:r>
      <w:r>
        <w:rPr>
          <w:rFonts w:ascii="Times New Roman" w:cs="Times New Roman" w:eastAsia="Times New Roman" w:hAnsi="Times New Roman"/>
          <w:sz w:val="21"/>
          <w:szCs w:val="21"/>
          <w:color w:val="auto"/>
        </w:rPr>
        <w:t>” means the First Lien Intercreditor Agreement, by and among the Borrower, the Collateral Agent, Citizens Bank, N.A. and any Other Debt Representative that may from time to time become party thereto, entered into on the Closing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w:t>
      </w:r>
      <w:r>
        <w:rPr>
          <w:rFonts w:ascii="Times New Roman" w:cs="Times New Roman" w:eastAsia="Times New Roman" w:hAnsi="Times New Roman"/>
          <w:sz w:val="21"/>
          <w:szCs w:val="21"/>
          <w:color w:val="auto"/>
        </w:rPr>
        <w:t>” means the Applicable SOFR Floor or Base Rate Floor,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FRB</w:t>
      </w:r>
      <w:r>
        <w:rPr>
          <w:rFonts w:ascii="Times New Roman" w:cs="Times New Roman" w:eastAsia="Times New Roman" w:hAnsi="Times New Roman"/>
          <w:sz w:val="21"/>
          <w:szCs w:val="21"/>
          <w:color w:val="auto"/>
        </w:rPr>
        <w:t>” means the Board of Governors of the Federal Reserve System of the United States.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w:t>
      </w:r>
      <w:r>
        <w:rPr>
          <w:rFonts w:ascii="Times New Roman" w:cs="Times New Roman" w:eastAsia="Times New Roman" w:hAnsi="Times New Roman"/>
          <w:sz w:val="21"/>
          <w:szCs w:val="21"/>
          <w:color w:val="auto"/>
        </w:rPr>
        <w:t>” means any Person (other than a natural person) that is engaged in making, purchasing, holding or otherwise investing in commercial loans and similar extensions of credit in the ordinary course.</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Funded DSR</w:t>
      </w:r>
      <w:r>
        <w:rPr>
          <w:rFonts w:ascii="Times New Roman" w:cs="Times New Roman" w:eastAsia="Times New Roman" w:hAnsi="Times New Roman"/>
          <w:sz w:val="21"/>
          <w:szCs w:val="21"/>
          <w:color w:val="auto"/>
        </w:rPr>
        <w:t xml:space="preserve">” means, as of any date of determination, the </w:t>
      </w:r>
      <w:r>
        <w:rPr>
          <w:rFonts w:ascii="Times New Roman" w:cs="Times New Roman" w:eastAsia="Times New Roman" w:hAnsi="Times New Roman"/>
          <w:sz w:val="21"/>
          <w:szCs w:val="21"/>
          <w:i w:val="1"/>
          <w:iCs w:val="1"/>
          <w:color w:val="auto"/>
        </w:rPr>
        <w:t>sum</w:t>
      </w:r>
      <w:r>
        <w:rPr>
          <w:rFonts w:ascii="Times New Roman" w:cs="Times New Roman" w:eastAsia="Times New Roman" w:hAnsi="Times New Roman"/>
          <w:sz w:val="21"/>
          <w:szCs w:val="21"/>
          <w:color w:val="auto"/>
        </w:rPr>
        <w:t xml:space="preserve"> of (x) the balance of cash and Cash Equivalents credited to the Debt Service Reserve Account and (y) all Available Draw Amounts in respect of all DSR Letters of Credit.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xml:space="preserve">” means generally accepted accounting principles in the United States of America, as in effect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if the Borrower notifies the Administrative Agent that the Borrower requests an amendment to any provision hereof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eliminate the effect of any change in accounting principles or change as a result of the adoption or modification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339" w:right="339" w:bottom="1440" w:gutter="0" w:footer="0" w:header="0"/>
        </w:sectPr>
      </w:pPr>
    </w:p>
    <w:bookmarkStart w:id="261" w:name="page262"/>
    <w:bookmarkEnd w:id="261"/>
    <w:p>
      <w:pPr>
        <w:jc w:val="both"/>
        <w:spacing w:after="0" w:line="209" w:lineRule="auto"/>
        <w:rPr>
          <w:sz w:val="20"/>
          <w:szCs w:val="20"/>
          <w:color w:val="auto"/>
        </w:rPr>
      </w:pPr>
      <w:r>
        <w:rPr>
          <w:rFonts w:ascii="Times New Roman" w:cs="Times New Roman" w:eastAsia="Times New Roman" w:hAnsi="Times New Roman"/>
          <w:sz w:val="21"/>
          <w:szCs w:val="21"/>
          <w:color w:val="auto"/>
        </w:rPr>
        <w:t>accounting policies (including, but not limited to, the impact of Accounting Standards Update 2016-12, Revenue from Contracts with Customers (Topic 606) or similar revenue recognition policies or any change in the methodology of calculating reserves for returns, rebates and other chargebacks)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FASB ASC Topic 825 (or any other Financial Accounting Standard having a similar result or effect) to value any Indebtedness or other liabilities of the Borrower at “</w:t>
      </w:r>
      <w:r>
        <w:rPr>
          <w:rFonts w:ascii="Times New Roman" w:cs="Times New Roman" w:eastAsia="Times New Roman" w:hAnsi="Times New Roman"/>
          <w:sz w:val="21"/>
          <w:szCs w:val="21"/>
          <w:b w:val="1"/>
          <w:bCs w:val="1"/>
          <w:color w:val="auto"/>
        </w:rPr>
        <w:t>fair value,</w:t>
      </w:r>
      <w:r>
        <w:rPr>
          <w:rFonts w:ascii="Times New Roman" w:cs="Times New Roman" w:eastAsia="Times New Roman" w:hAnsi="Times New Roman"/>
          <w:sz w:val="21"/>
          <w:szCs w:val="21"/>
          <w:color w:val="auto"/>
        </w:rPr>
        <w:t>” as defined therein, and Indebtedness shall be measured at the aggregate principal amount thereof, and (iii) the accounting for operating leases and financing or capital leases under GAAP as in effect on the Closing Date (including, without limitation, FASB Accounting Standards Codification 840) shall apply for the purposes of determining compliance with the provisions of this Agreement, including the definition of Capitalized Leases and obligations in respect thereof.</w:t>
      </w:r>
    </w:p>
    <w:p>
      <w:pPr>
        <w:spacing w:after="0" w:line="15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nation or government; any state, locality,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that exercise such powers or functions (such as the European Union or the European Central Bank).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Granting Lender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xml:space="preserve">” means, as to any Person, without duplication, (a) any obligation, contingent or otherwise, of such Person guaranteeing or having the economic effect of guaranteeing any Indebtedness or other monetary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is then in effect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as a verb has a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339" w:right="339" w:bottom="1440" w:gutter="0" w:footer="0" w:header="0"/>
        </w:sectPr>
      </w:pPr>
    </w:p>
    <w:bookmarkStart w:id="262" w:name="page263"/>
    <w:bookmarkEnd w:id="262"/>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means all materials, pollutants, contaminants, chemicals, compounds, constituents, substances or wastes, or words of similar regulatory import, in any form, including petroleum or petroleum distillates, explosives, radioactive materials, friable asbestos or asbestos-containing materials, polychlorinated biphenyls, per- and polyfluoroalkyl substances, radon gas, or toxic mold, in each case that are regulated, or for which liability is imposed, under Environmental Law.</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Hedge Bank</w:t>
      </w:r>
      <w:r>
        <w:rPr>
          <w:rFonts w:ascii="Times New Roman" w:cs="Times New Roman" w:eastAsia="Times New Roman" w:hAnsi="Times New Roman"/>
          <w:sz w:val="21"/>
          <w:szCs w:val="21"/>
          <w:color w:val="auto"/>
        </w:rPr>
        <w:t>” means any Person that (a) is a Lender at the time it enters into a Secured Interest Rate Hedge Agreement, in its capacity as a party thereto or (b) is a Person that has (or is guaranteed by any Person that has), as of the date of its execution of the applicable Secured Interest Rate Hedge Agreement, a credit rating of at least BBB from S&amp;P and at least Baa2 from Moody’s (or the equivalent from another rating agency).</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Hedge Transaction</w:t>
      </w:r>
      <w:r>
        <w:rPr>
          <w:rFonts w:ascii="Times New Roman" w:cs="Times New Roman" w:eastAsia="Times New Roman" w:hAnsi="Times New Roman"/>
          <w:sz w:val="21"/>
          <w:szCs w:val="21"/>
          <w:color w:val="auto"/>
        </w:rPr>
        <w:t>” means any transaction (such as swaps, caps, collars or floors) entered into under, and as may be defined in, a Secured Interest Rate Hedge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Amendment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Availability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2.13(d)(v)</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Commitments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Equivalent Debt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clause (l)</w:t>
      </w:r>
      <w:r>
        <w:rPr>
          <w:rFonts w:ascii="Times New Roman" w:cs="Times New Roman" w:eastAsia="Times New Roman" w:hAnsi="Times New Roman"/>
          <w:sz w:val="21"/>
          <w:szCs w:val="21"/>
          <w:color w:val="auto"/>
        </w:rPr>
        <w:t xml:space="preserve"> of the definition of “Permitted Debt”.</w:t>
      </w:r>
    </w:p>
    <w:p>
      <w:pPr>
        <w:spacing w:after="0" w:line="1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Equivalent First Lien Debt</w:t>
      </w:r>
      <w:r>
        <w:rPr>
          <w:rFonts w:ascii="Times New Roman" w:cs="Times New Roman" w:eastAsia="Times New Roman" w:hAnsi="Times New Roman"/>
          <w:sz w:val="21"/>
          <w:szCs w:val="21"/>
          <w:color w:val="auto"/>
        </w:rPr>
        <w:t xml:space="preserve">” means Incremental Equivalent Debt that is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Excess Amount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2.04(b)(vii)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Facility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Facility Closing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2.13(d)</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First Lien Term Loans</w:t>
      </w:r>
      <w:r>
        <w:rPr>
          <w:rFonts w:ascii="Times New Roman" w:cs="Times New Roman" w:eastAsia="Times New Roman" w:hAnsi="Times New Roman"/>
          <w:sz w:val="21"/>
          <w:szCs w:val="21"/>
          <w:color w:val="auto"/>
        </w:rPr>
        <w:t xml:space="preserve">” means Incremental Term Loans that are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Lenders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Loan Request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Facility</w:t>
      </w:r>
      <w:r>
        <w:rPr>
          <w:rFonts w:ascii="Times New Roman" w:cs="Times New Roman" w:eastAsia="Times New Roman" w:hAnsi="Times New Roman"/>
          <w:sz w:val="21"/>
          <w:szCs w:val="21"/>
          <w:color w:val="auto"/>
        </w:rPr>
        <w:t xml:space="preserve">” means the Incremental Term Loans and Incremental Commitments provided by the Additional Lenders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2.13.</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Facility Economics Threshold</w:t>
      </w:r>
      <w:r>
        <w:rPr>
          <w:rFonts w:ascii="Times New Roman" w:cs="Times New Roman" w:eastAsia="Times New Roman" w:hAnsi="Times New Roman"/>
          <w:sz w:val="21"/>
          <w:szCs w:val="21"/>
          <w:color w:val="auto"/>
        </w:rPr>
        <w:t>” means (a) the aggregate principal amount for the Incremental Term Loans offered by the Additional Lenders being more than what is offered by the existing Lenders and (b) the All-In Yield for the Incremental Term Loans offered by the Additional Lenders being no less than 50 bps lower than the All-In Yield for the Incremental Term Loans offered by the existing Lenders.</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Facility Uses</w:t>
      </w:r>
      <w:r>
        <w:rPr>
          <w:rFonts w:ascii="Times New Roman" w:cs="Times New Roman" w:eastAsia="Times New Roman" w:hAnsi="Times New Roman"/>
          <w:sz w:val="21"/>
          <w:szCs w:val="21"/>
          <w:color w:val="auto"/>
        </w:rPr>
        <w:t>” means to (i) make Required Contributions to pay project costs in respect of the Project, the Compression Addition or a Permitted Expansion, (ii) pay fees and expenses incurred in connection with the Compression Addition or a Permitted Expansion, (iii) pay fees and expenses incurred in connection with Incremental Term Loans, (iv) reimburse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11240"/>
          </w:cols>
          <w:pgMar w:left="320" w:top="1335" w:right="339" w:bottom="1440" w:gutter="0" w:footer="0" w:header="0"/>
        </w:sectPr>
      </w:pPr>
    </w:p>
    <w:bookmarkStart w:id="263" w:name="page264"/>
    <w:bookmarkEnd w:id="263"/>
    <w:p>
      <w:pPr>
        <w:spacing w:after="0" w:line="235" w:lineRule="auto"/>
        <w:rPr>
          <w:sz w:val="20"/>
          <w:szCs w:val="20"/>
          <w:color w:val="auto"/>
        </w:rPr>
      </w:pPr>
      <w:r>
        <w:rPr>
          <w:rFonts w:ascii="Times New Roman" w:cs="Times New Roman" w:eastAsia="Times New Roman" w:hAnsi="Times New Roman"/>
          <w:sz w:val="21"/>
          <w:szCs w:val="21"/>
          <w:color w:val="auto"/>
        </w:rPr>
        <w:t>Required Contributions or fees and expenses or (v) pay debt service with respect to the Compression Addition or the applicable Permitted Expansions, as applicable, and fund applicable debt service reserves.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means, as to any Person at a particular time, without duplication, all of the following:</w:t>
      </w:r>
    </w:p>
    <w:p>
      <w:pPr>
        <w:spacing w:after="0" w:line="175" w:lineRule="exact"/>
        <w:rPr>
          <w:sz w:val="20"/>
          <w:szCs w:val="20"/>
          <w:color w:val="auto"/>
        </w:rPr>
      </w:pPr>
    </w:p>
    <w:p>
      <w:pPr>
        <w:ind w:left="620" w:hanging="617"/>
        <w:spacing w:after="0" w:line="235" w:lineRule="auto"/>
        <w:tabs>
          <w:tab w:leader="none" w:pos="61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for borrowed money and all obligations of such Person evidenced by bonds, debentures, notes, loan agreements or other similar instruments;</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0" w:lineRule="auto"/>
        <w:tabs>
          <w:tab w:leader="none" w:pos="61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 in each case to the extent expected to be drawn;</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61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obligations of such Person under any Secured Interest Rate Hedge Agreement, it being understood that for purposes hereof the “net obligations” of a Person shall be the Swap Termination Value thereof;</w:t>
      </w:r>
    </w:p>
    <w:p>
      <w:pPr>
        <w:spacing w:after="0" w:line="144"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to the extent payable in cash (other than</w:t>
      </w:r>
    </w:p>
    <w:p>
      <w:pPr>
        <w:jc w:val="both"/>
        <w:ind w:left="620" w:firstLine="2"/>
        <w:spacing w:after="0" w:line="218" w:lineRule="auto"/>
        <w:tabs>
          <w:tab w:leader="none" w:pos="884"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accounts and accrued expenses payable in the ordinary course of business and (ii) any earn-out obligation until such obligation becomes a liability on the balance sheet of such Person in accordance with GAAP and (iii) accruals for payroll and other liabilities accrued in the ordinary course);</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0" w:lineRule="auto"/>
        <w:tabs>
          <w:tab w:leader="none" w:pos="61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4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Attributable Indebtedness; and</w:t>
      </w:r>
    </w:p>
    <w:p>
      <w:pPr>
        <w:spacing w:after="0" w:line="17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otherwise included above, all Guarantees of such Person in respect of any of the foregoing.</w:t>
      </w:r>
    </w:p>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expressly limited, (B) in the case of the Borrower, exclude all Indebtedness of the Double E Joint Venture, (C) exclude obligations under or in respect of Non-Capitalized Lease Obligations (to the extent they are treated as operating leases in the most recent financial statements in existence on the Closing Date), straight-line leases, operating leases or sale lease-back transactions (except any resulting Capitalized Lease Obligations), (D) exclude obligations in respect of contract acquisition costs and structured bonus payments in connection with contract acquisitions, synthetic joint ventures or otherwise, and (E) exclude obligations of the Double E Joint Venture created by operation of Section 4.2(e) of the JV LLC Agreement. The amount of any net obligation under any Secured Interest Rate Hedge Agreement on any date shall be deemed to be the Swap Termination Value thereof as of such date. The amount of Indebtedness of any Person for purposes of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above shall be deemed to be equal to the lesser of (i) the aggregate unpaid amount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339" w:right="339" w:bottom="1440" w:gutter="0" w:footer="0" w:header="0"/>
        </w:sectPr>
      </w:pPr>
    </w:p>
    <w:bookmarkStart w:id="264" w:name="page265"/>
    <w:bookmarkEnd w:id="264"/>
    <w:p>
      <w:pPr>
        <w:jc w:val="both"/>
        <w:spacing w:after="0" w:line="228" w:lineRule="auto"/>
        <w:rPr>
          <w:sz w:val="20"/>
          <w:szCs w:val="20"/>
          <w:color w:val="auto"/>
        </w:rPr>
      </w:pPr>
      <w:r>
        <w:rPr>
          <w:rFonts w:ascii="Times New Roman" w:cs="Times New Roman" w:eastAsia="Times New Roman" w:hAnsi="Times New Roman"/>
          <w:sz w:val="20"/>
          <w:szCs w:val="20"/>
          <w:color w:val="auto"/>
        </w:rPr>
        <w:t>Indebtedness (not to exceed the maximum amount of such Indebtedness for which such Person could be liable) and (ii) the fair market value of the property encumbered thereby as determined by such Person in good faith. Notwithstanding anything in this definition to the contrary, Indebtedness shall be calculated without giving effect to the effects of FASB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Liabilities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Taxes</w:t>
      </w:r>
      <w:r>
        <w:rPr>
          <w:rFonts w:ascii="Times New Roman" w:cs="Times New Roman" w:eastAsia="Times New Roman" w:hAnsi="Times New Roman"/>
          <w:sz w:val="21"/>
          <w:szCs w:val="21"/>
          <w:color w:val="auto"/>
        </w:rPr>
        <w:t xml:space="preserve">” means, with respect to any Agent or any Lender, (a) all Taxes imposed on or with respect to any payment made by or on account of any obligation of the Borrower under any Loan Document other than (i) Taxes imposed on or measured by its net income (however denominated), franchise (and similar) Taxes and branch profits (and similar) Taxes, in each case, (A) imposed by a jurisdiction as a result of such recipient being organized in or having its principal office (or, in the case of any Lender, its applicable Lending Office) in such jurisdiction (or any political subdivision thereof), or (B) that are Other Connection Taxes, (ii) Taxes attributable to a Lender’s or the Administrative Agent’s failure to comply with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(iii) in the case of any Lender, any U.S. federal withholding Tax that is imposed on amounts payable to or for the account of such Lender with respect to an applicable interest in a Loan or Commitment pursuant to a Law in effect on the date on which (x) such Lender acquires such interest in the Loan or Commitment (other than pursuant to an assignment request by the Borrower under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 xml:space="preserve">) or (y) such Lender changes its applicable Lending Office, except in each case to the extent such Lender (or its assignor, if any) was entitled immediately prior to the time of designation of a new Lending Office (or assignment) to receive additional amounts or an indemnity with respect to such withholding Tax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(iv) any withholding Taxes imposed under FATCA, and (b) to the extent not otherwise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Other Taxes.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Quarterly Payment Date</w:t>
      </w:r>
      <w:r>
        <w:rPr>
          <w:rFonts w:ascii="Times New Roman" w:cs="Times New Roman" w:eastAsia="Times New Roman" w:hAnsi="Times New Roman"/>
          <w:sz w:val="21"/>
          <w:szCs w:val="21"/>
          <w:color w:val="auto"/>
        </w:rPr>
        <w:t>” means March 31, 2027.</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Term Commitment</w:t>
      </w:r>
      <w:r>
        <w:rPr>
          <w:rFonts w:ascii="Times New Roman" w:cs="Times New Roman" w:eastAsia="Times New Roman" w:hAnsi="Times New Roman"/>
          <w:sz w:val="21"/>
          <w:szCs w:val="21"/>
          <w:color w:val="auto"/>
        </w:rPr>
        <w:t xml:space="preserve">” means, as to each Lender, its obligation to make an Initial Term Loan to the Borrower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w:t>
      </w:r>
      <w:r>
        <w:rPr>
          <w:rFonts w:ascii="Times New Roman" w:cs="Times New Roman" w:eastAsia="Times New Roman" w:hAnsi="Times New Roman"/>
          <w:sz w:val="21"/>
          <w:szCs w:val="21"/>
          <w:color w:val="auto"/>
        </w:rPr>
        <w:t xml:space="preserve"> in an aggregate amount not to exceed the amount set forth opposite such Lender’s name in </w:t>
      </w:r>
      <w:r>
        <w:rPr>
          <w:rFonts w:ascii="Times New Roman" w:cs="Times New Roman" w:eastAsia="Times New Roman" w:hAnsi="Times New Roman"/>
          <w:sz w:val="21"/>
          <w:szCs w:val="21"/>
          <w:u w:val="single" w:color="auto"/>
          <w:color w:val="auto"/>
        </w:rPr>
        <w:t>Schedule 1.01A</w:t>
      </w:r>
      <w:r>
        <w:rPr>
          <w:rFonts w:ascii="Times New Roman" w:cs="Times New Roman" w:eastAsia="Times New Roman" w:hAnsi="Times New Roman"/>
          <w:sz w:val="21"/>
          <w:szCs w:val="21"/>
          <w:color w:val="auto"/>
        </w:rPr>
        <w:t xml:space="preserve"> under the caption “Initial Term Commitments” or in the Assignment and Assumption pursuant to which such Lender becomes a party hereto, as applicable, as such amount may be adjusted from time to time in accordance with this Agreement (including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The aggregate amount of the Initial Term Commitments of all Lenders on the Closing Date shall be $340,000,000.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Term Loans</w:t>
      </w:r>
      <w:r>
        <w:rPr>
          <w:rFonts w:ascii="Times New Roman" w:cs="Times New Roman" w:eastAsia="Times New Roman" w:hAnsi="Times New Roman"/>
          <w:sz w:val="21"/>
          <w:szCs w:val="21"/>
          <w:color w:val="auto"/>
        </w:rPr>
        <w:t xml:space="preserve">” means the term loans made by the Lenders on the Closing Date to the Borrower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and Fee Amounts</w:t>
      </w:r>
      <w:r>
        <w:rPr>
          <w:rFonts w:ascii="Times New Roman" w:cs="Times New Roman" w:eastAsia="Times New Roman" w:hAnsi="Times New Roman"/>
          <w:sz w:val="21"/>
          <w:szCs w:val="21"/>
          <w:color w:val="auto"/>
        </w:rPr>
        <w:t xml:space="preserve">” means all indemnities, fees, and expenses (to the extent not paid pursuant to </w:t>
      </w:r>
      <w:r>
        <w:rPr>
          <w:rFonts w:ascii="Times New Roman" w:cs="Times New Roman" w:eastAsia="Times New Roman" w:hAnsi="Times New Roman"/>
          <w:sz w:val="21"/>
          <w:szCs w:val="21"/>
          <w:u w:val="single" w:color="auto"/>
          <w:color w:val="auto"/>
        </w:rPr>
        <w:t>Section 2.15(h)(iii)</w:t>
      </w:r>
      <w:r>
        <w:rPr>
          <w:rFonts w:ascii="Times New Roman" w:cs="Times New Roman" w:eastAsia="Times New Roman" w:hAnsi="Times New Roman"/>
          <w:sz w:val="21"/>
          <w:szCs w:val="21"/>
          <w:color w:val="auto"/>
        </w:rPr>
        <w:t>), scheduled interest, commitment fees and letter of credit fees with respect to the Pari Passu Permitted Debt.</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Election Request</w:t>
      </w:r>
      <w:r>
        <w:rPr>
          <w:rFonts w:ascii="Times New Roman" w:cs="Times New Roman" w:eastAsia="Times New Roman" w:hAnsi="Times New Roman"/>
          <w:sz w:val="20"/>
          <w:szCs w:val="20"/>
          <w:color w:val="auto"/>
        </w:rPr>
        <w:t xml:space="preserve">” shall mean a request by the Borrower to convert or continue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in substantially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or such other form as shall be approved by the Administrative Agent (acting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ectPr>
          <w:pgSz w:w="11900" w:h="16838" w:orient="portrait"/>
          <w:cols w:equalWidth="0" w:num="1">
            <w:col w:w="11240"/>
          </w:cols>
          <w:pgMar w:left="320" w:top="1339" w:right="339" w:bottom="1440" w:gutter="0" w:footer="0" w:header="0"/>
        </w:sectPr>
      </w:pPr>
    </w:p>
    <w:bookmarkStart w:id="265" w:name="page266"/>
    <w:bookmarkEnd w:id="265"/>
    <w:p>
      <w:pPr>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Payment Date</w:t>
      </w:r>
      <w:r>
        <w:rPr>
          <w:rFonts w:ascii="Times New Roman" w:cs="Times New Roman" w:eastAsia="Times New Roman" w:hAnsi="Times New Roman"/>
          <w:sz w:val="21"/>
          <w:szCs w:val="21"/>
          <w:color w:val="auto"/>
        </w:rPr>
        <w:t>” means, as to any Loan, the last Business Day of each March, June, September and December and the Maturity Date of the Facility under which such Loan was made.</w:t>
      </w:r>
    </w:p>
    <w:p>
      <w:pPr>
        <w:spacing w:after="0" w:line="1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Period</w:t>
      </w:r>
      <w:r>
        <w:rPr>
          <w:rFonts w:ascii="Times New Roman" w:cs="Times New Roman" w:eastAsia="Times New Roman" w:hAnsi="Times New Roman"/>
          <w:sz w:val="21"/>
          <w:szCs w:val="21"/>
          <w:color w:val="auto"/>
        </w:rPr>
        <w:t xml:space="preserve">” means, as to each SOFR Loan, the period commencing on the date such SOFR Loan is disbursed or converted to or continued as a SOFR Loan and ending on the immediately subsequent Interest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46" w:lineRule="exact"/>
        <w:rPr>
          <w:sz w:val="20"/>
          <w:szCs w:val="20"/>
          <w:color w:val="auto"/>
        </w:rPr>
      </w:pPr>
    </w:p>
    <w:p>
      <w:pPr>
        <w:jc w:val="both"/>
        <w:ind w:left="1860" w:hanging="619"/>
        <w:spacing w:after="0" w:line="225" w:lineRule="auto"/>
        <w:tabs>
          <w:tab w:leader="none" w:pos="185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45" w:lineRule="exact"/>
        <w:rPr>
          <w:rFonts w:ascii="Times New Roman" w:cs="Times New Roman" w:eastAsia="Times New Roman" w:hAnsi="Times New Roman"/>
          <w:sz w:val="21"/>
          <w:szCs w:val="21"/>
          <w:color w:val="auto"/>
        </w:rPr>
      </w:pPr>
    </w:p>
    <w:p>
      <w:pPr>
        <w:jc w:val="both"/>
        <w:ind w:left="1860" w:hanging="619"/>
        <w:spacing w:after="0" w:line="225" w:lineRule="auto"/>
        <w:tabs>
          <w:tab w:leader="none" w:pos="1851"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Maturity Date of the Facility under which such Loan was made.</w:t>
      </w:r>
    </w:p>
    <w:p>
      <w:pPr>
        <w:spacing w:after="0" w:line="16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Rate Hedge Agreements</w:t>
      </w:r>
      <w:r>
        <w:rPr>
          <w:rFonts w:ascii="Times New Roman" w:cs="Times New Roman" w:eastAsia="Times New Roman" w:hAnsi="Times New Roman"/>
          <w:sz w:val="21"/>
          <w:szCs w:val="21"/>
          <w:color w:val="auto"/>
        </w:rPr>
        <w:t>” means any interest rate swap agreement, interest rate floor agreement, interest rate cap agreement, interest rate collar agreement, interest rate hedging agreement, other similar agreement or arrangement or any combination of the foregoing, each of which is for the purpose of hedging the interest rate exposure associated with the Borrower’s operations and not for speculative purposes,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1"/>
          <w:szCs w:val="21"/>
          <w:b w:val="1"/>
          <w:bCs w:val="1"/>
          <w:color w:val="auto"/>
        </w:rPr>
        <w:t>Master Agreement</w:t>
      </w:r>
      <w:r>
        <w:rPr>
          <w:rFonts w:ascii="Times New Roman" w:cs="Times New Roman" w:eastAsia="Times New Roman" w:hAnsi="Times New Roman"/>
          <w:sz w:val="21"/>
          <w:szCs w:val="21"/>
          <w:color w:val="auto"/>
        </w:rPr>
        <w:t>”), including any such obligations or liabilities under any Master Agreement.</w:t>
      </w:r>
    </w:p>
    <w:p>
      <w:pPr>
        <w:spacing w:after="0" w:line="14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increases or decreases in the value of such Investment.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Rights</w:t>
      </w:r>
      <w:r>
        <w:rPr>
          <w:rFonts w:ascii="Times New Roman" w:cs="Times New Roman" w:eastAsia="Times New Roman" w:hAnsi="Times New Roman"/>
          <w:sz w:val="21"/>
          <w:szCs w:val="21"/>
          <w:color w:val="auto"/>
        </w:rPr>
        <w:t>” means intellectual property rights.</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JV LLC Agreement</w:t>
      </w:r>
      <w:r>
        <w:rPr>
          <w:rFonts w:ascii="Times New Roman" w:cs="Times New Roman" w:eastAsia="Times New Roman" w:hAnsi="Times New Roman"/>
          <w:sz w:val="21"/>
          <w:szCs w:val="21"/>
          <w:color w:val="auto"/>
        </w:rPr>
        <w:t xml:space="preserve">” means the Amended and Restated Limited Liability Company Agreement of Double E Pipeline, LLC, dated as of June 26, 2019, by and among the Exxon Member, the Borrower, the Double E Joint Venture, solely for purposes of acknowledging its agreement to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therein, and any other parties thereto from time to time, as the same may be amended, restated, supplemented or otherwise modified from time to time to the extent permitted under the Loan Documents.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Kroll</w:t>
      </w:r>
      <w:r>
        <w:rPr>
          <w:rFonts w:ascii="Times New Roman" w:cs="Times New Roman" w:eastAsia="Times New Roman" w:hAnsi="Times New Roman"/>
          <w:sz w:val="21"/>
          <w:szCs w:val="21"/>
          <w:color w:val="auto"/>
        </w:rPr>
        <w:t>” means Kroll Bond Rating Agency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122</w:t>
      </w:r>
    </w:p>
    <w:p>
      <w:pPr>
        <w:sectPr>
          <w:pgSz w:w="11900" w:h="16838" w:orient="portrait"/>
          <w:cols w:equalWidth="0" w:num="1">
            <w:col w:w="11240"/>
          </w:cols>
          <w:pgMar w:left="320" w:top="1335" w:right="339" w:bottom="1440" w:gutter="0" w:footer="0" w:header="0"/>
        </w:sectPr>
      </w:pPr>
    </w:p>
    <w:bookmarkStart w:id="266" w:name="page267"/>
    <w:bookmarkEnd w:id="266"/>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Latest Maturity Date</w:t>
      </w:r>
      <w:r>
        <w:rPr>
          <w:rFonts w:ascii="Times New Roman" w:cs="Times New Roman" w:eastAsia="Times New Roman" w:hAnsi="Times New Roman"/>
          <w:sz w:val="21"/>
          <w:szCs w:val="21"/>
          <w:color w:val="auto"/>
        </w:rPr>
        <w:t>” means, at any date of determination, unless otherwise specified to apply to a specific Class of Loans or Commitments, the latest Maturity Date applicable to any Loan or Commitment hereunder at such time, including the latest maturity date of any Incremental Term Loans, in each case as extended in accordance with this Agreement from time to time.</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means, collectively, all international, foreign, federal, state and local statutes, treaties, rules, legally binding guidelines, regulations, ordinances, codes and administrative or judicial precedents, orders, decrees, injunctions or authorities, including the legally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shall mean each Initial Term Loan Lender, each Delayed Draw Lender and each Incremental Lender, other than any such Person that ceases to be a party hereto pursuant to an Assignment and Acceptance, excluding, for the avoidance of doubt, any Disqualified Lender.</w:t>
      </w:r>
    </w:p>
    <w:p>
      <w:pPr>
        <w:spacing w:after="0" w:line="14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Default</w:t>
      </w:r>
      <w:r>
        <w:rPr>
          <w:rFonts w:ascii="Times New Roman" w:cs="Times New Roman" w:eastAsia="Times New Roman" w:hAnsi="Times New Roman"/>
          <w:sz w:val="20"/>
          <w:szCs w:val="20"/>
          <w:color w:val="auto"/>
        </w:rPr>
        <w:t xml:space="preserve">” means (a) the refusal (which may be given verbally or in writing and has not been retracted) or failure of any Lender to make available its portion of any incurrence of any loans or reimbursement obligations required to be made by it, which refusal or failure is not cured within five (5) Business Days after the date of such refusal or failure; (b) the failure of any Lender to pay over to the Administrative Agent or any other Lender any other amount required to be paid by it hereunder within five (5) Business Days of the date when due, unless subject to a good faith dispute; (c) a Lender has notified the Borrower or the Administrative Agent that it does not intend to comply with its funding obligations, or has made a public statement to that effect with respect to its funding obligations, under any Facility or under other agreements generally in which it commits to extend credit; (d) a Lender has failed, within five (5) Business Days after request by the Administrative Agent, to confirm that it will comply with its funding obligations under any Facility or to deny that it is insolvent; or (e) a Lender has admitted in writing that it is insolvent or such Lender becomes subject to a Lender-Related Distress Event. Any determination by the Administrative Agent that a Lender Default has occurred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above shall be conclusive and binding absent manifest error, and the applicable Lender shall be deemed to be a Defaulting Lender (subject to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 xml:space="preserve"> upon delivery of written notice of such determination to the Borrower and each Lender).</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Lender-Related Distress Event</w:t>
      </w:r>
      <w:r>
        <w:rPr>
          <w:rFonts w:ascii="Times New Roman" w:cs="Times New Roman" w:eastAsia="Times New Roman" w:hAnsi="Times New Roman"/>
          <w:sz w:val="21"/>
          <w:szCs w:val="21"/>
          <w:color w:val="auto"/>
        </w:rPr>
        <w:t>” means, with respect to any Lender or any Person that directly or indirectly controls such Lender (each, a “</w:t>
      </w:r>
      <w:r>
        <w:rPr>
          <w:rFonts w:ascii="Times New Roman" w:cs="Times New Roman" w:eastAsia="Times New Roman" w:hAnsi="Times New Roman"/>
          <w:sz w:val="21"/>
          <w:szCs w:val="21"/>
          <w:b w:val="1"/>
          <w:bCs w:val="1"/>
          <w:color w:val="auto"/>
        </w:rPr>
        <w:t>Distressed Person</w:t>
      </w:r>
      <w:r>
        <w:rPr>
          <w:rFonts w:ascii="Times New Roman" w:cs="Times New Roman" w:eastAsia="Times New Roman" w:hAnsi="Times New Roman"/>
          <w:sz w:val="21"/>
          <w:szCs w:val="21"/>
          <w:color w:val="auto"/>
        </w:rPr>
        <w:t xml:space="preserve">”), as the case may be,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Lender-Related Distress Event shall not be deemed to have occurred solely by virtue of (i) the ownership or acquisition of any equity interests in any Lender or any Person that directly or indirectly controls such Lender by a Governmental Authority or an instrumentality thereof or (ii) Undisclosed Administration.</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Lending Office</w:t>
      </w:r>
      <w:r>
        <w:rPr>
          <w:rFonts w:ascii="Times New Roman" w:cs="Times New Roman" w:eastAsia="Times New Roman" w:hAnsi="Times New Roman"/>
          <w:sz w:val="21"/>
          <w:szCs w:val="21"/>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123</w:t>
      </w:r>
    </w:p>
    <w:p>
      <w:pPr>
        <w:sectPr>
          <w:pgSz w:w="11900" w:h="16838" w:orient="portrait"/>
          <w:cols w:equalWidth="0" w:num="1">
            <w:col w:w="11240"/>
          </w:cols>
          <w:pgMar w:left="320" w:top="1335" w:right="339" w:bottom="1440" w:gutter="0" w:footer="0" w:header="0"/>
        </w:sectPr>
      </w:pPr>
    </w:p>
    <w:bookmarkStart w:id="267" w:name="page268"/>
    <w:bookmarkEnd w:id="267"/>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means any mortgage, deed of trust, pledge, hypothecation, assignment, deposit arrangement, encumbrance, lien (statutory or other), charge, or preference, lease, license, sublease, option, right of first refusal, right of first offer, priority or other security interest or preferential arrangement of any kind or nature whatsoever (including any conditional, installment, contingent sale or other title retention agreement, any easement, covenant, condition, restriction, defect, encroachment, right of way or other encumbrance on title to Real Property, and any Capitalized Lease having substantially the same economic effect as any of the foregoing).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w:t>
      </w:r>
      <w:r>
        <w:rPr>
          <w:rFonts w:ascii="Times New Roman" w:cs="Times New Roman" w:eastAsia="Times New Roman" w:hAnsi="Times New Roman"/>
          <w:sz w:val="21"/>
          <w:szCs w:val="21"/>
          <w:color w:val="auto"/>
        </w:rPr>
        <w:t>” means the Term Loans.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 Documents</w:t>
      </w:r>
      <w:r>
        <w:rPr>
          <w:rFonts w:ascii="Times New Roman" w:cs="Times New Roman" w:eastAsia="Times New Roman" w:hAnsi="Times New Roman"/>
          <w:sz w:val="21"/>
          <w:szCs w:val="21"/>
          <w:color w:val="auto"/>
        </w:rPr>
        <w:t>” means, collectively, (a) this Agreement, (b) the Notes, (c) the Collateral Documents, (d) the First Lien Intercreditor Agreement, (e) the Fee Letter and (f) any Incremental Amendment.</w:t>
      </w:r>
    </w:p>
    <w:p>
      <w:pPr>
        <w:spacing w:after="0" w:line="14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Make-Whole Amount</w:t>
      </w:r>
      <w:r>
        <w:rPr>
          <w:rFonts w:ascii="Times New Roman" w:cs="Times New Roman" w:eastAsia="Times New Roman" w:hAnsi="Times New Roman"/>
          <w:sz w:val="21"/>
          <w:szCs w:val="21"/>
          <w:color w:val="auto"/>
        </w:rPr>
        <w:t xml:space="preserve">” shall mean, at the time of computation, an amount equal to the present value of the aggregate interest and scheduled principal amounts that would have accrued and been due and payable hereunder on the portion of any Loan being repaid or prepaid or which is accelerated at such time from the date of such repayment or prepayment through and including the end of the Make-Whole Period calculated using an interest rate equal to the applicable interest rate for SOFR Loans in effect on the third Business Day prior to such prepayment and discounted to the date of repayment or prepayment at a rate equal to the rate applicable to U.S. Treasury securities with similar maturities to such payments plus 0.50%;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the Make-Whole Amount may in no event be less than zero. For the avoidance of doubt, the Administrative Agent shall not be required to calculate, verify or determine the Make-Whole Amount.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Make-Whole Period</w:t>
      </w:r>
      <w:r>
        <w:rPr>
          <w:rFonts w:ascii="Times New Roman" w:cs="Times New Roman" w:eastAsia="Times New Roman" w:hAnsi="Times New Roman"/>
          <w:sz w:val="21"/>
          <w:szCs w:val="21"/>
          <w:color w:val="auto"/>
        </w:rPr>
        <w:t>” shall mean the period beginning on the Closing Date and ending on March 16,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Margin Stock</w:t>
      </w:r>
      <w:r>
        <w:rPr>
          <w:rFonts w:ascii="Times New Roman" w:cs="Times New Roman" w:eastAsia="Times New Roman" w:hAnsi="Times New Roman"/>
          <w:sz w:val="21"/>
          <w:szCs w:val="21"/>
          <w:color w:val="auto"/>
        </w:rPr>
        <w:t>” has the meaning set forth in Regulation U issued by the FRB.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Master Agreement</w:t>
      </w:r>
      <w:r>
        <w:rPr>
          <w:rFonts w:ascii="Times New Roman" w:cs="Times New Roman" w:eastAsia="Times New Roman" w:hAnsi="Times New Roman"/>
          <w:sz w:val="21"/>
          <w:szCs w:val="21"/>
          <w:color w:val="auto"/>
        </w:rPr>
        <w:t>” has the meaning set forth in the definition of “Interest Rate Hedge Agreement”.</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means a material adverse effect on (i) the business, operations, assets, liabilities (actual or contingent) or financial condition of the Borrower (or, if expressly provided herein, of the Double E Joint Venture), (ii) the ability of the Borrower to fully and timely perform its payment obligations under the Loan Documents, (iii) the material rights and remedies available to the Lenders and Agents, taken as a whole under the Loan Documents or (iv) the impairment of the validity, priority or perfection of the Secured Parties’ security interests in and Liens on the Collateral (subject to Permitted Liens).</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Contract</w:t>
      </w:r>
      <w:r>
        <w:rPr>
          <w:rFonts w:ascii="Times New Roman" w:cs="Times New Roman" w:eastAsia="Times New Roman" w:hAnsi="Times New Roman"/>
          <w:sz w:val="21"/>
          <w:szCs w:val="21"/>
          <w:color w:val="auto"/>
        </w:rPr>
        <w:t>” means each Transportation Agreement, and each Capacity Lease Agreement, in each case to which the Double E Joint Venture is a party as of the Closing Date, including the Transwestern Agreement and the Producers Midstream Agreement.</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Contract Payments</w:t>
      </w:r>
      <w:r>
        <w:rPr>
          <w:rFonts w:ascii="Times New Roman" w:cs="Times New Roman" w:eastAsia="Times New Roman" w:hAnsi="Times New Roman"/>
          <w:sz w:val="21"/>
          <w:szCs w:val="21"/>
          <w:color w:val="auto"/>
        </w:rPr>
        <w:t xml:space="preserve">” means all termination payments under any Material Contract paid in favor of the Double E Joint Venture;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termination payment shall become a “Material Contract Payment” if and only for so long as (a) the Material Contract with respect to which such termination payment was received is replaced on substantially similar terms within 180 days of termination thereof, and (b) during such 180-day period, such termination payment is held at all times in a Collateral Account (it being understood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124</w:t>
      </w:r>
    </w:p>
    <w:p>
      <w:pPr>
        <w:sectPr>
          <w:pgSz w:w="11900" w:h="16838" w:orient="portrait"/>
          <w:cols w:equalWidth="0" w:num="1">
            <w:col w:w="11240"/>
          </w:cols>
          <w:pgMar w:left="320" w:top="1335" w:right="339" w:bottom="1440" w:gutter="0" w:footer="0" w:header="0"/>
        </w:sectPr>
      </w:pPr>
    </w:p>
    <w:bookmarkStart w:id="268" w:name="page269"/>
    <w:bookmarkEnd w:id="268"/>
    <w:p>
      <w:pPr>
        <w:jc w:val="both"/>
        <w:spacing w:after="0" w:line="235" w:lineRule="auto"/>
        <w:rPr>
          <w:sz w:val="20"/>
          <w:szCs w:val="20"/>
          <w:color w:val="auto"/>
        </w:rPr>
      </w:pPr>
      <w:r>
        <w:rPr>
          <w:rFonts w:ascii="Times New Roman" w:cs="Times New Roman" w:eastAsia="Times New Roman" w:hAnsi="Times New Roman"/>
          <w:sz w:val="21"/>
          <w:szCs w:val="21"/>
          <w:color w:val="auto"/>
        </w:rPr>
        <w:t>termination payment shall not constitute a “Material Contract Payment” until the date that is 180 days following termination of such Material Contract).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Disposition</w:t>
      </w:r>
      <w:r>
        <w:rPr>
          <w:rFonts w:ascii="Times New Roman" w:cs="Times New Roman" w:eastAsia="Times New Roman" w:hAnsi="Times New Roman"/>
          <w:sz w:val="21"/>
          <w:szCs w:val="21"/>
          <w:color w:val="auto"/>
        </w:rPr>
        <w:t>” means any Disposition by the Double E Joint Venture, in each case for which the purchase price exceeds $5,000,000 or for which, in the aggregate with each other such Disposition occurring in the twelve (12) months prior to the date of such Disposition, the purchase price (together with all such purchase prices) exceeds $25,000,000 during such period.</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Permits</w:t>
      </w:r>
      <w:r>
        <w:rPr>
          <w:rFonts w:ascii="Times New Roman" w:cs="Times New Roman" w:eastAsia="Times New Roman" w:hAnsi="Times New Roman"/>
          <w:sz w:val="21"/>
          <w:szCs w:val="21"/>
          <w:color w:val="auto"/>
        </w:rPr>
        <w:t xml:space="preserve">” means any and all material Permits necessary in the normal conduct of the Borrower’s and the Double E Joint Venture’s business, which as of the Closing Date are listed in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Maturity Date</w:t>
      </w:r>
      <w:r>
        <w:rPr>
          <w:rFonts w:ascii="Times New Roman" w:cs="Times New Roman" w:eastAsia="Times New Roman" w:hAnsi="Times New Roman"/>
          <w:sz w:val="21"/>
          <w:szCs w:val="21"/>
          <w:color w:val="auto"/>
        </w:rPr>
        <w:t xml:space="preserve">” means the earlier of (1) (a) with respect to the Initial Term Loans and the Delayed Draw Term Loans, March 17, 2031, and (b) with respect to any Incremental Term Loans, the final maturity date applicable thereto as specified in the applicable Incremental Amendment and (2) such earlier date on which the entire outstanding principal balance of the applicable Loans, together with all unpaid interest, fees, charges and costs, become due and payable, as applicable, under this Agreement or the applicable Incremental Amendment;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in each case, that if such date is not a Business Day, then the applicable Maturity Date shall be the next succeeding Business Day.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Maximum Rate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10.10</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Moody’s</w:t>
      </w:r>
      <w:r>
        <w:rPr>
          <w:rFonts w:ascii="Times New Roman" w:cs="Times New Roman" w:eastAsia="Times New Roman" w:hAnsi="Times New Roman"/>
          <w:sz w:val="21"/>
          <w:szCs w:val="21"/>
          <w:color w:val="auto"/>
        </w:rPr>
        <w:t>” means Moody’s Investors Service, Inc. and any successor thereto.</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Multiemployer Plan</w:t>
      </w:r>
      <w:r>
        <w:rPr>
          <w:rFonts w:ascii="Times New Roman" w:cs="Times New Roman" w:eastAsia="Times New Roman" w:hAnsi="Times New Roman"/>
          <w:sz w:val="21"/>
          <w:szCs w:val="21"/>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 if liability to the Borrower remains.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Proceeds</w:t>
      </w:r>
      <w:r>
        <w:rPr>
          <w:rFonts w:ascii="Times New Roman" w:cs="Times New Roman" w:eastAsia="Times New Roman" w:hAnsi="Times New Roman"/>
          <w:sz w:val="21"/>
          <w:szCs w:val="21"/>
          <w:color w:val="auto"/>
        </w:rPr>
        <w:t>” means:</w:t>
      </w:r>
    </w:p>
    <w:p>
      <w:pPr>
        <w:spacing w:after="0" w:line="175" w:lineRule="exact"/>
        <w:rPr>
          <w:sz w:val="20"/>
          <w:szCs w:val="20"/>
          <w:color w:val="auto"/>
        </w:rPr>
      </w:pPr>
    </w:p>
    <w:p>
      <w:pPr>
        <w:jc w:val="both"/>
        <w:ind w:left="620" w:hanging="617"/>
        <w:spacing w:after="0" w:line="208" w:lineRule="auto"/>
        <w:tabs>
          <w:tab w:leader="none" w:pos="617"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one hundred percent (100%) of the cash proceeds actually received by the Borrower (including cash in the form of dividends or similar distributions from the Double E Joint Venture and any cash payments received by way of deferred payment of principal pursuant to a note or installment receivable or purchase price adjustment receivable) or any of its Affiliates (other than the Double E Joint Venture) from any Disposition (including any Material Disposition and any Equity Sale) or Casualty Event, net of (i) reasonable, out-of-pocket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Borrower in connection therewith, (ii) the principal amount, premium or penalty, if any, interest and other amounts on any Indebtedness that is secured by a Lien (other than a Lien that ranks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or subordinated to the Liens securing the Obligations) on the asset subject to such Disposition or Casualty Event and that is required to be repaid (and is timely repaid) in connection with such Disposition or Casualty Event (other than Indebtedness under the Loan Documents), (iii) taxes paid or reasonably estimated to be payable as a result thereof, and (iv) the amount of any reasonable reserve established in accordance with GAAP against any adjustment to the sale price or any liabilities (other than any taxes deducted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(x) related to any of the applicable assets and (y) retained by the Borrower including, without limitation, liabilities related to environmental matters or against any indemnification obligations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amount of any subsequent reduction of such reserve (other than in connection with a payment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125</w:t>
      </w:r>
    </w:p>
    <w:p>
      <w:pPr>
        <w:sectPr>
          <w:pgSz w:w="11900" w:h="16838" w:orient="portrait"/>
          <w:cols w:equalWidth="0" w:num="1">
            <w:col w:w="11240"/>
          </w:cols>
          <w:pgMar w:left="320" w:top="1339" w:right="339" w:bottom="1440" w:gutter="0" w:footer="0" w:header="0"/>
        </w:sectPr>
      </w:pPr>
    </w:p>
    <w:bookmarkStart w:id="269" w:name="page270"/>
    <w:bookmarkEnd w:id="269"/>
    <w:p>
      <w:pPr>
        <w:ind w:left="620"/>
        <w:spacing w:after="0" w:line="235" w:lineRule="auto"/>
        <w:rPr>
          <w:sz w:val="20"/>
          <w:szCs w:val="20"/>
          <w:color w:val="auto"/>
        </w:rPr>
      </w:pPr>
      <w:r>
        <w:rPr>
          <w:rFonts w:ascii="Times New Roman" w:cs="Times New Roman" w:eastAsia="Times New Roman" w:hAnsi="Times New Roman"/>
          <w:sz w:val="21"/>
          <w:szCs w:val="21"/>
          <w:color w:val="auto"/>
        </w:rPr>
        <w:t>of any such liability) shall be deemed to be Net Proceeds of such Disposition or Casualty Event occurring on the date of such reduction);</w:t>
      </w:r>
    </w:p>
    <w:p>
      <w:pPr>
        <w:spacing w:after="0" w:line="146" w:lineRule="exact"/>
        <w:rPr>
          <w:sz w:val="20"/>
          <w:szCs w:val="20"/>
          <w:color w:val="auto"/>
        </w:rPr>
      </w:pPr>
    </w:p>
    <w:p>
      <w:pPr>
        <w:jc w:val="both"/>
        <w:ind w:left="620" w:hanging="617"/>
        <w:spacing w:after="0" w:line="220" w:lineRule="auto"/>
        <w:tabs>
          <w:tab w:leader="none" w:pos="616"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hundred percent (100%) of the cash proceeds from the incurrence, issuance or sale by the Borrower of any Indebtedness, net of all taxes paid or reasonably estimated to be payable as a result thereof and fees (including investment banking fees and discounts), commissions, costs and other expenses, in each case incurred in connection with such incurrence, issuance or sale; and</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17"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hundred percent (100%) of the cash proceeds (including cash distributed by the Double E Joint Venture) from any Material Contract Payment, net of all taxes paid or reasonably estimated to be payable as a result thereof and fees, costs and other expenses, in each case incurred in connection with such Material Contract Payment;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for purposes of calculating the amount of Net Proceeds, fees, commissions and other costs and expenses payable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Borrower shall be disregarded.</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Non-Capitalized Lease Obligation</w:t>
      </w:r>
      <w:r>
        <w:rPr>
          <w:rFonts w:ascii="Times New Roman" w:cs="Times New Roman" w:eastAsia="Times New Roman" w:hAnsi="Times New Roman"/>
          <w:sz w:val="21"/>
          <w:szCs w:val="21"/>
          <w:color w:val="auto"/>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Non-Capitalized Lease Obligation.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Non-Consenting Lender</w:t>
      </w:r>
      <w:r>
        <w:rPr>
          <w:rFonts w:ascii="Times New Roman" w:cs="Times New Roman" w:eastAsia="Times New Roman" w:hAnsi="Times New Roman"/>
          <w:sz w:val="21"/>
          <w:szCs w:val="21"/>
          <w:color w:val="auto"/>
        </w:rPr>
        <w:t>” has the meaning set forth in Section 3.07(c).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Non-Defaulting Lender</w:t>
      </w:r>
      <w:r>
        <w:rPr>
          <w:rFonts w:ascii="Times New Roman" w:cs="Times New Roman" w:eastAsia="Times New Roman" w:hAnsi="Times New Roman"/>
          <w:sz w:val="21"/>
          <w:szCs w:val="21"/>
          <w:color w:val="auto"/>
        </w:rPr>
        <w:t>” means, at any time, a Lender that is not a Defaulting Lender.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Note</w:t>
      </w:r>
      <w:r>
        <w:rPr>
          <w:rFonts w:ascii="Times New Roman" w:cs="Times New Roman" w:eastAsia="Times New Roman" w:hAnsi="Times New Roman"/>
          <w:sz w:val="21"/>
          <w:szCs w:val="21"/>
          <w:color w:val="auto"/>
        </w:rPr>
        <w:t>” means a Term Note.</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Nuveen Incremental Term Commitments</w:t>
      </w:r>
      <w:r>
        <w:rPr>
          <w:rFonts w:ascii="Times New Roman" w:cs="Times New Roman" w:eastAsia="Times New Roman" w:hAnsi="Times New Roman"/>
          <w:sz w:val="21"/>
          <w:szCs w:val="21"/>
          <w:color w:val="auto"/>
        </w:rPr>
        <w:t xml:space="preserve">” means commitments provided by any Lender party to this Agreement on the Closing Date (together with such Lenders’ Affiliates, limited partners or Approved Funds) to provide Incremental Term Loans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which shall be no more than $50,000,000. On the Closing Date, the Nuveen Incremental Term Commitments are $0.</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Nuveen Incremental Term Facility</w:t>
      </w:r>
      <w:r>
        <w:rPr>
          <w:rFonts w:ascii="Times New Roman" w:cs="Times New Roman" w:eastAsia="Times New Roman" w:hAnsi="Times New Roman"/>
          <w:sz w:val="21"/>
          <w:szCs w:val="21"/>
          <w:color w:val="auto"/>
        </w:rPr>
        <w:t xml:space="preserve">” means the additional term loan facility provided by the existing Lenders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Nuveen Incremental Term Facility Availability Period</w:t>
      </w:r>
      <w:r>
        <w:rPr>
          <w:rFonts w:ascii="Times New Roman" w:cs="Times New Roman" w:eastAsia="Times New Roman" w:hAnsi="Times New Roman"/>
          <w:sz w:val="21"/>
          <w:szCs w:val="21"/>
          <w:color w:val="auto"/>
        </w:rPr>
        <w:t>” means shall mean the period beginning on the closing date of the Nuveen Incremental Term Facility and ending on March 16, 2029.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Nuveen Incremental Term Loan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NYFRB</w:t>
      </w:r>
      <w:r>
        <w:rPr>
          <w:rFonts w:ascii="Times New Roman" w:cs="Times New Roman" w:eastAsia="Times New Roman" w:hAnsi="Times New Roman"/>
          <w:sz w:val="21"/>
          <w:szCs w:val="21"/>
          <w:color w:val="auto"/>
        </w:rPr>
        <w:t>” means the Federal Reserve Bank of New York.</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NYFRB Rate</w:t>
      </w:r>
      <w:r>
        <w:rPr>
          <w:rFonts w:ascii="Times New Roman" w:cs="Times New Roman" w:eastAsia="Times New Roman" w:hAnsi="Times New Roman"/>
          <w:sz w:val="21"/>
          <w:szCs w:val="21"/>
          <w:color w:val="auto"/>
        </w:rPr>
        <w:t>” means, for any day, the greater of (a) the Federal Funds Rate in effect on such day and (b) the Overnight Bank Funding Rate in effect on such day (or for any day that is not a Business Day, for the immediately preceding Business Day).</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O&amp;M Agreement</w:t>
      </w:r>
      <w:r>
        <w:rPr>
          <w:rFonts w:ascii="Times New Roman" w:cs="Times New Roman" w:eastAsia="Times New Roman" w:hAnsi="Times New Roman"/>
          <w:sz w:val="21"/>
          <w:szCs w:val="21"/>
          <w:color w:val="auto"/>
        </w:rPr>
        <w:t>” means the Operations and Maintenance Agreement, dated as of June 26, 2019, between Summit Permian Transmission II, LLC and the Double E Joint Venture.</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 means all advances to, and debts, liabilities, obligations, covenants and duties of, the Borrower arising under any Loan Document or otherwise with respect to any Loan,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126</w:t>
      </w:r>
    </w:p>
    <w:p>
      <w:pPr>
        <w:sectPr>
          <w:pgSz w:w="11900" w:h="16838" w:orient="portrait"/>
          <w:cols w:equalWidth="0" w:num="1">
            <w:col w:w="11240"/>
          </w:cols>
          <w:pgMar w:left="320" w:top="1339" w:right="339" w:bottom="1440" w:gutter="0" w:footer="0" w:header="0"/>
        </w:sectPr>
      </w:pPr>
    </w:p>
    <w:bookmarkStart w:id="270" w:name="page271"/>
    <w:bookmarkEnd w:id="270"/>
    <w:p>
      <w:pPr>
        <w:jc w:val="both"/>
        <w:spacing w:after="0" w:line="213" w:lineRule="auto"/>
        <w:rPr>
          <w:sz w:val="20"/>
          <w:szCs w:val="20"/>
          <w:color w:val="auto"/>
        </w:rPr>
      </w:pPr>
      <w:r>
        <w:rPr>
          <w:rFonts w:ascii="Times New Roman" w:cs="Times New Roman" w:eastAsia="Times New Roman" w:hAnsi="Times New Roman"/>
          <w:sz w:val="21"/>
          <w:szCs w:val="21"/>
          <w:color w:val="auto"/>
        </w:rPr>
        <w:t>direct or indirect (including those acquired by assumption), absolute or contingent, due or to become due, now existing or hereafter arising and including interest and fees that accrue after the commencement by or against the Borrower of any proceeding under any Debtor Relief Laws naming such Person as the debtor in such proceeding, regardless of whether such interest and fees are allowed claims in such proceeding. Without limiting the generality of the foregoing, the Obligations of the Borrower under the Loan Documents include the obligation to pay principal, interest, reimbursement obligations, charges, expenses, fees, Attorney Costs, indemnities and other amounts payable by the Borrower under any Loan Document, in each such case, to the extent that any of the foregoing are required to be paid under the Loan Documents.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OID</w:t>
      </w:r>
      <w:r>
        <w:rPr>
          <w:rFonts w:ascii="Times New Roman" w:cs="Times New Roman" w:eastAsia="Times New Roman" w:hAnsi="Times New Roman"/>
          <w:sz w:val="21"/>
          <w:szCs w:val="21"/>
          <w:color w:val="auto"/>
        </w:rPr>
        <w:t>” means original issue discount.</w:t>
      </w:r>
    </w:p>
    <w:p>
      <w:pPr>
        <w:spacing w:after="0" w:line="17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Operating Expenses</w:t>
      </w:r>
      <w:r>
        <w:rPr>
          <w:rFonts w:ascii="Times New Roman" w:cs="Times New Roman" w:eastAsia="Times New Roman" w:hAnsi="Times New Roman"/>
          <w:sz w:val="21"/>
          <w:szCs w:val="21"/>
          <w:color w:val="auto"/>
        </w:rPr>
        <w:t>” means operating costs and expenses of the Borrower and its other administrative, management and overhead costs and expenses (including (a) franchise and similar taxes and other fees, direct taxes and expenses, in each case, required to maintain its corporate existence, (b) indemnity payments in connection with its management and maintenance, (c) amounts relating to insurance (including the costs of premiums and deductibles and brokers’ expenses), (d) amounts related to obtaining and maintaining any approval from any Governmental Authority and (e) legal, accounting, general administrative and other overhead costs and expenses and professional fees). For the avoidance of doubt, Operating Expenses shall not include (i) income taxes, (ii) depreciation or amortization and other non-cash charges and (iii) any expenses of Double E Joint Venture.</w:t>
      </w:r>
    </w:p>
    <w:p>
      <w:pPr>
        <w:spacing w:after="0" w:line="14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Organization Documents</w:t>
      </w:r>
      <w:r>
        <w:rPr>
          <w:rFonts w:ascii="Times New Roman" w:cs="Times New Roman" w:eastAsia="Times New Roman" w:hAnsi="Times New Roman"/>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Debt Representative</w:t>
      </w:r>
      <w:r>
        <w:rPr>
          <w:rFonts w:ascii="Times New Roman" w:cs="Times New Roman" w:eastAsia="Times New Roman" w:hAnsi="Times New Roman"/>
          <w:sz w:val="21"/>
          <w:szCs w:val="21"/>
          <w:color w:val="auto"/>
        </w:rPr>
        <w:t>” means, with respect to any series of Incremental Equivalent Debt, the trustee, administrative agent, collateral agent, security agent or similar agent under the indenture or agreement pursuant to which such Indebtedness is issued, incurred or otherwise obtained, as the case may be, and in the case each of their successors and assigns in such capacities.</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Connection Taxes</w:t>
      </w:r>
      <w:r>
        <w:rPr>
          <w:rFonts w:ascii="Times New Roman" w:cs="Times New Roman" w:eastAsia="Times New Roman" w:hAnsi="Times New Roman"/>
          <w:sz w:val="21"/>
          <w:szCs w:val="21"/>
          <w:color w:val="auto"/>
        </w:rPr>
        <w:t>” means,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127</w:t>
      </w:r>
    </w:p>
    <w:p>
      <w:pPr>
        <w:sectPr>
          <w:pgSz w:w="11900" w:h="16838" w:orient="portrait"/>
          <w:cols w:equalWidth="0" w:num="1">
            <w:col w:w="11240"/>
          </w:cols>
          <w:pgMar w:left="320" w:top="1339"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1"/>
          <w:szCs w:val="21"/>
          <w:color w:val="auto"/>
        </w:rPr>
        <w:t xml:space="preserve">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3.07</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Outstanding Amount</w:t>
      </w:r>
      <w:r>
        <w:rPr>
          <w:rFonts w:ascii="Times New Roman" w:cs="Times New Roman" w:eastAsia="Times New Roman" w:hAnsi="Times New Roman"/>
          <w:sz w:val="21"/>
          <w:szCs w:val="21"/>
          <w:color w:val="auto"/>
        </w:rPr>
        <w:t>” means the aggregate outstanding principal amount thereof after giving effect to any borrowings and prepayments or repayments of Term Loans occurring on such date.</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Overnight Bank Funding Rate</w:t>
      </w:r>
      <w:r>
        <w:rPr>
          <w:rFonts w:ascii="Times New Roman" w:cs="Times New Roman" w:eastAsia="Times New Roman" w:hAnsi="Times New Roman"/>
          <w:sz w:val="21"/>
          <w:szCs w:val="21"/>
          <w:color w:val="auto"/>
        </w:rPr>
        <w:t>”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Pari Passu Permitted Debt</w:t>
      </w:r>
      <w:r>
        <w:rPr>
          <w:rFonts w:ascii="Times New Roman" w:cs="Times New Roman" w:eastAsia="Times New Roman" w:hAnsi="Times New Roman"/>
          <w:sz w:val="21"/>
          <w:szCs w:val="21"/>
          <w:color w:val="auto"/>
        </w:rPr>
        <w:t>” means the Obligations and any Additional Pari Passu Permitted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 Register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9.01(f)(i)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9.01(f)(ii)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in Full</w:t>
      </w:r>
      <w:r>
        <w:rPr>
          <w:rFonts w:ascii="Times New Roman" w:cs="Times New Roman" w:eastAsia="Times New Roman" w:hAnsi="Times New Roman"/>
          <w:sz w:val="21"/>
          <w:szCs w:val="21"/>
          <w:color w:val="auto"/>
        </w:rPr>
        <w:t>” means the payment in full in cash of the Loans and all other Obligations (other than contingent reimbursement obligations) that are accrued and payable and the termination of the Commitments.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or Bankruptcy Default</w:t>
      </w:r>
      <w:r>
        <w:rPr>
          <w:rFonts w:ascii="Times New Roman" w:cs="Times New Roman" w:eastAsia="Times New Roman" w:hAnsi="Times New Roman"/>
          <w:sz w:val="21"/>
          <w:szCs w:val="21"/>
          <w:color w:val="auto"/>
        </w:rPr>
        <w:t xml:space="preserve">” means an Event of Default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PBGC</w:t>
      </w:r>
      <w:r>
        <w:rPr>
          <w:rFonts w:ascii="Times New Roman" w:cs="Times New Roman" w:eastAsia="Times New Roman" w:hAnsi="Times New Roman"/>
          <w:sz w:val="21"/>
          <w:szCs w:val="21"/>
          <w:color w:val="auto"/>
        </w:rPr>
        <w:t>” means the Pension Benefit Guaranty Corporation.</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Pension Plan</w:t>
      </w:r>
      <w:r>
        <w:rPr>
          <w:rFonts w:ascii="Times New Roman" w:cs="Times New Roman" w:eastAsia="Times New Roman" w:hAnsi="Times New Roman"/>
          <w:sz w:val="21"/>
          <w:szCs w:val="21"/>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(5) plan years if liability to the Borrower remains.</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w:t>
      </w:r>
      <w:r>
        <w:rPr>
          <w:rFonts w:ascii="Times New Roman" w:cs="Times New Roman" w:eastAsia="Times New Roman" w:hAnsi="Times New Roman"/>
          <w:sz w:val="21"/>
          <w:szCs w:val="21"/>
          <w:color w:val="auto"/>
        </w:rPr>
        <w:t>” means any and all licenses, permits, approvals, certifications, registrations, authorizations, exemptions, qualifications and approvals required to be obtained from a Governmental Authority under any Laws.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Debt</w:t>
      </w:r>
      <w:r>
        <w:rPr>
          <w:rFonts w:ascii="Times New Roman" w:cs="Times New Roman" w:eastAsia="Times New Roman" w:hAnsi="Times New Roman"/>
          <w:sz w:val="21"/>
          <w:szCs w:val="21"/>
          <w:color w:val="auto"/>
        </w:rPr>
        <w:t>” means:</w:t>
      </w:r>
    </w:p>
    <w:p>
      <w:pPr>
        <w:spacing w:after="0" w:line="175" w:lineRule="exact"/>
        <w:rPr>
          <w:sz w:val="20"/>
          <w:szCs w:val="20"/>
          <w:color w:val="auto"/>
        </w:rPr>
      </w:pPr>
    </w:p>
    <w:p>
      <w:pPr>
        <w:ind w:left="620" w:hanging="617"/>
        <w:spacing w:after="0"/>
        <w:tabs>
          <w:tab w:leader="none" w:pos="62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under the Loan Documents;</w:t>
      </w:r>
    </w:p>
    <w:p>
      <w:pPr>
        <w:spacing w:after="0" w:line="17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outstanding (or expected to be drawn) on the Closing Date and listed on </w:t>
      </w:r>
      <w:r>
        <w:rPr>
          <w:rFonts w:ascii="Times New Roman" w:cs="Times New Roman" w:eastAsia="Times New Roman" w:hAnsi="Times New Roman"/>
          <w:sz w:val="21"/>
          <w:szCs w:val="21"/>
          <w:u w:val="single" w:color="auto"/>
          <w:color w:val="auto"/>
        </w:rPr>
        <w:t>Schedule 7.02</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620" w:hanging="617"/>
        <w:spacing w:after="0" w:line="254" w:lineRule="auto"/>
        <w:tabs>
          <w:tab w:leader="none" w:pos="6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the form of subordinated loans or notes issued by one or more of the Sponsors or their respective Subsidiaries, in each case, that by its terms is fully subordinated in right of payment to the Indebtedness incurred pursuant to clauses (a)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128</w:t>
      </w:r>
    </w:p>
    <w:p>
      <w:pPr>
        <w:sectPr>
          <w:pgSz w:w="11900" w:h="16838" w:orient="portrait"/>
          <w:cols w:equalWidth="0" w:num="1">
            <w:col w:w="11240"/>
          </w:cols>
          <w:pgMar w:left="320" w:top="1339" w:right="339" w:bottom="1440" w:gutter="0" w:footer="0" w:header="0"/>
        </w:sectPr>
      </w:pPr>
    </w:p>
    <w:bookmarkStart w:id="272" w:name="page273"/>
    <w:bookmarkEnd w:id="272"/>
    <w:p>
      <w:pPr>
        <w:ind w:left="620"/>
        <w:spacing w:after="0"/>
        <w:rPr>
          <w:sz w:val="20"/>
          <w:szCs w:val="20"/>
          <w:color w:val="auto"/>
        </w:rPr>
      </w:pPr>
      <w:r>
        <w:rPr>
          <w:rFonts w:ascii="Times New Roman" w:cs="Times New Roman" w:eastAsia="Times New Roman" w:hAnsi="Times New Roman"/>
          <w:sz w:val="21"/>
          <w:szCs w:val="21"/>
          <w:color w:val="auto"/>
        </w:rPr>
        <w:t xml:space="preserve">(d) of this definition on terms in all material respects consistent with those set forth on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620" w:hanging="617"/>
        <w:spacing w:after="0"/>
        <w:tabs>
          <w:tab w:leader="none" w:pos="62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Super-Priority Permitted Indebtedness;</w:t>
      </w:r>
    </w:p>
    <w:p>
      <w:pPr>
        <w:spacing w:after="0" w:line="171" w:lineRule="exact"/>
        <w:rPr>
          <w:rFonts w:ascii="Times New Roman" w:cs="Times New Roman" w:eastAsia="Times New Roman" w:hAnsi="Times New Roman"/>
          <w:sz w:val="21"/>
          <w:szCs w:val="21"/>
          <w:color w:val="auto"/>
        </w:rPr>
      </w:pPr>
    </w:p>
    <w:p>
      <w:pPr>
        <w:jc w:val="both"/>
        <w:ind w:left="620" w:hanging="617"/>
        <w:spacing w:after="0" w:line="220" w:lineRule="auto"/>
        <w:tabs>
          <w:tab w:leader="none" w:pos="61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incurred in connection with an Investment expressly permitted hereunder or any Disposition, in each case, constituting indemnification obligations or obligations in respect of purchase price (including earnouts) or other similar adjustments;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incur any debt for borrowed money in connection with any Investment or Disposition by the Double E Joint Venture;</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608"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obligations under deferred compensation or other similar arrangements incurred by such Person in connection with Investments expressly permitted hereunder;</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608"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netting services, automatic clearinghouse arrangements, overdraft protections and similar arrangements in each case in connection with deposit accounts;</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61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an aggregate principal amount at any time outstanding that at the time of, and after giving effect to, the incurrence thereof, would not exceed $3,000,000 at such time;</w:t>
      </w:r>
    </w:p>
    <w:p>
      <w:pPr>
        <w:spacing w:after="0" w:line="14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the financing of insurance premiums in the ordinary course of business;</w:t>
      </w:r>
    </w:p>
    <w:p>
      <w:pPr>
        <w:spacing w:after="0" w:line="171"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08"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 respect of letters of credit, bank guarantees, bankers’ acceptances or similar instruments issued or created in the ordinary course of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reimbursement obligations in respect thereof are reimbursed within thirty (30) days following the incurrence thereof;</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25" w:lineRule="auto"/>
        <w:tabs>
          <w:tab w:leader="none" w:pos="61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in respect of appeal and surety bonds and performance and completion guarantees and similar obligations or obligations in respect of letters of credit, bank guarantees or similar instruments related thereto, in each case in the ordinary course of business or consistent with past practice;</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09" w:lineRule="auto"/>
        <w:tabs>
          <w:tab w:leader="none" w:pos="61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one or more series of senior secured loans or notes, unsecured “mezzanine” loans or notes or senior unsecured or subordinated loans or notes (whether issued in a public offering, under Rule 144A of the Securities Act or in another private placement or otherwise), in each case, pursuant to an indenture, interim agreement, loan agreement, note purchase agreement or otherwise and any extensions, renewals, refinancings and replacements thereof, including in the case of any such notes, any Registered Equivalent Notes (the “</w:t>
      </w:r>
      <w:r>
        <w:rPr>
          <w:rFonts w:ascii="Times New Roman" w:cs="Times New Roman" w:eastAsia="Times New Roman" w:hAnsi="Times New Roman"/>
          <w:sz w:val="21"/>
          <w:szCs w:val="21"/>
          <w:b w:val="1"/>
          <w:bCs w:val="1"/>
          <w:color w:val="auto"/>
        </w:rPr>
        <w:t>Incremental Equivalent 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any such Incremental Equivalent Debt that is secured shall not be secured by any property or assets of the Borrower other than the Collateral, (ii) any such Incremental Equivalent Debt shall have a Weighted Average Life to Maturity (in the case of debt securities, as measured with respect to the redemption date) not shorter than the longest remaining Weighted Average Life to Maturity of the Facilities (after giving effect to any prior payments that would otherwise modify such Weighted Average Life to Maturity), (iii) such Incremental Equivalent Debt shall have a maturity date (or, in the case of debt securities, redemption date) that is on or after the Latest Maturity Date of the Term Loans outstanding at the time such Indebtedness is incurred, (iv) such Incremental Equivalent Debt shall not require any prepayments that are inconsistent with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(v) such Incremental Equivalent Debt shall not be subject to mandatory redemption,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129</w:t>
      </w:r>
    </w:p>
    <w:p>
      <w:pPr>
        <w:sectPr>
          <w:pgSz w:w="11900" w:h="16838" w:orient="portrait"/>
          <w:cols w:equalWidth="0" w:num="1">
            <w:col w:w="11240"/>
          </w:cols>
          <w:pgMar w:left="320" w:top="1339" w:right="339" w:bottom="1440" w:gutter="0" w:footer="0" w:header="0"/>
        </w:sectPr>
      </w:pPr>
    </w:p>
    <w:bookmarkStart w:id="273" w:name="page274"/>
    <w:bookmarkEnd w:id="273"/>
    <w:p>
      <w:pPr>
        <w:jc w:val="both"/>
        <w:ind w:left="620"/>
        <w:spacing w:after="0" w:line="208" w:lineRule="auto"/>
        <w:rPr>
          <w:sz w:val="20"/>
          <w:szCs w:val="20"/>
          <w:color w:val="auto"/>
        </w:rPr>
      </w:pPr>
      <w:r>
        <w:rPr>
          <w:rFonts w:ascii="Times New Roman" w:cs="Times New Roman" w:eastAsia="Times New Roman" w:hAnsi="Times New Roman"/>
          <w:sz w:val="21"/>
          <w:szCs w:val="21"/>
          <w:color w:val="auto"/>
        </w:rPr>
        <w:t xml:space="preserve">prepayment or sinking fund obligations (except with respect to any customary asset sale, event of loss, change of control, event of default, or, in the case of Incremental Equivalent Debt in the form of loans, excess cash flow provisions that provide for prior Payment in Full), in each case on or prior to the Latest Maturity Date of the Term Loans outstanding at the time such Indebtedness is incurred (and any such permitted mandatory prepayments shall be required to be shared, for the avoidance of doubt, on at least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with the Term Loan Facility), (vi) the aggregate outstanding principal amount of all Incremental Equivalent Debt incurred in accordance with this </w:t>
      </w:r>
      <w:r>
        <w:rPr>
          <w:rFonts w:ascii="Times New Roman" w:cs="Times New Roman" w:eastAsia="Times New Roman" w:hAnsi="Times New Roman"/>
          <w:sz w:val="21"/>
          <w:szCs w:val="21"/>
          <w:u w:val="single" w:color="auto"/>
          <w:color w:val="auto"/>
        </w:rPr>
        <w:t>clause (l)</w:t>
      </w:r>
      <w:r>
        <w:rPr>
          <w:rFonts w:ascii="Times New Roman" w:cs="Times New Roman" w:eastAsia="Times New Roman" w:hAnsi="Times New Roman"/>
          <w:sz w:val="21"/>
          <w:szCs w:val="21"/>
          <w:color w:val="auto"/>
        </w:rPr>
        <w:t xml:space="preserve"> of the definition of “Permitted Debt”, together with the aggregate principal amount of all Incremental Commitments and Incremental Term Loans shall not exceed the Incremental Availability Amount, (vii) the security agreements, if applicable, relating to such Indebtedness are substantially the same as the Collateral Documents (with such differences as are reasonably satisfactory to the Administrative Agent), (viii) if such Incremental Equivalent Debt is secured, it shall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right of payment (but junior in right of payment to any Super-Priority Permitted Indebtedness) and of security (including with respect to the Permitted Expansion) with the Loans and the Other Debt Representative acting on behalf of the holders of such Indebtedness shall have become party to the First Lien Intercreditor Agreement, (ix) subject to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above, the amortization, pricing, rate floors, discounts, fees, premiums and optional prepayment and redemption provisions applicable to such Incremental Equivalent Debt shall be determined by the Borrower and the holders of such Incremental Equivalent Debt and (x) each of the conditions precedent to the Incremental Facility Closing Date in </w:t>
      </w:r>
      <w:r>
        <w:rPr>
          <w:rFonts w:ascii="Times New Roman" w:cs="Times New Roman" w:eastAsia="Times New Roman" w:hAnsi="Times New Roman"/>
          <w:sz w:val="21"/>
          <w:szCs w:val="21"/>
          <w:u w:val="single" w:color="auto"/>
          <w:color w:val="auto"/>
        </w:rPr>
        <w:t>Section 2.13(d)(i)</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the incurrence of any Incremental Equivalent Debt; and</w:t>
      </w:r>
    </w:p>
    <w:p>
      <w:pPr>
        <w:spacing w:after="0" w:line="155" w:lineRule="exact"/>
        <w:rPr>
          <w:sz w:val="20"/>
          <w:szCs w:val="20"/>
          <w:color w:val="auto"/>
        </w:rPr>
      </w:pPr>
    </w:p>
    <w:p>
      <w:pPr>
        <w:ind w:left="620" w:hanging="617"/>
        <w:spacing w:after="0" w:line="235" w:lineRule="auto"/>
        <w:tabs>
          <w:tab w:leader="none" w:pos="616"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(l)</w:t>
      </w:r>
      <w:r>
        <w:rPr>
          <w:rFonts w:ascii="Times New Roman" w:cs="Times New Roman" w:eastAsia="Times New Roman" w:hAnsi="Times New Roman"/>
          <w:sz w:val="21"/>
          <w:szCs w:val="21"/>
          <w:color w:val="auto"/>
        </w:rPr>
        <w:t xml:space="preserve"> above.</w:t>
      </w:r>
    </w:p>
    <w:p>
      <w:pPr>
        <w:spacing w:after="0" w:line="14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in the event that an item of Indebtedness meets the criteria of more than one of the categories of Indebtedness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 the Borrower shall, in its sole discretion, classify or later divide, classify or reclassify all or a portion of such item of Indebtedness or any portion thereof in a manner that complies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and will only be required to include the amount and type of such Indebtedness in one or more of the above clauses;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Indebtedness outstanding under the Loan Documents will at all times be deemed to be outstanding in reliance only on the exception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“Permitted Debt” (but without limiting the right of the Borrower to classify and reclassify, or later divide, classify or reclassify, Indebtedness incurred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(l)</w:t>
      </w:r>
      <w:r>
        <w:rPr>
          <w:rFonts w:ascii="Times New Roman" w:cs="Times New Roman" w:eastAsia="Times New Roman" w:hAnsi="Times New Roman"/>
          <w:sz w:val="20"/>
          <w:szCs w:val="20"/>
          <w:color w:val="auto"/>
        </w:rPr>
        <w:t xml:space="preserve"> of the definition of “Permitted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Dispositions</w:t>
      </w:r>
      <w:r>
        <w:rPr>
          <w:rFonts w:ascii="Times New Roman" w:cs="Times New Roman" w:eastAsia="Times New Roman" w:hAnsi="Times New Roman"/>
          <w:sz w:val="21"/>
          <w:szCs w:val="21"/>
          <w:color w:val="auto"/>
        </w:rPr>
        <w:t>” means:</w:t>
      </w:r>
    </w:p>
    <w:p>
      <w:pPr>
        <w:spacing w:after="0" w:line="175" w:lineRule="exact"/>
        <w:rPr>
          <w:sz w:val="20"/>
          <w:szCs w:val="20"/>
          <w:color w:val="auto"/>
        </w:rPr>
      </w:pPr>
    </w:p>
    <w:p>
      <w:pPr>
        <w:jc w:val="both"/>
        <w:ind w:left="620" w:hanging="617"/>
        <w:spacing w:after="0" w:line="220" w:lineRule="auto"/>
        <w:tabs>
          <w:tab w:leader="none" w:pos="616"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property, whether now owned or hereafter acquired, in the ordinary course of business, any Disposition of obsolete, damaged or worn out property or assets, any disposition of inventory or goods (or other assets) held for sale and any Disposition of assets or property that is not a Material Disposition or property or assets no longer used or useful in the ordinary course of business (as determined in good faith by the management of the Borrower);</w:t>
      </w:r>
    </w:p>
    <w:p>
      <w:pPr>
        <w:spacing w:after="0" w:line="14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constituting Dispositions, transactions permitted by </w:t>
      </w:r>
      <w:r>
        <w:rPr>
          <w:rFonts w:ascii="Times New Roman" w:cs="Times New Roman" w:eastAsia="Times New Roman" w:hAnsi="Times New Roman"/>
          <w:sz w:val="21"/>
          <w:szCs w:val="21"/>
          <w:u w:val="single" w:color="auto"/>
          <w:color w:val="auto"/>
        </w:rPr>
        <w:t>Sections 7.01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7.07</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contemplated as of the Closing Date and listed on </w:t>
      </w:r>
      <w:r>
        <w:rPr>
          <w:rFonts w:ascii="Times New Roman" w:cs="Times New Roman" w:eastAsia="Times New Roman" w:hAnsi="Times New Roman"/>
          <w:sz w:val="21"/>
          <w:szCs w:val="21"/>
          <w:u w:val="single" w:color="auto"/>
          <w:color w:val="auto"/>
        </w:rPr>
        <w:t>Schedule 7.05</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130</w:t>
      </w:r>
    </w:p>
    <w:p>
      <w:pPr>
        <w:sectPr>
          <w:pgSz w:w="11900" w:h="16838" w:orient="portrait"/>
          <w:cols w:equalWidth="0" w:num="1">
            <w:col w:w="11240"/>
          </w:cols>
          <w:pgMar w:left="320" w:top="1339" w:right="339" w:bottom="1440" w:gutter="0" w:footer="0" w:header="0"/>
        </w:sectPr>
      </w:pPr>
    </w:p>
    <w:bookmarkStart w:id="274" w:name="page275"/>
    <w:bookmarkEnd w:id="274"/>
    <w:p>
      <w:pPr>
        <w:ind w:left="620" w:hanging="617"/>
        <w:spacing w:after="0"/>
        <w:tabs>
          <w:tab w:leader="none" w:pos="62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liquidations or use of Cash Equivalents;</w:t>
      </w:r>
    </w:p>
    <w:p>
      <w:pPr>
        <w:spacing w:after="0" w:line="167" w:lineRule="exact"/>
        <w:rPr>
          <w:rFonts w:ascii="Times New Roman" w:cs="Times New Roman" w:eastAsia="Times New Roman" w:hAnsi="Times New Roman"/>
          <w:sz w:val="21"/>
          <w:szCs w:val="21"/>
          <w:color w:val="auto"/>
        </w:rPr>
      </w:pPr>
    </w:p>
    <w:p>
      <w:pPr>
        <w:ind w:left="620" w:hanging="617"/>
        <w:spacing w:after="0" w:line="237" w:lineRule="auto"/>
        <w:tabs>
          <w:tab w:leader="none" w:pos="61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transfers of property subject to Casualty Events;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such transfer constitutes a Material Disposition, the Net Proceeds thereof are applied in accordance with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left="620" w:hanging="617"/>
        <w:spacing w:after="0" w:line="212" w:lineRule="auto"/>
        <w:tabs>
          <w:tab w:leader="none" w:pos="61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at the time of such Disposition (other than any such Disposition made pursuant to a legally binding commitment entered into at a time when no Event of Default exists), no Event of Default shall exist or would immediately result from such Disposition, (ii) the Net Proceeds of any Material Dispositions and Equity Sales are applied in accordance with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and (iii) with respect to any Disposition pursuant to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the Borrower or the Double E Joint Venture shall receive one hundred percent (100%) of such consideration in the form of cash or Cash Equivalents;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for the purposes of this clause (f)(iii), any publicly securities of a Person having an equity market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capitalization of at least $3,000,000,000 that are not subject to a lock-up and that are converted into cash or Cash Equivalents (to the extent of the cash or Cash Equivalents received) within ninety (90) days following the closing of the applicable Disposition shall be deemed to be cash;</w:t>
      </w:r>
    </w:p>
    <w:p>
      <w:pPr>
        <w:spacing w:after="0" w:line="142" w:lineRule="exact"/>
        <w:rPr>
          <w:rFonts w:ascii="Times New Roman" w:cs="Times New Roman" w:eastAsia="Times New Roman" w:hAnsi="Times New Roman"/>
          <w:sz w:val="21"/>
          <w:szCs w:val="21"/>
          <w:color w:val="auto"/>
        </w:rPr>
      </w:pPr>
    </w:p>
    <w:p>
      <w:pPr>
        <w:jc w:val="both"/>
        <w:ind w:left="620" w:hanging="617"/>
        <w:spacing w:after="0" w:line="226" w:lineRule="auto"/>
        <w:tabs>
          <w:tab w:leader="none" w:pos="61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unwinding, including any termination, transfer, liquidation or novation, of any Interest Rate Hedge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such unwinding constitutes a Material Disposition, the Net Proceeds thereof are applied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2.04(b)</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left="620" w:hanging="617"/>
        <w:spacing w:after="0" w:line="236" w:lineRule="auto"/>
        <w:tabs>
          <w:tab w:leader="none" w:pos="61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Investments in the Double E Joint Venture to the extent required by, or made pursuant to customary buy/sell arrangements between, the joint venture parties set forth in the JV LLC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Disposition constitutes a Material Disposition or an Equity Sale, the Net Proceeds thereof are applied in accordance with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620" w:hanging="617"/>
        <w:spacing w:after="0" w:line="235" w:lineRule="auto"/>
        <w:tabs>
          <w:tab w:leader="none" w:pos="61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lapse or abandonment in the ordinary course of business any registrations or applications for registration of any immaterial IP Rights; and</w:t>
      </w:r>
    </w:p>
    <w:p>
      <w:pPr>
        <w:spacing w:after="0" w:line="145" w:lineRule="exact"/>
        <w:rPr>
          <w:rFonts w:ascii="Times New Roman" w:cs="Times New Roman" w:eastAsia="Times New Roman" w:hAnsi="Times New Roman"/>
          <w:sz w:val="21"/>
          <w:szCs w:val="21"/>
          <w:color w:val="auto"/>
        </w:rPr>
      </w:pPr>
    </w:p>
    <w:p>
      <w:pPr>
        <w:ind w:left="620" w:hanging="617"/>
        <w:spacing w:after="0" w:line="235" w:lineRule="auto"/>
        <w:tabs>
          <w:tab w:leader="none" w:pos="617"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 of any property or assets acquired using Excluded Equity Proceeds, in an amount equal to the amount of Excluded Equity Proceeds previously received and the Borrower elects to apply under this </w:t>
      </w:r>
      <w:r>
        <w:rPr>
          <w:rFonts w:ascii="Times New Roman" w:cs="Times New Roman" w:eastAsia="Times New Roman" w:hAnsi="Times New Roman"/>
          <w:sz w:val="21"/>
          <w:szCs w:val="21"/>
          <w:u w:val="single" w:color="auto"/>
          <w:color w:val="auto"/>
        </w:rPr>
        <w:t>clause (j)</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any Disposition of any property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definition of “Permitted Dispositions” shall be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no less than the fair market value of such property at the time of such Disposition as determined by the Borrower in good faith. To the extent any Collateral is Disposed of as expressly permitted by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to any Person other than the Borrower, such Collateral shall be sold free and clear of the Liens created by the Loan Documents, and the Lenders hereby authorize the Administrative Agent or the Collateral Agent, as applicable, to take any actions in order to effect the foregoing.</w:t>
      </w:r>
    </w:p>
    <w:p>
      <w:pPr>
        <w:spacing w:after="0" w:line="1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Expansion</w:t>
      </w:r>
      <w:r>
        <w:rPr>
          <w:rFonts w:ascii="Times New Roman" w:cs="Times New Roman" w:eastAsia="Times New Roman" w:hAnsi="Times New Roman"/>
          <w:sz w:val="21"/>
          <w:szCs w:val="21"/>
          <w:color w:val="auto"/>
        </w:rPr>
        <w:t>” has the meaning given to the term “Construction Opportunity” and “Special Construction Opportunity” in the JV LLC Agreement.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Fundamental Changes</w:t>
      </w:r>
      <w:r>
        <w:rPr>
          <w:rFonts w:ascii="Times New Roman" w:cs="Times New Roman" w:eastAsia="Times New Roman" w:hAnsi="Times New Roman"/>
          <w:sz w:val="21"/>
          <w:szCs w:val="21"/>
          <w:color w:val="auto"/>
        </w:rPr>
        <w:t>” means the Borrower may change its legal form if the Borrower determines in good faith that such action is in the best interest of the Borrower, as applicable, and if not materially disadvantageous to the Lenders; it being understood that the following shall be deemed to be materially disadvantageous to the Lenders: (a) a change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131</w:t>
      </w:r>
    </w:p>
    <w:p>
      <w:pPr>
        <w:sectPr>
          <w:pgSz w:w="11900" w:h="16838" w:orient="portrait"/>
          <w:cols w:equalWidth="0" w:num="1">
            <w:col w:w="11240"/>
          </w:cols>
          <w:pgMar w:left="320" w:top="1339" w:right="339" w:bottom="1440" w:gutter="0" w:footer="0" w:header="0"/>
        </w:sectPr>
      </w:pPr>
    </w:p>
    <w:bookmarkStart w:id="275" w:name="page276"/>
    <w:bookmarkEnd w:id="275"/>
    <w:p>
      <w:pPr>
        <w:spacing w:after="0" w:line="235" w:lineRule="auto"/>
        <w:rPr>
          <w:sz w:val="20"/>
          <w:szCs w:val="20"/>
          <w:color w:val="auto"/>
        </w:rPr>
      </w:pPr>
      <w:r>
        <w:rPr>
          <w:rFonts w:ascii="Times New Roman" w:cs="Times New Roman" w:eastAsia="Times New Roman" w:hAnsi="Times New Roman"/>
          <w:sz w:val="21"/>
          <w:szCs w:val="21"/>
          <w:color w:val="auto"/>
        </w:rPr>
        <w:t>status of the Borrower that causes the Borrower to no longer be treated as a disregarded entity for tax purposes and (b) a Division/Series Transaction with respect to the Borrower.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Investments</w:t>
      </w:r>
      <w:r>
        <w:rPr>
          <w:rFonts w:ascii="Times New Roman" w:cs="Times New Roman" w:eastAsia="Times New Roman" w:hAnsi="Times New Roman"/>
          <w:sz w:val="21"/>
          <w:szCs w:val="21"/>
          <w:color w:val="auto"/>
        </w:rPr>
        <w:t>” means:</w:t>
      </w:r>
    </w:p>
    <w:p>
      <w:pPr>
        <w:spacing w:after="0" w:line="175" w:lineRule="exact"/>
        <w:rPr>
          <w:sz w:val="20"/>
          <w:szCs w:val="20"/>
          <w:color w:val="auto"/>
        </w:rPr>
      </w:pPr>
    </w:p>
    <w:p>
      <w:pPr>
        <w:ind w:left="620" w:hanging="617"/>
        <w:spacing w:after="0"/>
        <w:tabs>
          <w:tab w:leader="none" w:pos="62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Cash Equivalents;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(ab)</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Investments in the Double E Joint Venture and Investments constituting Equity Interests in the Double E Joint Venture;</w:t>
            </w:r>
          </w:p>
        </w:tc>
      </w:tr>
      <w:tr>
        <w:trPr>
          <w:trHeight w:val="36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(ac)</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Investments existing or contemplated on the Closing Date and set forth on Schedule 7.03, and any modification, replacement,</w:t>
            </w:r>
          </w:p>
        </w:tc>
      </w:tr>
      <w:tr>
        <w:trPr>
          <w:trHeight w:val="248"/>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21"/>
                <w:szCs w:val="21"/>
                <w:color w:val="auto"/>
              </w:rPr>
              <w:t>renewal, reinvestment or extension thereof;</w:t>
            </w:r>
          </w:p>
        </w:tc>
        <w:tc>
          <w:tcPr>
            <w:tcW w:w="5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(ad)</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Investments in Secured Interest Rate Hedge Agreements permitted under clause (d) of the definition of “Permitted Debt”;</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(ae)</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promissory notes and other non-cash consideration received in connection with Dispositions permitted by Section 7.05;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2"/>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(af)</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to the extent they constitute Investments, the Transactions and Investments made in connection with the Transactions;</w:t>
            </w: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(ag)</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Investments in the ordinary course of business consisting of UCC Article 3 endorsements for collection or deposit and UCC</w:t>
            </w:r>
          </w:p>
        </w:tc>
      </w:tr>
      <w:tr>
        <w:trPr>
          <w:trHeight w:val="268"/>
        </w:trPr>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40" w:type="dxa"/>
            <w:vAlign w:val="bottom"/>
            <w:gridSpan w:val="19"/>
          </w:tcPr>
          <w:p>
            <w:pPr>
              <w:spacing w:after="0"/>
              <w:rPr>
                <w:sz w:val="20"/>
                <w:szCs w:val="20"/>
                <w:color w:val="auto"/>
              </w:rPr>
            </w:pPr>
            <w:r>
              <w:rPr>
                <w:rFonts w:ascii="Times New Roman" w:cs="Times New Roman" w:eastAsia="Times New Roman" w:hAnsi="Times New Roman"/>
                <w:sz w:val="21"/>
                <w:szCs w:val="21"/>
                <w:color w:val="auto"/>
              </w:rPr>
              <w:t>Article 4 customary trade arrangements with customers consistent with past practices;</w:t>
            </w:r>
          </w:p>
        </w:tc>
      </w:tr>
      <w:tr>
        <w:trPr>
          <w:trHeight w:val="36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(ah)</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other Investments, which when combined with the aggregate amount of other Investments outstanding pursuant to this clause</w:t>
            </w:r>
          </w:p>
        </w:tc>
      </w:tr>
      <w:tr>
        <w:trPr>
          <w:trHeight w:val="186"/>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17"/>
          </w:tcPr>
          <w:p>
            <w:pPr>
              <w:spacing w:after="0" w:line="187" w:lineRule="exact"/>
              <w:rPr>
                <w:sz w:val="20"/>
                <w:szCs w:val="20"/>
                <w:color w:val="auto"/>
              </w:rPr>
            </w:pPr>
            <w:r>
              <w:rPr>
                <w:rFonts w:ascii="Times New Roman" w:cs="Times New Roman" w:eastAsia="Times New Roman" w:hAnsi="Times New Roman"/>
                <w:sz w:val="21"/>
                <w:szCs w:val="21"/>
                <w:color w:val="auto"/>
              </w:rPr>
              <w:t>(h) (valued at the time of the making thereof, and without giving effect to any write downs or write offs thereof, but</w:t>
            </w:r>
          </w:p>
        </w:tc>
        <w:tc>
          <w:tcPr>
            <w:tcW w:w="5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21"/>
                <w:szCs w:val="21"/>
                <w:color w:val="auto"/>
                <w:w w:val="93"/>
              </w:rPr>
              <w:t>giving</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74"/>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40" w:type="dxa"/>
            <w:vAlign w:val="bottom"/>
            <w:gridSpan w:val="19"/>
          </w:tcPr>
          <w:p>
            <w:pPr>
              <w:spacing w:after="0" w:line="174" w:lineRule="exact"/>
              <w:rPr>
                <w:sz w:val="20"/>
                <w:szCs w:val="20"/>
                <w:color w:val="auto"/>
              </w:rPr>
            </w:pPr>
            <w:r>
              <w:rPr>
                <w:rFonts w:ascii="Times New Roman" w:cs="Times New Roman" w:eastAsia="Times New Roman" w:hAnsi="Times New Roman"/>
                <w:sz w:val="20"/>
                <w:szCs w:val="20"/>
                <w:color w:val="auto"/>
              </w:rPr>
              <w:t>effect to any positive return in respect thereof, including dividends, interest, distributions, returns of principal, profits on sale,</w:t>
            </w:r>
          </w:p>
        </w:tc>
      </w:tr>
      <w:tr>
        <w:trPr>
          <w:trHeight w:val="268"/>
        </w:trPr>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40" w:type="dxa"/>
            <w:vAlign w:val="bottom"/>
            <w:gridSpan w:val="19"/>
          </w:tcPr>
          <w:p>
            <w:pPr>
              <w:spacing w:after="0"/>
              <w:rPr>
                <w:sz w:val="20"/>
                <w:szCs w:val="20"/>
                <w:color w:val="auto"/>
              </w:rPr>
            </w:pPr>
            <w:r>
              <w:rPr>
                <w:rFonts w:ascii="Times New Roman" w:cs="Times New Roman" w:eastAsia="Times New Roman" w:hAnsi="Times New Roman"/>
                <w:sz w:val="21"/>
                <w:szCs w:val="21"/>
                <w:color w:val="auto"/>
              </w:rPr>
              <w:t>repayments, income and similar amounts), does not exceed at the time when any such new Investment is made, $3,000,000;</w:t>
            </w: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(ai)</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w w:val="98"/>
              </w:rPr>
              <w:t>Investments that are made in an amount equal to the amount of Excluded Equity Proceeds previously received and the Borrower</w:t>
            </w:r>
          </w:p>
        </w:tc>
      </w:tr>
      <w:tr>
        <w:trPr>
          <w:trHeight w:val="219"/>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40" w:type="dxa"/>
            <w:vAlign w:val="bottom"/>
            <w:gridSpan w:val="19"/>
          </w:tcPr>
          <w:p>
            <w:pPr>
              <w:spacing w:after="0" w:line="219" w:lineRule="exact"/>
              <w:rPr>
                <w:sz w:val="20"/>
                <w:szCs w:val="20"/>
                <w:color w:val="auto"/>
              </w:rPr>
            </w:pPr>
            <w:r>
              <w:rPr>
                <w:rFonts w:ascii="Times New Roman" w:cs="Times New Roman" w:eastAsia="Times New Roman" w:hAnsi="Times New Roman"/>
                <w:sz w:val="21"/>
                <w:szCs w:val="21"/>
                <w:color w:val="auto"/>
              </w:rPr>
              <w:t>elects to apply under this clause (i) of the definition of “Permitted Investments”;</w:t>
            </w:r>
          </w:p>
        </w:tc>
      </w:tr>
      <w:tr>
        <w:trPr>
          <w:trHeight w:val="20"/>
        </w:trPr>
        <w:tc>
          <w:tcPr>
            <w:tcW w:w="5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(aj)</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earnest money deposits required in connection with any Investment otherwise expressly permitted under Section 7.03; and</w:t>
            </w:r>
          </w:p>
        </w:tc>
      </w:tr>
      <w:tr>
        <w:trPr>
          <w:trHeight w:val="442"/>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(ak)</w:t>
            </w:r>
          </w:p>
        </w:tc>
        <w:tc>
          <w:tcPr>
            <w:tcW w:w="8780" w:type="dxa"/>
            <w:vAlign w:val="bottom"/>
            <w:gridSpan w:val="12"/>
          </w:tcPr>
          <w:p>
            <w:pPr>
              <w:ind w:left="120"/>
              <w:spacing w:after="0"/>
              <w:rPr>
                <w:sz w:val="20"/>
                <w:szCs w:val="20"/>
                <w:color w:val="auto"/>
              </w:rPr>
            </w:pPr>
            <w:r>
              <w:rPr>
                <w:rFonts w:ascii="Times New Roman" w:cs="Times New Roman" w:eastAsia="Times New Roman" w:hAnsi="Times New Roman"/>
                <w:sz w:val="21"/>
                <w:szCs w:val="21"/>
                <w:color w:val="auto"/>
                <w:w w:val="99"/>
              </w:rPr>
              <w:t>Investments that are made by the Borrower using cash and Cash Equivalents in any Excluded Account.</w:t>
            </w:r>
          </w:p>
        </w:tc>
        <w:tc>
          <w:tcPr>
            <w:tcW w:w="1020" w:type="dxa"/>
            <w:vAlign w:val="bottom"/>
            <w:tcBorders>
              <w:top w:val="single" w:sz="8" w:color="auto"/>
            </w:tcBorders>
            <w:gridSpan w:val="3"/>
          </w:tcPr>
          <w:p>
            <w:pPr>
              <w:spacing w:after="0"/>
              <w:rPr>
                <w:sz w:val="24"/>
                <w:szCs w:val="24"/>
                <w:color w:val="auto"/>
              </w:rPr>
            </w:pPr>
          </w:p>
        </w:tc>
        <w:tc>
          <w:tcPr>
            <w:tcW w:w="960" w:type="dxa"/>
            <w:vAlign w:val="bottom"/>
            <w:gridSpan w:val="5"/>
          </w:tcPr>
          <w:p>
            <w:pPr>
              <w:spacing w:after="0"/>
              <w:rPr>
                <w:sz w:val="24"/>
                <w:szCs w:val="24"/>
                <w:color w:val="auto"/>
              </w:rPr>
            </w:pPr>
          </w:p>
        </w:tc>
      </w:tr>
      <w:tr>
        <w:trPr>
          <w:trHeight w:val="413"/>
        </w:trPr>
        <w:tc>
          <w:tcPr>
            <w:tcW w:w="11260" w:type="dxa"/>
            <w:vAlign w:val="bottom"/>
            <w:gridSpan w:val="21"/>
          </w:tcPr>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Liens</w:t>
            </w:r>
            <w:r>
              <w:rPr>
                <w:rFonts w:ascii="Times New Roman" w:cs="Times New Roman" w:eastAsia="Times New Roman" w:hAnsi="Times New Roman"/>
                <w:sz w:val="21"/>
                <w:szCs w:val="21"/>
                <w:color w:val="auto"/>
              </w:rPr>
              <w:t>” means:</w:t>
            </w:r>
          </w:p>
        </w:tc>
      </w:tr>
      <w:tr>
        <w:trPr>
          <w:trHeight w:val="36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(al)</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Liens (i) pursuant to any Loan Document and (ii) Liens to secure Indebtedness permitted under clauses (d) and (h) of the</w:t>
            </w:r>
          </w:p>
        </w:tc>
      </w:tr>
      <w:tr>
        <w:trPr>
          <w:trHeight w:val="248"/>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definition of “Permitted Debt”;</w:t>
            </w:r>
          </w:p>
        </w:tc>
        <w:tc>
          <w:tcPr>
            <w:tcW w:w="900" w:type="dxa"/>
            <w:vAlign w:val="bottom"/>
            <w:tcBorders>
              <w:top w:val="single" w:sz="8" w:color="auto"/>
            </w:tcBorders>
            <w:gridSpan w:val="3"/>
          </w:tcPr>
          <w:p>
            <w:pPr>
              <w:spacing w:after="0"/>
              <w:rPr>
                <w:sz w:val="21"/>
                <w:szCs w:val="21"/>
                <w:color w:val="auto"/>
              </w:rPr>
            </w:pPr>
          </w:p>
        </w:tc>
        <w:tc>
          <w:tcPr>
            <w:tcW w:w="500" w:type="dxa"/>
            <w:vAlign w:val="bottom"/>
            <w:gridSpan w:val="2"/>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20" w:type="dxa"/>
            <w:vAlign w:val="bottom"/>
            <w:gridSpan w:val="3"/>
          </w:tcPr>
          <w:p>
            <w:pPr>
              <w:spacing w:after="0"/>
              <w:rPr>
                <w:sz w:val="21"/>
                <w:szCs w:val="21"/>
                <w:color w:val="auto"/>
              </w:rPr>
            </w:pP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(am)</w:t>
            </w:r>
          </w:p>
        </w:tc>
        <w:tc>
          <w:tcPr>
            <w:tcW w:w="10760" w:type="dxa"/>
            <w:vAlign w:val="bottom"/>
            <w:gridSpan w:val="20"/>
          </w:tcPr>
          <w:p>
            <w:pPr>
              <w:ind w:left="120"/>
              <w:spacing w:after="0"/>
              <w:rPr>
                <w:sz w:val="20"/>
                <w:szCs w:val="20"/>
                <w:color w:val="auto"/>
              </w:rPr>
            </w:pPr>
            <w:r>
              <w:rPr>
                <w:rFonts w:ascii="Times New Roman" w:cs="Times New Roman" w:eastAsia="Times New Roman" w:hAnsi="Times New Roman"/>
                <w:sz w:val="21"/>
                <w:szCs w:val="21"/>
                <w:color w:val="auto"/>
              </w:rPr>
              <w:t>(i) Liens existing on the Closing Date and listed on Schedule 7.01, and (ii) any modifications, replacements, renewals,</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60" w:type="dxa"/>
            <w:vAlign w:val="bottom"/>
            <w:gridSpan w:val="14"/>
          </w:tcPr>
          <w:p>
            <w:pPr>
              <w:spacing w:after="0" w:line="20" w:lineRule="exact"/>
              <w:rPr>
                <w:sz w:val="1"/>
                <w:szCs w:val="1"/>
                <w:color w:val="auto"/>
              </w:rPr>
            </w:pPr>
          </w:p>
        </w:tc>
      </w:tr>
      <w:tr>
        <w:trPr>
          <w:trHeight w:val="174"/>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40" w:type="dxa"/>
            <w:vAlign w:val="bottom"/>
            <w:gridSpan w:val="19"/>
          </w:tcPr>
          <w:p>
            <w:pPr>
              <w:spacing w:after="0" w:line="174" w:lineRule="exact"/>
              <w:rPr>
                <w:sz w:val="20"/>
                <w:szCs w:val="20"/>
                <w:color w:val="auto"/>
              </w:rPr>
            </w:pPr>
            <w:r>
              <w:rPr>
                <w:rFonts w:ascii="Times New Roman" w:cs="Times New Roman" w:eastAsia="Times New Roman" w:hAnsi="Times New Roman"/>
                <w:sz w:val="20"/>
                <w:szCs w:val="20"/>
                <w:color w:val="auto"/>
              </w:rPr>
              <w:t xml:space="preserve">refinancings, or extensions of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Lien does not extend to any additional property other</w:t>
            </w:r>
          </w:p>
        </w:tc>
      </w:tr>
      <w:tr>
        <w:trPr>
          <w:trHeight w:val="20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40" w:type="dxa"/>
            <w:vAlign w:val="bottom"/>
            <w:gridSpan w:val="19"/>
          </w:tcPr>
          <w:p>
            <w:pPr>
              <w:spacing w:after="0" w:line="207" w:lineRule="exact"/>
              <w:rPr>
                <w:sz w:val="20"/>
                <w:szCs w:val="20"/>
                <w:color w:val="auto"/>
              </w:rPr>
            </w:pPr>
            <w:r>
              <w:rPr>
                <w:rFonts w:ascii="Times New Roman" w:cs="Times New Roman" w:eastAsia="Times New Roman" w:hAnsi="Times New Roman"/>
                <w:sz w:val="21"/>
                <w:szCs w:val="21"/>
                <w:color w:val="auto"/>
              </w:rPr>
              <w:t>than (x) after-acquired property that is affixed or incorporated into the property covered by such Lien, and (y) proceeds and</w:t>
            </w:r>
          </w:p>
        </w:tc>
      </w:tr>
      <w:tr>
        <w:trPr>
          <w:trHeight w:val="20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40" w:type="dxa"/>
            <w:vAlign w:val="bottom"/>
            <w:gridSpan w:val="19"/>
          </w:tcPr>
          <w:p>
            <w:pPr>
              <w:spacing w:after="0" w:line="207" w:lineRule="exact"/>
              <w:rPr>
                <w:sz w:val="20"/>
                <w:szCs w:val="20"/>
                <w:color w:val="auto"/>
              </w:rPr>
            </w:pPr>
            <w:r>
              <w:rPr>
                <w:rFonts w:ascii="Times New Roman" w:cs="Times New Roman" w:eastAsia="Times New Roman" w:hAnsi="Times New Roman"/>
                <w:sz w:val="21"/>
                <w:szCs w:val="21"/>
                <w:color w:val="auto"/>
              </w:rPr>
              <w:t>products thereof, (B) the Lien does not extend to any additional obligors and (C) the modification, replacement, renewal,</w:t>
            </w:r>
          </w:p>
        </w:tc>
      </w:tr>
      <w:tr>
        <w:trPr>
          <w:trHeight w:val="268"/>
        </w:trPr>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40" w:type="dxa"/>
            <w:vAlign w:val="bottom"/>
            <w:gridSpan w:val="19"/>
          </w:tcPr>
          <w:p>
            <w:pPr>
              <w:spacing w:after="0"/>
              <w:rPr>
                <w:sz w:val="20"/>
                <w:szCs w:val="20"/>
                <w:color w:val="auto"/>
              </w:rPr>
            </w:pPr>
            <w:r>
              <w:rPr>
                <w:rFonts w:ascii="Times New Roman" w:cs="Times New Roman" w:eastAsia="Times New Roman" w:hAnsi="Times New Roman"/>
                <w:sz w:val="21"/>
                <w:szCs w:val="21"/>
                <w:color w:val="auto"/>
              </w:rPr>
              <w:t>extension 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132</w:t>
      </w:r>
    </w:p>
    <w:p>
      <w:pPr>
        <w:sectPr>
          <w:pgSz w:w="11900" w:h="16838" w:orient="portrait"/>
          <w:cols w:equalWidth="0" w:num="1">
            <w:col w:w="11240"/>
          </w:cols>
          <w:pgMar w:left="320" w:top="1339"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refinancing of the obligations secured or benefited by such Liens, to the extent constituting Indebtedness, is permitted by</w:t>
            </w: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20" w:type="dxa"/>
            <w:vAlign w:val="bottom"/>
            <w:gridSpan w:val="9"/>
          </w:tcPr>
          <w:p>
            <w:pPr>
              <w:spacing w:after="0" w:line="219" w:lineRule="exact"/>
              <w:rPr>
                <w:sz w:val="20"/>
                <w:szCs w:val="20"/>
                <w:color w:val="auto"/>
              </w:rPr>
            </w:pPr>
            <w:r>
              <w:rPr>
                <w:rFonts w:ascii="Times New Roman" w:cs="Times New Roman" w:eastAsia="Times New Roman" w:hAnsi="Times New Roman"/>
                <w:sz w:val="21"/>
                <w:szCs w:val="21"/>
                <w:color w:val="auto"/>
              </w:rPr>
              <w:t>Section 7.02;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(an)</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rPr>
              <w:t>Liens for Taxes that are not overdue for a period of more than sixty (60) days or that are being contested in good faith and by</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w w:val="99"/>
              </w:rPr>
              <w:t>appropriate actions, if adequate reserves with respect thereto are maintained on the books of the applicable Person to the extent</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required in accordance with GAAP;</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(ao)</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rPr>
              <w:t>statutory or common law Liens in favor of landlords, sublandlords, carriers, warehousemen, mechanics, materialmen,</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w w:val="98"/>
              </w:rPr>
              <w:t>repairmen, construction contractors or like Liens that secure amounts not overdue for a period of more than sixty (60) days, or if</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more than sixty (60) days overdue, that are unfiled and no other action has been taken to enforce such Lien or that are being</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w w:val="99"/>
              </w:rPr>
              <w:t>contested in good faith and by appropriate actions diligently conducted and for which adequate reserves have been established</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in accordance with GAAP;</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(ap)</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rPr>
              <w:t>pledges and deposits in the ordinary course of business securing liability for reimbursement or indemnification obligations of</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w w:val="99"/>
              </w:rPr>
              <w:t>(including obligations in respect of letters of credit or bank guarantees for the benefit of) insurance carriers providing property,</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liability or casualty insurance to the Borrower or the Double E Joint Venture;</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(aq)</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w w:val="98"/>
              </w:rPr>
              <w:t>pledges, deposits or Liens to secure statutory or regulatory obligations, surety, stay, and appeal bonds, and other obligations of a</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like nature (including (i) those to secure health, safety and environmental obligations and (ii) letters of credit and bank</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guarantees required or requested by any Governmental Authority in connection with any contract or Law) incurred in the</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ordinary course of business;</w:t>
            </w:r>
          </w:p>
        </w:tc>
        <w:tc>
          <w:tcPr>
            <w:tcW w:w="0" w:type="dxa"/>
            <w:vAlign w:val="bottom"/>
          </w:tcPr>
          <w:p>
            <w:pPr>
              <w:spacing w:after="0"/>
              <w:rPr>
                <w:sz w:val="1"/>
                <w:szCs w:val="1"/>
                <w:color w:val="auto"/>
              </w:rPr>
            </w:pPr>
          </w:p>
        </w:tc>
      </w:tr>
      <w:tr>
        <w:trPr>
          <w:trHeight w:val="363"/>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(ar)</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w w:val="99"/>
              </w:rPr>
              <w:t>Liens (i) securing judgments or orders for the payment of money not constituting an Event of Default under Section 8.01(h) or</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1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(ii) securing appeal or other surety bonds related to such judgments;</w:t>
            </w: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(as)</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rPr>
              <w:t>leases, licenses, subleases or sublicenses granted to others (i) in the ordinary course of business, and (ii) which do not (A)</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materially and adversely interfere with the business of the Borrower or (B) secure any Indebtedness;</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(at)</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w w:val="98"/>
              </w:rPr>
              <w:t>Liens (i) of a collection bank arising under Section 4-210 of the Uniform Commercial Code on items in the course of collection</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and (ii) in favor of a banking or other financial institution arising as a matter of Law or under customary general terms and</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conditions encumbering deposits or other funds maintained with a financial institution (including the right of set-off) and that</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are within the general parameters customary in the banking industry or arising pursuant to such banking institution’s general</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terms and conditions;</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(au)</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w w:val="99"/>
              </w:rPr>
              <w:t>Liens (i) on cash advances or Cash Equivalents in favor of the seller of any property to be acquired in an Investment permitted</w:t>
            </w: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20" w:type="dxa"/>
            <w:vAlign w:val="bottom"/>
            <w:gridSpan w:val="9"/>
          </w:tcPr>
          <w:p>
            <w:pPr>
              <w:spacing w:after="0" w:line="219" w:lineRule="exact"/>
              <w:rPr>
                <w:sz w:val="20"/>
                <w:szCs w:val="20"/>
                <w:color w:val="auto"/>
              </w:rPr>
            </w:pPr>
            <w:r>
              <w:rPr>
                <w:rFonts w:ascii="Times New Roman" w:cs="Times New Roman" w:eastAsia="Times New Roman" w:hAnsi="Times New Roman"/>
                <w:sz w:val="21"/>
                <w:szCs w:val="21"/>
                <w:color w:val="auto"/>
              </w:rPr>
              <w:t>pursuant to clauses (c) and (i) of the definition of “Permitted Investment” to be applied against the purchase price for such</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rPr>
              <w:t>Investment,</w:t>
            </w:r>
          </w:p>
        </w:tc>
        <w:tc>
          <w:tcPr>
            <w:tcW w:w="8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21"/>
                <w:szCs w:val="21"/>
                <w:color w:val="auto"/>
              </w:rPr>
              <w:t>and (ii)</w:t>
            </w:r>
          </w:p>
        </w:tc>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w w:val="72"/>
              </w:rPr>
              <w:t>consisting</w:t>
            </w:r>
          </w:p>
        </w:tc>
        <w:tc>
          <w:tcPr>
            <w:tcW w:w="200" w:type="dxa"/>
            <w:vAlign w:val="bottom"/>
            <w:tcBorders>
              <w:top w:val="single" w:sz="8" w:color="auto"/>
            </w:tcBorders>
          </w:tcPr>
          <w:p>
            <w:pPr>
              <w:spacing w:after="0"/>
              <w:rPr>
                <w:sz w:val="16"/>
                <w:szCs w:val="16"/>
                <w:color w:val="auto"/>
              </w:rPr>
            </w:pPr>
          </w:p>
        </w:tc>
        <w:tc>
          <w:tcPr>
            <w:tcW w:w="8040" w:type="dxa"/>
            <w:vAlign w:val="bottom"/>
            <w:gridSpan w:val="5"/>
          </w:tcPr>
          <w:p>
            <w:pPr>
              <w:jc w:val="right"/>
              <w:spacing w:after="0" w:line="187" w:lineRule="exact"/>
              <w:rPr>
                <w:sz w:val="20"/>
                <w:szCs w:val="20"/>
                <w:color w:val="auto"/>
              </w:rPr>
            </w:pPr>
            <w:r>
              <w:rPr>
                <w:rFonts w:ascii="Times New Roman" w:cs="Times New Roman" w:eastAsia="Times New Roman" w:hAnsi="Times New Roman"/>
                <w:sz w:val="21"/>
                <w:szCs w:val="21"/>
                <w:color w:val="auto"/>
              </w:rPr>
              <w:t>of an agreement to Dispose of any property in a Disposition permitted under Section 7.05, in</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80" w:type="dxa"/>
            <w:vAlign w:val="bottom"/>
            <w:gridSpan w:val="6"/>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spacing w:after="0" w:line="194" w:lineRule="exact"/>
              <w:rPr>
                <w:sz w:val="20"/>
                <w:szCs w:val="20"/>
                <w:color w:val="auto"/>
              </w:rPr>
            </w:pPr>
            <w:r>
              <w:rPr>
                <w:rFonts w:ascii="Times New Roman" w:cs="Times New Roman" w:eastAsia="Times New Roman" w:hAnsi="Times New Roman"/>
                <w:sz w:val="21"/>
                <w:szCs w:val="21"/>
                <w:color w:val="auto"/>
              </w:rPr>
              <w:t>the</w:t>
            </w:r>
          </w:p>
        </w:tc>
        <w:tc>
          <w:tcPr>
            <w:tcW w:w="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40" w:type="dxa"/>
            <w:vAlign w:val="bottom"/>
            <w:gridSpan w:val="7"/>
          </w:tcPr>
          <w:p>
            <w:pPr>
              <w:spacing w:after="0" w:line="174" w:lineRule="exact"/>
              <w:rPr>
                <w:sz w:val="20"/>
                <w:szCs w:val="20"/>
                <w:color w:val="auto"/>
              </w:rPr>
            </w:pPr>
            <w:r>
              <w:rPr>
                <w:rFonts w:ascii="Times New Roman" w:cs="Times New Roman" w:eastAsia="Times New Roman" w:hAnsi="Times New Roman"/>
                <w:sz w:val="20"/>
                <w:szCs w:val="20"/>
                <w:color w:val="auto"/>
              </w:rPr>
              <w:t>each case, solely to the extent such Investment or Disposition, as the case may be, would have been permitted on the date of</w:t>
            </w: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creation of such Lien;</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(av)</w:t>
            </w:r>
          </w:p>
        </w:tc>
        <w:tc>
          <w:tcPr>
            <w:tcW w:w="10760" w:type="dxa"/>
            <w:vAlign w:val="bottom"/>
            <w:gridSpan w:val="10"/>
          </w:tcPr>
          <w:p>
            <w:pPr>
              <w:ind w:left="140"/>
              <w:spacing w:after="0"/>
              <w:rPr>
                <w:sz w:val="20"/>
                <w:szCs w:val="20"/>
                <w:color w:val="auto"/>
              </w:rPr>
            </w:pPr>
            <w:r>
              <w:rPr>
                <w:rFonts w:ascii="Times New Roman" w:cs="Times New Roman" w:eastAsia="Times New Roman" w:hAnsi="Times New Roman"/>
                <w:sz w:val="21"/>
                <w:szCs w:val="21"/>
                <w:color w:val="auto"/>
                <w:w w:val="99"/>
              </w:rPr>
              <w:t>any interest or title of a lessor, sublessor, licensor or sublicensor under leases, subleases, licenses or sublicenses entered into in</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20" w:type="dxa"/>
            <w:vAlign w:val="bottom"/>
            <w:gridSpan w:val="9"/>
          </w:tcPr>
          <w:p>
            <w:pPr>
              <w:spacing w:after="0" w:line="207" w:lineRule="exact"/>
              <w:rPr>
                <w:sz w:val="20"/>
                <w:szCs w:val="20"/>
                <w:color w:val="auto"/>
              </w:rPr>
            </w:pPr>
            <w:r>
              <w:rPr>
                <w:rFonts w:ascii="Times New Roman" w:cs="Times New Roman" w:eastAsia="Times New Roman" w:hAnsi="Times New Roman"/>
                <w:sz w:val="21"/>
                <w:szCs w:val="21"/>
                <w:color w:val="auto"/>
              </w:rPr>
              <w:t>the ordinary course of business, which do not individually or in the aggregate materially and adversely interfere with the</w:t>
            </w:r>
          </w:p>
        </w:tc>
        <w:tc>
          <w:tcPr>
            <w:tcW w:w="0" w:type="dxa"/>
            <w:vAlign w:val="bottom"/>
          </w:tcPr>
          <w:p>
            <w:pPr>
              <w:spacing w:after="0"/>
              <w:rPr>
                <w:sz w:val="1"/>
                <w:szCs w:val="1"/>
                <w:color w:val="auto"/>
              </w:rPr>
            </w:pPr>
          </w:p>
        </w:tc>
      </w:tr>
      <w:tr>
        <w:trPr>
          <w:trHeight w:val="268"/>
        </w:trPr>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2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conduct of the business of the Borrower;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133</w:t>
      </w:r>
    </w:p>
    <w:p>
      <w:pPr>
        <w:sectPr>
          <w:pgSz w:w="11900" w:h="16838" w:orient="portrait"/>
          <w:cols w:equalWidth="0" w:num="1">
            <w:col w:w="11240"/>
          </w:cols>
          <w:pgMar w:left="320" w:top="1304"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(aw)</w:t>
            </w: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9"/>
              </w:rPr>
              <w:t>Liens that are contractual rights of set-off or rights of pledge (i) relating to the establishment of depository relations with banks</w:t>
            </w:r>
          </w:p>
        </w:tc>
      </w:tr>
      <w:tr>
        <w:trPr>
          <w:trHeight w:val="206"/>
        </w:trPr>
        <w:tc>
          <w:tcPr>
            <w:tcW w:w="500" w:type="dxa"/>
            <w:vAlign w:val="bottom"/>
          </w:tcPr>
          <w:p>
            <w:pPr>
              <w:spacing w:after="0"/>
              <w:rPr>
                <w:sz w:val="17"/>
                <w:szCs w:val="17"/>
                <w:color w:val="auto"/>
              </w:rPr>
            </w:pPr>
          </w:p>
        </w:tc>
        <w:tc>
          <w:tcPr>
            <w:tcW w:w="1074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21"/>
                <w:szCs w:val="21"/>
                <w:color w:val="auto"/>
                <w:w w:val="98"/>
              </w:rPr>
              <w:t>not given in connection with the issuance of Indebtedness or (ii) relating to pooled deposit or sweep accounts of the Borrower to</w:t>
            </w:r>
          </w:p>
        </w:tc>
      </w:tr>
      <w:tr>
        <w:trPr>
          <w:trHeight w:val="268"/>
        </w:trPr>
        <w:tc>
          <w:tcPr>
            <w:tcW w:w="500" w:type="dxa"/>
            <w:vAlign w:val="bottom"/>
          </w:tcPr>
          <w:p>
            <w:pPr>
              <w:spacing w:after="0"/>
              <w:rPr>
                <w:sz w:val="23"/>
                <w:szCs w:val="23"/>
                <w:color w:val="auto"/>
              </w:rPr>
            </w:pP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permit satisfaction of overdraft or similar obligations incurred in the ordinary course of business of the Borrower;</w:t>
            </w: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(ax)</w:t>
            </w: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9"/>
              </w:rPr>
              <w:t>Liens solely on any cash earnest money deposits made in connection with any letter of intent or purchase agreement permitted</w:t>
            </w:r>
          </w:p>
        </w:tc>
      </w:tr>
      <w:tr>
        <w:trPr>
          <w:trHeight w:val="268"/>
        </w:trPr>
        <w:tc>
          <w:tcPr>
            <w:tcW w:w="500" w:type="dxa"/>
            <w:vAlign w:val="bottom"/>
          </w:tcPr>
          <w:p>
            <w:pPr>
              <w:spacing w:after="0"/>
              <w:rPr>
                <w:sz w:val="23"/>
                <w:szCs w:val="23"/>
                <w:color w:val="auto"/>
              </w:rPr>
            </w:pP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hereunder;</w:t>
            </w:r>
          </w:p>
        </w:tc>
      </w:tr>
      <w:tr>
        <w:trPr>
          <w:trHeight w:val="41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(ay)</w:t>
            </w: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Liens arising from precautionary Uniform Commercial Code financing statements or similar filings;</w:t>
            </w: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(az)</w:t>
            </w: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8"/>
              </w:rPr>
              <w:t>Liens on insurance policies and the proceeds thereof securing the financing of the premiums with respect thereto in the ordinary</w:t>
            </w:r>
          </w:p>
        </w:tc>
      </w:tr>
      <w:tr>
        <w:trPr>
          <w:trHeight w:val="268"/>
        </w:trPr>
        <w:tc>
          <w:tcPr>
            <w:tcW w:w="500" w:type="dxa"/>
            <w:vAlign w:val="bottom"/>
          </w:tcPr>
          <w:p>
            <w:pPr>
              <w:spacing w:after="0"/>
              <w:rPr>
                <w:sz w:val="23"/>
                <w:szCs w:val="23"/>
                <w:color w:val="auto"/>
              </w:rPr>
            </w:pP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course of business;</w:t>
            </w:r>
          </w:p>
        </w:tc>
      </w:tr>
      <w:tr>
        <w:trPr>
          <w:trHeight w:val="363"/>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(ba)</w:t>
            </w:r>
          </w:p>
        </w:tc>
        <w:tc>
          <w:tcPr>
            <w:tcW w:w="107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8"/>
              </w:rPr>
              <w:t xml:space="preserve">Liens to secure Indebtedness permitted under clause (l) of the definition of “Permitted Debt”; </w:t>
            </w:r>
            <w:r>
              <w:rPr>
                <w:rFonts w:ascii="Times New Roman" w:cs="Times New Roman" w:eastAsia="Times New Roman" w:hAnsi="Times New Roman"/>
                <w:sz w:val="21"/>
                <w:szCs w:val="21"/>
                <w:i w:val="1"/>
                <w:iCs w:val="1"/>
                <w:color w:val="auto"/>
                <w:w w:val="98"/>
              </w:rPr>
              <w:t>provided</w:t>
            </w:r>
            <w:r>
              <w:rPr>
                <w:rFonts w:ascii="Times New Roman" w:cs="Times New Roman" w:eastAsia="Times New Roman" w:hAnsi="Times New Roman"/>
                <w:sz w:val="21"/>
                <w:szCs w:val="21"/>
                <w:color w:val="auto"/>
                <w:w w:val="98"/>
              </w:rPr>
              <w:t xml:space="preserve"> that the representative of</w:t>
            </w:r>
          </w:p>
        </w:tc>
      </w:tr>
      <w:tr>
        <w:trPr>
          <w:trHeight w:val="261"/>
        </w:trPr>
        <w:tc>
          <w:tcPr>
            <w:tcW w:w="500" w:type="dxa"/>
            <w:vAlign w:val="bottom"/>
          </w:tcPr>
          <w:p>
            <w:pPr>
              <w:spacing w:after="0"/>
              <w:rPr>
                <w:sz w:val="22"/>
                <w:szCs w:val="22"/>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5"/>
              </w:rPr>
              <w:t>the holders of each such Indebtedness becomes</w:t>
            </w:r>
          </w:p>
        </w:tc>
        <w:tc>
          <w:tcPr>
            <w:tcW w:w="7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1"/>
                <w:szCs w:val="21"/>
                <w:color w:val="auto"/>
                <w:w w:val="92"/>
              </w:rPr>
              <w:t>party to</w:t>
            </w:r>
          </w:p>
        </w:tc>
        <w:tc>
          <w:tcPr>
            <w:tcW w:w="60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the First Lien Intercreditor Agreement;</w:t>
            </w:r>
          </w:p>
        </w:tc>
      </w:tr>
    </w:tbl>
    <w:p>
      <w:pPr>
        <w:spacing w:after="0" w:line="119" w:lineRule="exact"/>
        <w:rPr>
          <w:sz w:val="20"/>
          <w:szCs w:val="20"/>
          <w:color w:val="auto"/>
        </w:rPr>
      </w:pPr>
    </w:p>
    <w:p>
      <w:pPr>
        <w:ind w:left="620" w:hanging="617"/>
        <w:spacing w:after="0" w:line="235" w:lineRule="auto"/>
        <w:tabs>
          <w:tab w:leader="none" w:pos="703"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assets or property constituting Excluded Assets pursuant to clauses (v), (vii), (viii) and (ix) of the definition of “Excluded Assets”; and</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(bc)</w:t>
        <w:tab/>
        <w:t>Liens created by operation of the JV LLC Agreement.</w:t>
      </w:r>
    </w:p>
    <w:p>
      <w:pPr>
        <w:spacing w:after="0" w:line="17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 xml:space="preserve">Notwithstanding the foregoing, no consensual Liens shall exist on Equity Interests that constitute Collateral other than pursuant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above.</w:t>
      </w:r>
    </w:p>
    <w:p>
      <w:pPr>
        <w:spacing w:after="0" w:line="1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 Liens need not be incurred solely by reference to one category of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but are permitted to be incurred in part under any combination thereof and of any other available exemption,</w:t>
      </w:r>
    </w:p>
    <w:p>
      <w:pPr>
        <w:spacing w:after="0" w:line="1" w:lineRule="exact"/>
        <w:rPr>
          <w:sz w:val="20"/>
          <w:szCs w:val="20"/>
          <w:color w:val="auto"/>
        </w:rPr>
      </w:pPr>
    </w:p>
    <w:p>
      <w:pPr>
        <w:jc w:val="both"/>
        <w:ind w:firstLine="3"/>
        <w:spacing w:after="0" w:line="214" w:lineRule="auto"/>
        <w:tabs>
          <w:tab w:leader="none" w:pos="33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such Lien (or any portion thereof) meets the criteria of one or more of the categories of Liens permitted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7.01</w:t>
      </w:r>
      <w:r>
        <w:rPr>
          <w:rFonts w:ascii="Times New Roman" w:cs="Times New Roman" w:eastAsia="Times New Roman" w:hAnsi="Times New Roman"/>
          <w:sz w:val="21"/>
          <w:szCs w:val="21"/>
          <w:color w:val="auto"/>
        </w:rPr>
        <w:t>, the Borrower shall, in its sole discretion, classify or reclassify such Lien (or any portion thereof) in any manner that complies with such provision and (C) in no event shall the Borrower incur or permit to exist any Lien on its property to secure Indebtedness of the Double E Joint Venture.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Tax Distribution</w:t>
      </w:r>
      <w:r>
        <w:rPr>
          <w:rFonts w:ascii="Times New Roman" w:cs="Times New Roman" w:eastAsia="Times New Roman" w:hAnsi="Times New Roman"/>
          <w:sz w:val="21"/>
          <w:szCs w:val="21"/>
          <w:color w:val="auto"/>
        </w:rPr>
        <w:t xml:space="preserve">” has the meaning assigned to such term in </w:t>
      </w:r>
      <w:r>
        <w:rPr>
          <w:rFonts w:ascii="Times New Roman" w:cs="Times New Roman" w:eastAsia="Times New Roman" w:hAnsi="Times New Roman"/>
          <w:sz w:val="21"/>
          <w:szCs w:val="21"/>
          <w:u w:val="single" w:color="auto"/>
          <w:color w:val="auto"/>
        </w:rPr>
        <w:t>Section 7.07(f)</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Transferee</w:t>
      </w:r>
      <w:r>
        <w:rPr>
          <w:rFonts w:ascii="Times New Roman" w:cs="Times New Roman" w:eastAsia="Times New Roman" w:hAnsi="Times New Roman"/>
          <w:sz w:val="21"/>
          <w:szCs w:val="21"/>
          <w:color w:val="auto"/>
        </w:rPr>
        <w:t xml:space="preserve">” means any Person that, (i) (a) (1) when considered collectively with its Affiliates, has, or is a direct or indirect Subsidiary of a Person that has, a credit rating for senior unsecured long term indebtedness of BBB- or higher from either S&amp;P Global Ratings or Fitch, Inc. or Baa3 or higher from Moody’s or (2) has, or is a direct or indirect Subsidiary of a Person that has, a tangible net worth, assets under management or uncalled capital commitments in an aggregate amount of at least $500,000,000 or, if its securities are publicly traded, equity value of at least $500,000,000 and (b) (1) such Person has substantial experience in the natural gas gathering, processing or transmission business in the United States or has contracted with a third party operator which has substantial experience in the natural gas gathering, processing or transmission business in the United States or (2) Exxon Member assumes control as “operator” of the Project in accordance with the JV LLC Agreement and the O&amp;M Agreement or (ii) is otherwise approved by the Administrative Agent (which approval shall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prior to any such Permitted Transferee acquiring any direct or indirect Equity Interests in the Pledgor, such Permitted Transferee shall have provided to the Administrative Agent and the Lenders such documentation and other information as required by regulatory authorities under applicable “know-your-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134</w:t>
      </w:r>
    </w:p>
    <w:p>
      <w:pPr>
        <w:sectPr>
          <w:pgSz w:w="11900" w:h="16838" w:orient="portrait"/>
          <w:cols w:equalWidth="0" w:num="1">
            <w:col w:w="11240"/>
          </w:cols>
          <w:pgMar w:left="320" w:top="1304"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1"/>
          <w:szCs w:val="21"/>
          <w:color w:val="auto"/>
        </w:rPr>
        <w:t>customer” rules and regulations, including the USA Patriot Act and the Beneficial Ownership Regulation.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Periodic Term SOFR Determination Day</w:t>
      </w:r>
      <w:r>
        <w:rPr>
          <w:rFonts w:ascii="Times New Roman" w:cs="Times New Roman" w:eastAsia="Times New Roman" w:hAnsi="Times New Roman"/>
          <w:sz w:val="21"/>
          <w:szCs w:val="21"/>
          <w:color w:val="auto"/>
        </w:rPr>
        <w:t>” has the meaning specified in the definition of “Term SOFR”.</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Governmental Authority or other entity.</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any “employee benefit plan” (as such term is defined in Section 3(3) of ERISA), other than a Multiemployer Plan, sponsored, maintained or contributed to by the Borrower or, with respect to any such plan that is subject to Section 412 of the Code or Title IV of ERISA, any ERISA Affiliate.</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 Asset Regulations</w:t>
      </w:r>
      <w:r>
        <w:rPr>
          <w:rFonts w:ascii="Times New Roman" w:cs="Times New Roman" w:eastAsia="Times New Roman" w:hAnsi="Times New Roman"/>
          <w:sz w:val="21"/>
          <w:szCs w:val="21"/>
          <w:color w:val="auto"/>
        </w:rPr>
        <w:t>” means the regulations issued by the United States Department of Labor at Section 2510.3-101 of Part 2510 of Chapter XXV, Title 29 of the United States Code of Federal Regulations, as modified by Section 3(42) of ERISA.</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Pledge Agreement</w:t>
      </w:r>
      <w:r>
        <w:rPr>
          <w:rFonts w:ascii="Times New Roman" w:cs="Times New Roman" w:eastAsia="Times New Roman" w:hAnsi="Times New Roman"/>
          <w:sz w:val="21"/>
          <w:szCs w:val="21"/>
          <w:color w:val="auto"/>
        </w:rPr>
        <w:t xml:space="preserve">” means the Pledge Agreement, dated as of the Closing Date and substantially in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between the Pledgor and the Collateral Agent.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Pledged Debt</w:t>
      </w:r>
      <w:r>
        <w:rPr>
          <w:rFonts w:ascii="Times New Roman" w:cs="Times New Roman" w:eastAsia="Times New Roman" w:hAnsi="Times New Roman"/>
          <w:sz w:val="21"/>
          <w:szCs w:val="21"/>
          <w:color w:val="auto"/>
        </w:rPr>
        <w:t>” has the meaning set forth in the Security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Pledged Equity</w:t>
      </w:r>
      <w:r>
        <w:rPr>
          <w:rFonts w:ascii="Times New Roman" w:cs="Times New Roman" w:eastAsia="Times New Roman" w:hAnsi="Times New Roman"/>
          <w:sz w:val="21"/>
          <w:szCs w:val="21"/>
          <w:color w:val="auto"/>
        </w:rPr>
        <w:t>” has the meaning set forth in the Pledge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Pledgor</w:t>
      </w:r>
      <w:r>
        <w:rPr>
          <w:rFonts w:ascii="Times New Roman" w:cs="Times New Roman" w:eastAsia="Times New Roman" w:hAnsi="Times New Roman"/>
          <w:sz w:val="21"/>
          <w:szCs w:val="21"/>
          <w:color w:val="auto"/>
        </w:rPr>
        <w:t>” means Summit Permian Transmission Holdco, LLC, a Delaware limited liability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Prepayment Amount</w:t>
      </w:r>
      <w:r>
        <w:rPr>
          <w:rFonts w:ascii="Times New Roman" w:cs="Times New Roman" w:eastAsia="Times New Roman" w:hAnsi="Times New Roman"/>
          <w:sz w:val="21"/>
          <w:szCs w:val="21"/>
          <w:color w:val="auto"/>
        </w:rPr>
        <w:t>” means, as applicable:</w:t>
      </w:r>
    </w:p>
    <w:p>
      <w:pPr>
        <w:sectPr>
          <w:pgSz w:w="11900" w:h="16838" w:orient="portrait"/>
          <w:cols w:equalWidth="0" w:num="1">
            <w:col w:w="11240"/>
          </w:cols>
          <w:pgMar w:left="320" w:top="1339"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hanging="3"/>
        <w:spacing w:after="0" w:line="235" w:lineRule="auto"/>
        <w:rPr>
          <w:sz w:val="20"/>
          <w:szCs w:val="20"/>
          <w:color w:val="auto"/>
        </w:rPr>
      </w:pPr>
      <w:r>
        <w:rPr>
          <w:rFonts w:ascii="Times New Roman" w:cs="Times New Roman" w:eastAsia="Times New Roman" w:hAnsi="Times New Roman"/>
          <w:sz w:val="21"/>
          <w:szCs w:val="21"/>
          <w:color w:val="auto"/>
        </w:rPr>
        <w:t>in the case of a Material Disposition (other than an Equity Sale) or any other Disposition that is not a Permitted Disposition, an amount equal to the Net Proceeds received by Borrower in connection with such Disposition;</w:t>
      </w:r>
    </w:p>
    <w:p>
      <w:pPr>
        <w:spacing w:after="0" w:line="146" w:lineRule="exact"/>
        <w:rPr>
          <w:sz w:val="20"/>
          <w:szCs w:val="20"/>
          <w:color w:val="auto"/>
        </w:rPr>
      </w:pPr>
    </w:p>
    <w:p>
      <w:pPr>
        <w:sectPr>
          <w:pgSz w:w="11900" w:h="16838" w:orient="portrait"/>
          <w:cols w:equalWidth="0" w:num="2">
            <w:col w:w="340" w:space="280"/>
            <w:col w:w="10620"/>
          </w:cols>
          <w:pgMar w:left="320" w:top="133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(be)</w:t>
      </w:r>
    </w:p>
    <w:p>
      <w:pPr>
        <w:spacing w:after="0" w:line="20" w:lineRule="exact"/>
        <w:rPr>
          <w:sz w:val="20"/>
          <w:szCs w:val="20"/>
          <w:color w:val="auto"/>
        </w:rPr>
      </w:pPr>
      <w:r>
        <w:rPr>
          <w:sz w:val="20"/>
          <w:szCs w:val="20"/>
          <w:color w:val="auto"/>
        </w:rPr>
        <w:br w:type="column"/>
      </w:r>
    </w:p>
    <w:p>
      <w:pPr>
        <w:jc w:val="both"/>
        <w:ind w:hanging="2"/>
        <w:spacing w:after="0" w:line="225" w:lineRule="auto"/>
        <w:rPr>
          <w:sz w:val="20"/>
          <w:szCs w:val="20"/>
          <w:color w:val="auto"/>
        </w:rPr>
      </w:pPr>
      <w:r>
        <w:rPr>
          <w:rFonts w:ascii="Times New Roman" w:cs="Times New Roman" w:eastAsia="Times New Roman" w:hAnsi="Times New Roman"/>
          <w:sz w:val="21"/>
          <w:szCs w:val="21"/>
          <w:color w:val="auto"/>
        </w:rPr>
        <w:t>in the case of Equity Sales, an amount equal to the Net Proceeds received by Borrower in connection with such Equity Sales, which shall not exceed the product of (A) the outstanding principal amount of the Obligations under the Facility and (B) the percentage of the Borrower’s interest in the Double E Joint Venture sold in such transaction;</w:t>
      </w:r>
    </w:p>
    <w:p>
      <w:pPr>
        <w:spacing w:after="0" w:line="146" w:lineRule="exact"/>
        <w:rPr>
          <w:sz w:val="20"/>
          <w:szCs w:val="20"/>
          <w:color w:val="auto"/>
        </w:rPr>
      </w:pPr>
    </w:p>
    <w:p>
      <w:pPr>
        <w:sectPr>
          <w:pgSz w:w="11900" w:h="16838" w:orient="portrait"/>
          <w:cols w:equalWidth="0" w:num="2">
            <w:col w:w="340" w:space="280"/>
            <w:col w:w="10620"/>
          </w:cols>
          <w:pgMar w:left="320" w:top="133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(bf)</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21"/>
          <w:szCs w:val="21"/>
          <w:color w:val="auto"/>
        </w:rPr>
        <w:t>in the case of one or more Material Contract Payments or Casualty Events as a result of which Borrower has received Net Proceeds in the aggregate equal to or in excess of $3,000,000, an amount up to such Net Proceeds received by Borrower in connection with such Material Contract Payment or Casualty Event.</w:t>
      </w:r>
    </w:p>
    <w:p>
      <w:pPr>
        <w:spacing w:after="0" w:line="142" w:lineRule="exact"/>
        <w:rPr>
          <w:sz w:val="20"/>
          <w:szCs w:val="20"/>
          <w:color w:val="auto"/>
        </w:rPr>
      </w:pPr>
    </w:p>
    <w:p>
      <w:pPr>
        <w:sectPr>
          <w:pgSz w:w="11900" w:h="16838" w:orient="portrait"/>
          <w:cols w:equalWidth="0" w:num="2">
            <w:col w:w="320" w:space="300"/>
            <w:col w:w="10620"/>
          </w:cols>
          <w:pgMar w:left="320" w:top="1339" w:right="339" w:bottom="1440" w:gutter="0" w:footer="0" w:header="0"/>
          <w:type w:val="continuous"/>
        </w:sect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Prime Rate</w:t>
      </w:r>
      <w:r>
        <w:rPr>
          <w:rFonts w:ascii="Times New Roman" w:cs="Times New Roman" w:eastAsia="Times New Roman" w:hAnsi="Times New Roman"/>
          <w:sz w:val="21"/>
          <w:szCs w:val="21"/>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Principal Payment Amounts</w:t>
      </w:r>
      <w:r>
        <w:rPr>
          <w:rFonts w:ascii="Times New Roman" w:cs="Times New Roman" w:eastAsia="Times New Roman" w:hAnsi="Times New Roman"/>
          <w:sz w:val="21"/>
          <w:szCs w:val="21"/>
          <w:color w:val="auto"/>
        </w:rPr>
        <w:t>” means scheduled principal and other payments with respect to Pari Passu Permitted Debt (other than Interest Rate Hedge Agreements entered into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135</w:t>
      </w:r>
    </w:p>
    <w:p>
      <w:pPr>
        <w:sectPr>
          <w:pgSz w:w="11900" w:h="16838" w:orient="portrait"/>
          <w:cols w:equalWidth="0" w:num="1">
            <w:col w:w="11240"/>
          </w:cols>
          <w:pgMar w:left="320" w:top="1339" w:right="339" w:bottom="1440" w:gutter="0" w:footer="0" w:header="0"/>
          <w:type w:val="continuous"/>
        </w:sectPr>
      </w:pPr>
    </w:p>
    <w:bookmarkStart w:id="279" w:name="page280"/>
    <w:bookmarkEnd w:id="279"/>
    <w:p>
      <w:pPr>
        <w:jc w:val="both"/>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 Rata Share</w:t>
      </w:r>
      <w:r>
        <w:rPr>
          <w:rFonts w:ascii="Times New Roman" w:cs="Times New Roman" w:eastAsia="Times New Roman" w:hAnsi="Times New Roman"/>
          <w:sz w:val="21"/>
          <w:szCs w:val="21"/>
          <w:color w:val="auto"/>
        </w:rPr>
        <w:t xml:space="preserve">” means, with respect to each Lender, at any time a fraction (expressed as a percentage, carried out to the ninth decimal place), the numerator of which is the amount of the Commitments and, if applicable and without duplication, Loans of such Lender under the applicable Facility or Facilities at such time and the denominator of which is the amount of the Aggregate Commitments under the applicable Facility or Facilities and, if applicable and without duplication, Loans under the applicable Facility or Facilities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the Initial Term Commitments, Delayed Draw Loan Commitments and any Incremental Commitments,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Proceeds</w:t>
      </w:r>
      <w:r>
        <w:rPr>
          <w:rFonts w:ascii="Times New Roman" w:cs="Times New Roman" w:eastAsia="Times New Roman" w:hAnsi="Times New Roman"/>
          <w:sz w:val="21"/>
          <w:szCs w:val="21"/>
          <w:color w:val="auto"/>
        </w:rPr>
        <w:t>” means all cash, cash equivalents, Revenues and other amounts, other than Extraordinary Proceeds and Excluded Proceeds, received by the Borrower.</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Producers Midstream Agreement</w:t>
      </w:r>
      <w:r>
        <w:rPr>
          <w:rFonts w:ascii="Times New Roman" w:cs="Times New Roman" w:eastAsia="Times New Roman" w:hAnsi="Times New Roman"/>
          <w:sz w:val="21"/>
          <w:szCs w:val="21"/>
          <w:color w:val="auto"/>
        </w:rPr>
        <w:t>” the Binding Precedent Agreement for the Dude Receipt Lateral Project &amp; Firm Transportation Service, dated as of August 11, 2025, by and between the Double E Joint Venture and Scurry Downstream, LLC.</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Project</w:t>
      </w:r>
      <w:r>
        <w:rPr>
          <w:rFonts w:ascii="Times New Roman" w:cs="Times New Roman" w:eastAsia="Times New Roman" w:hAnsi="Times New Roman"/>
          <w:sz w:val="21"/>
          <w:szCs w:val="21"/>
          <w:color w:val="auto"/>
        </w:rPr>
        <w:t>” refers to that approximately 135 miles Double E pipeline owned by the Double E Joint Venture, including a 42” mainline and two 30” laterals, together with interconnections, meter stations, and related assets, and provides natural gas transportation from various receipt points in the Delaware Basin and various delivery points in and around the Waha hub, the capacity of which can be increased to over 2.0 Bcf/d through the Compression Addition.</w:t>
      </w:r>
    </w:p>
    <w:p>
      <w:pPr>
        <w:spacing w:after="0" w:line="14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Projected Debt Service</w:t>
      </w:r>
      <w:r>
        <w:rPr>
          <w:rFonts w:ascii="Times New Roman" w:cs="Times New Roman" w:eastAsia="Times New Roman" w:hAnsi="Times New Roman"/>
          <w:sz w:val="20"/>
          <w:szCs w:val="20"/>
          <w:color w:val="auto"/>
        </w:rPr>
        <w:t xml:space="preserve">” means, for any period, the </w:t>
      </w:r>
      <w:r>
        <w:rPr>
          <w:rFonts w:ascii="Times New Roman" w:cs="Times New Roman" w:eastAsia="Times New Roman" w:hAnsi="Times New Roman"/>
          <w:sz w:val="20"/>
          <w:szCs w:val="20"/>
          <w:i w:val="1"/>
          <w:iCs w:val="1"/>
          <w:color w:val="auto"/>
        </w:rPr>
        <w:t>sum</w:t>
      </w:r>
      <w:r>
        <w:rPr>
          <w:rFonts w:ascii="Times New Roman" w:cs="Times New Roman" w:eastAsia="Times New Roman" w:hAnsi="Times New Roman"/>
          <w:sz w:val="20"/>
          <w:szCs w:val="20"/>
          <w:color w:val="auto"/>
        </w:rPr>
        <w:t xml:space="preserve"> of the following projected amounts: (a) scheduled cash interest, commitment fees, letter of credit fees, and scheduled principal payable during such period in respect of the applicable Incremental Facility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any net payments receivable by the Borrower during such period pursuant to Interest Rate Hedge Agreements in connection with the applicable Incremental Facility and (b) any net payments payable by the Borrower during such period pursuant to Interest Rate Hedge Agreements in connection with the applicable Incremental Facility. For the avoidance of doubt, Projected Debt Service shall not include</w:t>
      </w:r>
    </w:p>
    <w:p>
      <w:pPr>
        <w:spacing w:after="0" w:line="3" w:lineRule="exact"/>
        <w:rPr>
          <w:sz w:val="20"/>
          <w:szCs w:val="20"/>
          <w:color w:val="auto"/>
        </w:rPr>
      </w:pPr>
    </w:p>
    <w:p>
      <w:pPr>
        <w:ind w:firstLine="3"/>
        <w:spacing w:after="0" w:line="224" w:lineRule="auto"/>
        <w:tabs>
          <w:tab w:leader="none" w:pos="249"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mandatory prepayments pursuant to the Loan Documents applicable to such Incremental Facility and (ii) any amounts required to be transferred to the Debt Service Reserve Account.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Capacity Lease Agreement</w:t>
      </w:r>
      <w:r>
        <w:rPr>
          <w:rFonts w:ascii="Times New Roman" w:cs="Times New Roman" w:eastAsia="Times New Roman" w:hAnsi="Times New Roman"/>
          <w:sz w:val="21"/>
          <w:szCs w:val="21"/>
          <w:color w:val="auto"/>
        </w:rPr>
        <w:t>” means any capacity lease agreement having an initial term of at least one (1) year and having substantially similar terms to the terms of the Capacity Lease Agreements in effect on the Closing Date, or as otherwise would be more beneficial to the Double E Joint Venture.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Equity Issuance</w:t>
      </w:r>
      <w:r>
        <w:rPr>
          <w:rFonts w:ascii="Times New Roman" w:cs="Times New Roman" w:eastAsia="Times New Roman" w:hAnsi="Times New Roman"/>
          <w:sz w:val="21"/>
          <w:szCs w:val="21"/>
          <w:color w:val="auto"/>
        </w:rPr>
        <w:t xml:space="preserve">” has the meaning given in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Transportation Agreement</w:t>
      </w:r>
      <w:r>
        <w:rPr>
          <w:rFonts w:ascii="Times New Roman" w:cs="Times New Roman" w:eastAsia="Times New Roman" w:hAnsi="Times New Roman"/>
          <w:sz w:val="21"/>
          <w:szCs w:val="21"/>
          <w:color w:val="auto"/>
        </w:rPr>
        <w:t>” means any transportation agreement having an initial term of at least two (2) years and having substantially similar terms to the terms of the Transportation Agreements in effect on the Closing Date, or as otherwise would be more beneficial to the Double E Joint Venture.</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Quarterly Payment Date</w:t>
      </w:r>
      <w:r>
        <w:rPr>
          <w:rFonts w:ascii="Times New Roman" w:cs="Times New Roman" w:eastAsia="Times New Roman" w:hAnsi="Times New Roman"/>
          <w:sz w:val="21"/>
          <w:szCs w:val="21"/>
          <w:color w:val="auto"/>
        </w:rPr>
        <w:t>” means (a) the Initial Quarterly Payment Date and (b) the last Business Day of each March, June, September and December, commencing with the first full quarter after the Initial Quarterly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136</w:t>
      </w:r>
    </w:p>
    <w:p>
      <w:pPr>
        <w:sectPr>
          <w:pgSz w:w="11900" w:h="16838" w:orient="portrait"/>
          <w:cols w:equalWidth="0" w:num="1">
            <w:col w:w="11240"/>
          </w:cols>
          <w:pgMar w:left="320" w:top="1335" w:right="339" w:bottom="1440" w:gutter="0" w:footer="0" w:header="0"/>
        </w:sectPr>
      </w:pPr>
    </w:p>
    <w:bookmarkStart w:id="280" w:name="page281"/>
    <w:bookmarkEnd w:id="280"/>
    <w:p>
      <w:pPr>
        <w:jc w:val="both"/>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Real Property</w:t>
      </w:r>
      <w:r>
        <w:rPr>
          <w:rFonts w:ascii="Times New Roman" w:cs="Times New Roman" w:eastAsia="Times New Roman" w:hAnsi="Times New Roman"/>
          <w:sz w:val="20"/>
          <w:szCs w:val="20"/>
          <w:color w:val="auto"/>
        </w:rPr>
        <w:t>” means,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means: (a) any Agent and (b) any Lender, as applicable.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10.07(d)</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Registered Equivalent Notes</w:t>
      </w:r>
      <w:r>
        <w:rPr>
          <w:rFonts w:ascii="Times New Roman" w:cs="Times New Roman" w:eastAsia="Times New Roman" w:hAnsi="Times New Roman"/>
          <w:sz w:val="21"/>
          <w:szCs w:val="21"/>
          <w:color w:val="auto"/>
        </w:rPr>
        <w:t>” means,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means any spilling, leaking, leaching, pumping, pouring, emitting, escaping, emptying, seeping, discharging, injecting, dumping, depositing or disposing into or through the Environment.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Relevant Governmental Body</w:t>
      </w:r>
      <w:r>
        <w:rPr>
          <w:rFonts w:ascii="Times New Roman" w:cs="Times New Roman" w:eastAsia="Times New Roman" w:hAnsi="Times New Roman"/>
          <w:sz w:val="21"/>
          <w:szCs w:val="21"/>
          <w:color w:val="auto"/>
        </w:rPr>
        <w:t>” means the Federal Reserve Board or the Federal Reserve Bank of New York, or a committee officially endorsed or convened by the Federal Reserve Board or the Federal Reserve Bank of New York, or any successor thereto.</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Reportable Event</w:t>
      </w:r>
      <w:r>
        <w:rPr>
          <w:rFonts w:ascii="Times New Roman" w:cs="Times New Roman" w:eastAsia="Times New Roman" w:hAnsi="Times New Roman"/>
          <w:sz w:val="21"/>
          <w:szCs w:val="21"/>
          <w:color w:val="auto"/>
        </w:rPr>
        <w:t>” means any of the events set forth in Section 4043(c) of ERISA or the regulations issued thereunder with respect to a Pension Plan, other than events for which the thirty (30) day notice period has been waived.</w:t>
      </w:r>
    </w:p>
    <w:p>
      <w:pPr>
        <w:spacing w:after="0" w:line="14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Action</w:t>
      </w:r>
      <w:r>
        <w:rPr>
          <w:rFonts w:ascii="Times New Roman" w:cs="Times New Roman" w:eastAsia="Times New Roman" w:hAnsi="Times New Roman"/>
          <w:sz w:val="20"/>
          <w:szCs w:val="20"/>
          <w:color w:val="auto"/>
        </w:rPr>
        <w:t>” means, with respect to any matter, right, obligation or restriction relating to the Double E Joint Venture under the Loan Documents with respect to which the JV LLC Agreement grants voting, approval or consent rights to the Borrower, or otherwise provides the Borrower with the ability to cause the Double E Joint Venture to take, or restrict the Double E Joint Venture from taking, any action, the exercise by the Borrower of such voting, approval or consent rights under the JV LLC Agreement and the fiduciary duties, if any, of the Borrower as such exercise may be limited by applicable law, to ensure that the obligations or restrictions applicable to the Double E Joint Venture under the Loan Documents are complied with, and/or rights granted to the Double E Joint Venture under the Loan Documents are enforced (or restrictions thereon, not suffered to exist), as applicable, in accordance with the Loan Documents.</w:t>
      </w:r>
    </w:p>
    <w:p>
      <w:pPr>
        <w:spacing w:after="0" w:line="14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Class Lenders</w:t>
      </w:r>
      <w:r>
        <w:rPr>
          <w:rFonts w:ascii="Times New Roman" w:cs="Times New Roman" w:eastAsia="Times New Roman" w:hAnsi="Times New Roman"/>
          <w:sz w:val="21"/>
          <w:szCs w:val="21"/>
          <w:color w:val="auto"/>
        </w:rPr>
        <w:t xml:space="preserve">” means, with respect to any Class on any date of determination, Lenders having more than fifty percent (50.0%) of the sum of (i) the outstanding Loans under such Class and (ii) the aggregate unused Commitments under such Facility;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unused Commitments (if any) of, and the portion of the outstanding Loans under such Class held or deemed held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Defaulting Lender shall be excluded for purposes of making a determination of the Required Class Lenders.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Consent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Contributions</w:t>
      </w:r>
      <w:r>
        <w:rPr>
          <w:rFonts w:ascii="Times New Roman" w:cs="Times New Roman" w:eastAsia="Times New Roman" w:hAnsi="Times New Roman"/>
          <w:sz w:val="21"/>
          <w:szCs w:val="21"/>
          <w:color w:val="auto"/>
        </w:rPr>
        <w:t>” means, with respect to the Double E Joint Venture, upon the issuance of a Capital Call Notice, the Borrower’s pro rata share (based on its Percentage Interest, as defined in the JV LLC Agreement) of the amounts necessary to fund (A) Emergency Expenditures, and (B) the expenditures specified in any Special Construction Project Budget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137</w:t>
      </w:r>
    </w:p>
    <w:p>
      <w:pPr>
        <w:sectPr>
          <w:pgSz w:w="11900" w:h="16838" w:orient="portrait"/>
          <w:cols w:equalWidth="0" w:num="1">
            <w:col w:w="11240"/>
          </w:cols>
          <w:pgMar w:left="320" w:top="1335" w:right="339" w:bottom="1440" w:gutter="0" w:footer="0" w:header="0"/>
        </w:sectPr>
      </w:pPr>
    </w:p>
    <w:bookmarkStart w:id="281" w:name="page282"/>
    <w:bookmarkEnd w:id="281"/>
    <w:p>
      <w:pPr>
        <w:jc w:val="both"/>
        <w:spacing w:after="0" w:line="235" w:lineRule="auto"/>
        <w:rPr>
          <w:sz w:val="20"/>
          <w:szCs w:val="20"/>
          <w:color w:val="auto"/>
        </w:rPr>
      </w:pPr>
      <w:r>
        <w:rPr>
          <w:rFonts w:ascii="Times New Roman" w:cs="Times New Roman" w:eastAsia="Times New Roman" w:hAnsi="Times New Roman"/>
          <w:sz w:val="21"/>
          <w:szCs w:val="21"/>
          <w:color w:val="auto"/>
        </w:rPr>
        <w:t>a Special Construction Project for which such Member is a Participating Member (as such terms are defined in the JV LLC Agreement).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Facility Lenders</w:t>
      </w:r>
      <w:r>
        <w:rPr>
          <w:rFonts w:ascii="Times New Roman" w:cs="Times New Roman" w:eastAsia="Times New Roman" w:hAnsi="Times New Roman"/>
          <w:sz w:val="21"/>
          <w:szCs w:val="21"/>
          <w:color w:val="auto"/>
        </w:rPr>
        <w:t xml:space="preserve">” mean, as of any date of determination, with respect to any Facility, Lenders having more than fifty percent (50.0%) of the sum of (a) the Total Outstanding under such Facility and (b) the aggregate unused Commitments under such Facility;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unused Commitments (if any) of, and the portion of the Total Outstanding under such Facility held or deemed held by, any Defaulting Lender shall be excluded for purposes of making a determination of the Required Facility Lenders.</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Lenders</w:t>
      </w:r>
      <w:r>
        <w:rPr>
          <w:rFonts w:ascii="Times New Roman" w:cs="Times New Roman" w:eastAsia="Times New Roman" w:hAnsi="Times New Roman"/>
          <w:sz w:val="21"/>
          <w:szCs w:val="21"/>
          <w:color w:val="auto"/>
        </w:rPr>
        <w:t xml:space="preserve">” means, as of any date of determination, Lenders having more than fifty percent (50.0%) of the sum of the (a) Total Outstanding and (b) aggregate unused Delayed Draw Loan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unused Term Commitments (if any), and the portion of the Total Outstanding held or deemed held by, any Defaulting Lender shall be excluded for purposes of making a determination of Required Lenders.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6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Responsible Officer</w:t>
      </w:r>
      <w:r>
        <w:rPr>
          <w:rFonts w:ascii="Times New Roman" w:cs="Times New Roman" w:eastAsia="Times New Roman" w:hAnsi="Times New Roman"/>
          <w:sz w:val="21"/>
          <w:szCs w:val="21"/>
          <w:color w:val="auto"/>
        </w:rPr>
        <w:t>” means the chief executive officer, president, vice president, chief financial officer, chief legal officer, treasurer, assistant treasurer, secretary, assistant secretary or any Person who is a manager or managing member of a limited liability company (or any of the preceding with regard to any such manager or managing member) or any other similar officer of the Borrower responsible for the administration of the obligations of the Borrower in respect of the Loan Documents.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Payment Conditions</w:t>
      </w:r>
      <w:r>
        <w:rPr>
          <w:rFonts w:ascii="Times New Roman" w:cs="Times New Roman" w:eastAsia="Times New Roman" w:hAnsi="Times New Roman"/>
          <w:sz w:val="21"/>
          <w:szCs w:val="21"/>
          <w:color w:val="auto"/>
        </w:rPr>
        <w:t>” means, (a) no Default or Event of Default shall have occurred and be continuing and (b) the Total Debt to EBITDA Ratio shall be equal to or less than 6.00:1.00 (for the avoidance of doubt, any calculation of the Total Debt to EBITDA Ratio for purposes of this definition shall not reflect the Borrower EBITDA Adjustment).</w:t>
      </w:r>
    </w:p>
    <w:p>
      <w:pPr>
        <w:spacing w:after="0" w:line="1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 means any dividend or other distribution (whether in cash, securities or other property) with respect to any Equity Interest of the Borrower,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w:t>
      </w:r>
    </w:p>
    <w:p>
      <w:pPr>
        <w:spacing w:after="0" w:line="14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 means, collectively, all contributions, distributions, dividends and other cash and Cash Equivalents actually received by the Borrower other than: (a) Excluded Equity Proceeds; (b) Excluded Debt Proceeds; (c) proceeds of the Initial Term Loans, Delayed Draw Term Loans and Incremental Term Loans; (d) Extraordinary Proceeds; and (e) proceeds of the liquidation or Disposition of Cash Equivalents credited to any Collateral Account (other than Cash Equivalents credited to the Revenue Account) or Excluded Account.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Revenue Account</w:t>
      </w:r>
      <w:r>
        <w:rPr>
          <w:rFonts w:ascii="Times New Roman" w:cs="Times New Roman" w:eastAsia="Times New Roman" w:hAnsi="Times New Roman"/>
          <w:sz w:val="21"/>
          <w:szCs w:val="21"/>
          <w:color w:val="auto"/>
        </w:rPr>
        <w:t>” means account number 6330004750 of the Borrower, established with the Depositary Bank.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S&amp;P</w:t>
      </w:r>
      <w:r>
        <w:rPr>
          <w:rFonts w:ascii="Times New Roman" w:cs="Times New Roman" w:eastAsia="Times New Roman" w:hAnsi="Times New Roman"/>
          <w:sz w:val="21"/>
          <w:szCs w:val="21"/>
          <w:color w:val="auto"/>
        </w:rPr>
        <w:t>” means Standard &amp; Poor’s Ratings Financial Services, a subsidiary of S&amp;P Global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138</w:t>
      </w:r>
    </w:p>
    <w:p>
      <w:pPr>
        <w:sectPr>
          <w:pgSz w:w="11900" w:h="16838" w:orient="portrait"/>
          <w:cols w:equalWidth="0" w:num="1">
            <w:col w:w="11240"/>
          </w:cols>
          <w:pgMar w:left="320" w:top="1339"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Same Day Funds</w:t>
      </w:r>
      <w:r>
        <w:rPr>
          <w:rFonts w:ascii="Times New Roman" w:cs="Times New Roman" w:eastAsia="Times New Roman" w:hAnsi="Times New Roman"/>
          <w:sz w:val="21"/>
          <w:szCs w:val="21"/>
          <w:color w:val="auto"/>
        </w:rPr>
        <w:t>” means immediately available funds.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Country</w:t>
      </w:r>
      <w:r>
        <w:rPr>
          <w:rFonts w:ascii="Times New Roman" w:cs="Times New Roman" w:eastAsia="Times New Roman" w:hAnsi="Times New Roman"/>
          <w:sz w:val="21"/>
          <w:szCs w:val="21"/>
          <w:color w:val="auto"/>
        </w:rPr>
        <w:t>” means, at any time, a country or territory which is the subject or target of comprehensive Sanctions, presently, as of the date hereof, Cuba, Crimea (Ukraine), Iran, Syria and North Korea.</w:t>
      </w:r>
    </w:p>
    <w:p>
      <w:pPr>
        <w:spacing w:after="0" w:line="14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Person</w:t>
      </w:r>
      <w:r>
        <w:rPr>
          <w:rFonts w:ascii="Times New Roman" w:cs="Times New Roman" w:eastAsia="Times New Roman" w:hAnsi="Times New Roman"/>
          <w:sz w:val="21"/>
          <w:szCs w:val="21"/>
          <w:color w:val="auto"/>
        </w:rPr>
        <w:t>” means any Person that is the target of Sanctions, including (a) any Person listed in any list of designated Persons maintained by the US government, including OFAC, the US Department of State, or the US Department of Commerce, or relevant non-US authorities, including the United Nations Security Council, the European Union or its Member States, His Majesty’s Treasury of the United Kingdom or the government of Canada, (b) any Person organized or resident in a Sanctioned Country, or (c) any Person 50% or more owned or, where relevant under applicable Sanctions, controlled by any of the foregoing Person or Persons or acting for or on behalf of any of the foregoing Person or Persons.</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Sanctions</w:t>
      </w:r>
      <w:r>
        <w:rPr>
          <w:rFonts w:ascii="Times New Roman" w:cs="Times New Roman" w:eastAsia="Times New Roman" w:hAnsi="Times New Roman"/>
          <w:sz w:val="21"/>
          <w:szCs w:val="21"/>
          <w:color w:val="auto"/>
        </w:rPr>
        <w:t>” means any international economic sanction administered or enforced by relevant Governmental Authorities, including those administered by the United States government (including without limitation, OFAC and the U.S. Department of State), Canada (including those administered by Global Affairs Canada and Public Safety Canada), the United Nations Security Council, the European Union or its Member States, or His Majesty’s Treasury of the United Kingdom.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Securities and Exchange Commission, or any Governmental Authority succeeding to any of its principal functions.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Interest Rate Hedge Agreement</w:t>
      </w:r>
      <w:r>
        <w:rPr>
          <w:rFonts w:ascii="Times New Roman" w:cs="Times New Roman" w:eastAsia="Times New Roman" w:hAnsi="Times New Roman"/>
          <w:sz w:val="21"/>
          <w:szCs w:val="21"/>
          <w:color w:val="auto"/>
        </w:rPr>
        <w:t>” means any Interest Rate Hedge Agreement that is entered into by and between the Borrower and any Hedge Bank.</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Parties</w:t>
      </w:r>
      <w:r>
        <w:rPr>
          <w:rFonts w:ascii="Times New Roman" w:cs="Times New Roman" w:eastAsia="Times New Roman" w:hAnsi="Times New Roman"/>
          <w:sz w:val="21"/>
          <w:szCs w:val="21"/>
          <w:color w:val="auto"/>
        </w:rPr>
        <w:t xml:space="preserve">” means, collectively, the Administrative Agent, the Collateral Agent, the Lenders, the Hedge Banks, each other lender, issuing bank or other provider of any Super-Priority Permitted Indebtedness (to the extent such Super-Priority Permitted Indebtedness is secured), the Supplemental Agents and each co-agent or sub-agent appointed by the Administrative Agent or Collateral Agent from time to time pursuant to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Security Agreement</w:t>
      </w:r>
      <w:r>
        <w:rPr>
          <w:rFonts w:ascii="Times New Roman" w:cs="Times New Roman" w:eastAsia="Times New Roman" w:hAnsi="Times New Roman"/>
          <w:sz w:val="21"/>
          <w:szCs w:val="21"/>
          <w:color w:val="auto"/>
        </w:rPr>
        <w:t xml:space="preserve">” means the Pledge and Security Agreement, dated as of the Closing Date and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between the Borrower and the Collateral Agent.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SMC</w:t>
      </w:r>
      <w:r>
        <w:rPr>
          <w:rFonts w:ascii="Times New Roman" w:cs="Times New Roman" w:eastAsia="Times New Roman" w:hAnsi="Times New Roman"/>
          <w:sz w:val="21"/>
          <w:szCs w:val="21"/>
          <w:color w:val="auto"/>
        </w:rPr>
        <w:t>” means Summit Midstream Corporation, a Delaware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Administrator</w:t>
      </w:r>
      <w:r>
        <w:rPr>
          <w:rFonts w:ascii="Times New Roman" w:cs="Times New Roman" w:eastAsia="Times New Roman" w:hAnsi="Times New Roman"/>
          <w:sz w:val="21"/>
          <w:szCs w:val="21"/>
          <w:color w:val="auto"/>
        </w:rPr>
        <w:t>” means the Federal Reserve Bank of New York (or a successor administrator of the secured overnight financing rate).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Administrator’s Website</w:t>
      </w:r>
      <w:r>
        <w:rPr>
          <w:rFonts w:ascii="Times New Roman" w:cs="Times New Roman" w:eastAsia="Times New Roman" w:hAnsi="Times New Roman"/>
          <w:sz w:val="21"/>
          <w:szCs w:val="21"/>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Loan</w:t>
      </w:r>
      <w:r>
        <w:rPr>
          <w:rFonts w:ascii="Times New Roman" w:cs="Times New Roman" w:eastAsia="Times New Roman" w:hAnsi="Times New Roman"/>
          <w:sz w:val="21"/>
          <w:szCs w:val="21"/>
          <w:color w:val="auto"/>
        </w:rPr>
        <w:t xml:space="preserve">” means a Loan that bears interest at a rate based on Term SOFR, other than pursuant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of the definition of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139</w:t>
      </w:r>
    </w:p>
    <w:p>
      <w:pPr>
        <w:sectPr>
          <w:pgSz w:w="11900" w:h="16838" w:orient="portrait"/>
          <w:cols w:equalWidth="0" w:num="1">
            <w:col w:w="11240"/>
          </w:cols>
          <w:pgMar w:left="320" w:top="1335"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Sole Lead Arranger</w:t>
      </w:r>
      <w:r>
        <w:rPr>
          <w:rFonts w:ascii="Times New Roman" w:cs="Times New Roman" w:eastAsia="Times New Roman" w:hAnsi="Times New Roman"/>
          <w:sz w:val="21"/>
          <w:szCs w:val="21"/>
          <w:color w:val="auto"/>
        </w:rPr>
        <w:t>” means Nuveen Alternative Advisors LLC, in its capacity as the sole lead arranger.</w:t>
      </w:r>
    </w:p>
    <w:p>
      <w:pPr>
        <w:spacing w:after="0" w:line="17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Solvent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Solvency</w:t>
      </w:r>
      <w:r>
        <w:rPr>
          <w:rFonts w:ascii="Times New Roman" w:cs="Times New Roman" w:eastAsia="Times New Roman" w:hAnsi="Times New Roman"/>
          <w:sz w:val="21"/>
          <w:szCs w:val="21"/>
          <w:color w:val="auto"/>
        </w:rPr>
        <w:t>” mean, with respect to any Person on any date of determination, that on such date (a) the fair value of the assets of such Person exceeds its debts and liabilities, subordinated, contingent or otherwise, (b) the present fair saleable value of the property of such Person is greater than the amount that will be required to pay the probable liability of its debts and other liabilities, subordinated, contingent or otherwise, as such debts and other liabilities become absolute and matured, (c) such Person is able to pay its debts and liabilities, subordinated, contingent or otherwise, as such liabilities become absolute and matured and (d) such Person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10.07(i)</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Swap Voting Matters</w:t>
      </w:r>
      <w:r>
        <w:rPr>
          <w:rFonts w:ascii="Times New Roman" w:cs="Times New Roman" w:eastAsia="Times New Roman" w:hAnsi="Times New Roman"/>
          <w:sz w:val="21"/>
          <w:szCs w:val="21"/>
          <w:color w:val="auto"/>
        </w:rPr>
        <w:t>” has the meaning given in the First Lien Intercreditor Agreement.</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Transaction</w:t>
      </w:r>
      <w:r>
        <w:rPr>
          <w:rFonts w:ascii="Times New Roman" w:cs="Times New Roman" w:eastAsia="Times New Roman" w:hAnsi="Times New Roman"/>
          <w:sz w:val="21"/>
          <w:szCs w:val="21"/>
          <w:color w:val="auto"/>
        </w:rPr>
        <w:t>” means any Investment, Disposition, Equity Sale, issuance of Equity Interests, incurrence or repayment of Indebtedness, Restricted Payment, Borrower EBITDA Adjustment or Incremental Term Loan in respect of which the terms of this Agreement require any test to be calculated on a “pro forma basis” or after giving “pro forma effect”.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Sponsors</w:t>
      </w:r>
      <w:r>
        <w:rPr>
          <w:rFonts w:ascii="Times New Roman" w:cs="Times New Roman" w:eastAsia="Times New Roman" w:hAnsi="Times New Roman"/>
          <w:sz w:val="21"/>
          <w:szCs w:val="21"/>
          <w:color w:val="auto"/>
        </w:rPr>
        <w:t>” means the Summit Member and SMC.</w:t>
      </w:r>
    </w:p>
    <w:p>
      <w:pPr>
        <w:spacing w:after="0" w:line="17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of a Person means a corporation, partnership, joint venture, limited liability company or other business entity of which (a) a majority of the shares of securities or other interests having ordinary voting power for the election of directors or other governing body (other than securities or interests having such power only by reason of the happening of a contingency) are at the time beneficially owned, (b) more than half of the issued share capital is at the time beneficially owned or (c)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Summit Member</w:t>
      </w:r>
      <w:r>
        <w:rPr>
          <w:rFonts w:ascii="Times New Roman" w:cs="Times New Roman" w:eastAsia="Times New Roman" w:hAnsi="Times New Roman"/>
          <w:sz w:val="20"/>
          <w:szCs w:val="20"/>
          <w:color w:val="auto"/>
        </w:rPr>
        <w:t>” means Summit Midstream Permian II, LLC, a Delaware limited liability company, an indirect subsidiary of SMC.</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Supplemental Agent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9.13(a)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Supplemental Agents</w:t>
      </w:r>
      <w:r>
        <w:rPr>
          <w:rFonts w:ascii="Times New Roman" w:cs="Times New Roman" w:eastAsia="Times New Roman" w:hAnsi="Times New Roman"/>
          <w:sz w:val="21"/>
          <w:szCs w:val="21"/>
          <w:color w:val="auto"/>
        </w:rPr>
        <w:t>” shall have the corresponding meaning.</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Super-Priority Hedging Debt</w:t>
      </w:r>
      <w:r>
        <w:rPr>
          <w:rFonts w:ascii="Times New Roman" w:cs="Times New Roman" w:eastAsia="Times New Roman" w:hAnsi="Times New Roman"/>
          <w:sz w:val="21"/>
          <w:szCs w:val="21"/>
          <w:color w:val="auto"/>
        </w:rPr>
        <w:t>” means Secured Interest Rate Hedge Agreements entered into on or after the Closing Date with respect to the Initial Term Loans, the Delayed Draw Term Loans and any Incremental Term Loans.</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Super-Priority Letter of Credit Debt</w:t>
      </w:r>
      <w:r>
        <w:rPr>
          <w:rFonts w:ascii="Times New Roman" w:cs="Times New Roman" w:eastAsia="Times New Roman" w:hAnsi="Times New Roman"/>
          <w:sz w:val="21"/>
          <w:szCs w:val="21"/>
          <w:color w:val="auto"/>
        </w:rPr>
        <w:t>” means all reimbursement obligations, fees and other amounts payable in respect of (a) letters of credit issued for Project-related credit support requirements of the Double E Joint Venture in an aggregate stated amount not to exceed $5,000,000 for all such letters of credit and (b) any DSR Letter of Credit.</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Super-Priority Permitted Indebtedness</w:t>
      </w:r>
      <w:r>
        <w:rPr>
          <w:rFonts w:ascii="Times New Roman" w:cs="Times New Roman" w:eastAsia="Times New Roman" w:hAnsi="Times New Roman"/>
          <w:sz w:val="21"/>
          <w:szCs w:val="21"/>
          <w:color w:val="auto"/>
        </w:rPr>
        <w:t xml:space="preserve">” means Super-Priority Letter of Credit Debt and Super-Priority Hedging Debt, which in each case shall constitute super-priority obligations of the Borrower, may (at the sole option of the Borrower) be unsecured or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ectPr>
          <w:pgSz w:w="11900" w:h="16838" w:orient="portrait"/>
          <w:cols w:equalWidth="0" w:num="1">
            <w:col w:w="11240"/>
          </w:cols>
          <w:pgMar w:left="320" w:top="1335" w:right="339" w:bottom="1440" w:gutter="0" w:footer="0" w:header="0"/>
        </w:sectPr>
      </w:pPr>
    </w:p>
    <w:bookmarkStart w:id="284" w:name="page285"/>
    <w:bookmarkEnd w:id="284"/>
    <w:p>
      <w:pPr>
        <w:jc w:val="both"/>
        <w:spacing w:after="0" w:line="225" w:lineRule="auto"/>
        <w:rPr>
          <w:sz w:val="20"/>
          <w:szCs w:val="20"/>
          <w:color w:val="auto"/>
        </w:rPr>
      </w:pPr>
      <w:r>
        <w:rPr>
          <w:rFonts w:ascii="Times New Roman" w:cs="Times New Roman" w:eastAsia="Times New Roman" w:hAnsi="Times New Roman"/>
          <w:sz w:val="21"/>
          <w:szCs w:val="21"/>
          <w:color w:val="auto"/>
        </w:rPr>
        <w:t>by the Collateral and shall be paid senior in right of payment and enforcement to all other obligations under any Pari Passu Permitted Debt, in each case pursuant to customary intercreditor or similar arrangements reasonably acceptable to the Hedge Bank, the Lenders and the Borrower.</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Swap Termination Amount</w:t>
      </w:r>
      <w:r>
        <w:rPr>
          <w:rFonts w:ascii="Times New Roman" w:cs="Times New Roman" w:eastAsia="Times New Roman" w:hAnsi="Times New Roman"/>
          <w:sz w:val="21"/>
          <w:szCs w:val="21"/>
          <w:color w:val="auto"/>
        </w:rPr>
        <w:t>” means, with respect to a Hedge Transaction, all amounts due and payable by the Borrower under and in connection with a Secured Interest Rate Hedge Agreement as a result of the termination of a Hedge Transaction (in whole or in part) pursuant to the terms of such Secured Interest Rate Hedge Agreement.</w:t>
      </w:r>
    </w:p>
    <w:p>
      <w:pPr>
        <w:spacing w:after="0" w:line="14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Swap Termination Value</w:t>
      </w:r>
      <w:r>
        <w:rPr>
          <w:rFonts w:ascii="Times New Roman" w:cs="Times New Roman" w:eastAsia="Times New Roman" w:hAnsi="Times New Roman"/>
          <w:sz w:val="21"/>
          <w:szCs w:val="21"/>
          <w:color w:val="auto"/>
        </w:rPr>
        <w:t xml:space="preserve">” means, in respect of any one or more Secured Interest Rate Hedge Agreements, after taking into account the effect of any legally enforceable netting agreement relating to such Secured Interest Rate Hedge Agreements, (a) for any date on or after the date such Secured Interest Rate Hedge Agreements have been closed out and termination value(s) determined in accordance therewith, such termination value(s) (expressed as a negative number if due and payable to the Borrower and otherwise a positive number), and (b) for any date prior to the date referenced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 amount(s) determined as the mark-to-market value(s) for such Secured Interest Rate Hedge Agreements, as determined based upon one or more mid-market or other readily available quotations provided by any recognized dealer in such Secured Interest Rate Hedge Agreements (which may include a Lender or any Affiliate of a Lender) (expressed as a negative number if due and payable to a Borrower and otherwise a positive number), subject to a minimum of zero.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Commitment</w:t>
      </w:r>
      <w:r>
        <w:rPr>
          <w:rFonts w:ascii="Times New Roman" w:cs="Times New Roman" w:eastAsia="Times New Roman" w:hAnsi="Times New Roman"/>
          <w:sz w:val="21"/>
          <w:szCs w:val="21"/>
          <w:color w:val="auto"/>
        </w:rPr>
        <w:t>” means any Initial Term Commitment, Delayed Draw Loan Commitment or Incremental Commitment, as the context may require.</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Loan Facility</w:t>
      </w:r>
      <w:r>
        <w:rPr>
          <w:rFonts w:ascii="Times New Roman" w:cs="Times New Roman" w:eastAsia="Times New Roman" w:hAnsi="Times New Roman"/>
          <w:sz w:val="21"/>
          <w:szCs w:val="21"/>
          <w:color w:val="auto"/>
        </w:rPr>
        <w:t>” means, at any time, the aggregate amount at such time of the Term Commitments and the extensions of credit made under this Agreement by the Lenders.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Loan Increase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Loans</w:t>
      </w:r>
      <w:r>
        <w:rPr>
          <w:rFonts w:ascii="Times New Roman" w:cs="Times New Roman" w:eastAsia="Times New Roman" w:hAnsi="Times New Roman"/>
          <w:sz w:val="21"/>
          <w:szCs w:val="21"/>
          <w:color w:val="auto"/>
        </w:rPr>
        <w:t>” any Initial Term Loan, Delayed Draw Term Loan or Incremental Term Loan, as the context may require.</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Note</w:t>
      </w:r>
      <w:r>
        <w:rPr>
          <w:rFonts w:ascii="Times New Roman" w:cs="Times New Roman" w:eastAsia="Times New Roman" w:hAnsi="Times New Roman"/>
          <w:sz w:val="21"/>
          <w:szCs w:val="21"/>
          <w:color w:val="auto"/>
        </w:rPr>
        <w:t xml:space="preserve">” means a promissory note of the Borrower payable to any Lender or its registered assigns, in substantially the form of </w:t>
      </w:r>
      <w:r>
        <w:rPr>
          <w:rFonts w:ascii="Times New Roman" w:cs="Times New Roman" w:eastAsia="Times New Roman" w:hAnsi="Times New Roman"/>
          <w:sz w:val="21"/>
          <w:szCs w:val="21"/>
          <w:u w:val="single" w:color="auto"/>
          <w:color w:val="auto"/>
        </w:rPr>
        <w:t>Exhibit D-1</w:t>
      </w:r>
      <w:r>
        <w:rPr>
          <w:rFonts w:ascii="Times New Roman" w:cs="Times New Roman" w:eastAsia="Times New Roman" w:hAnsi="Times New Roman"/>
          <w:sz w:val="21"/>
          <w:szCs w:val="21"/>
          <w:color w:val="auto"/>
        </w:rPr>
        <w:t xml:space="preserve"> hereto, evidencing the aggregate Indebtedness of the Borrower to such Lender resulting from the Term Loans made by such Lender.</w:t>
      </w:r>
    </w:p>
    <w:p>
      <w:pPr>
        <w:spacing w:after="0" w:line="14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(a) 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as of 5:00 p.m. (New York City time) on any Periodic Term SOFR Determination Day the Term SOFR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Reference Rate for the applicable tenor has not been published by the Term SOFR Administrator, then, at the option of the Borrower,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w:t>
      </w:r>
      <w:r>
        <w:rPr>
          <w:rFonts w:ascii="Times New Roman" w:cs="Times New Roman" w:eastAsia="Times New Roman" w:hAnsi="Times New Roman"/>
          <w:sz w:val="20"/>
          <w:szCs w:val="20"/>
          <w:b w:val="1"/>
          <w:bCs w:val="1"/>
          <w:color w:val="auto"/>
        </w:rPr>
        <w:t>Base Rate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141</w:t>
      </w:r>
    </w:p>
    <w:p>
      <w:pPr>
        <w:sectPr>
          <w:pgSz w:w="11900" w:h="16838" w:orient="portrait"/>
          <w:cols w:equalWidth="0" w:num="1">
            <w:col w:w="11240"/>
          </w:cols>
          <w:pgMar w:left="320" w:top="1339" w:right="339" w:bottom="1440" w:gutter="0" w:footer="0" w:header="0"/>
        </w:sectPr>
      </w:pPr>
    </w:p>
    <w:bookmarkStart w:id="285" w:name="page286"/>
    <w:bookmarkEnd w:id="285"/>
    <w:p>
      <w:pPr>
        <w:jc w:val="both"/>
        <w:spacing w:after="0" w:line="213" w:lineRule="auto"/>
        <w:rPr>
          <w:sz w:val="20"/>
          <w:szCs w:val="20"/>
          <w:color w:val="auto"/>
        </w:rPr>
      </w:pPr>
      <w:r>
        <w:rPr>
          <w:rFonts w:ascii="Times New Roman" w:cs="Times New Roman" w:eastAsia="Times New Roman" w:hAnsi="Times New Roman"/>
          <w:sz w:val="21"/>
          <w:szCs w:val="21"/>
          <w:b w:val="1"/>
          <w:bCs w:val="1"/>
          <w:color w:val="auto"/>
        </w:rPr>
        <w:t>Determination Day</w:t>
      </w:r>
      <w:r>
        <w:rPr>
          <w:rFonts w:ascii="Times New Roman" w:cs="Times New Roman" w:eastAsia="Times New Roman" w:hAnsi="Times New Roman"/>
          <w:sz w:val="21"/>
          <w:szCs w:val="21"/>
          <w:color w:val="auto"/>
        </w:rPr>
        <w:t>”) that is two (2) U.S. Government Securities Business Days prior to such day, as such rate is published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 SOFR Administrator;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as of 5:00 p.m. (New York City time) on any Base Rate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in no case shall Term SOFR be less than the Applicable SOFR Floor.</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Administrator</w:t>
      </w:r>
      <w:r>
        <w:rPr>
          <w:rFonts w:ascii="Times New Roman" w:cs="Times New Roman" w:eastAsia="Times New Roman" w:hAnsi="Times New Roman"/>
          <w:sz w:val="21"/>
          <w:szCs w:val="21"/>
          <w:color w:val="auto"/>
        </w:rPr>
        <w:t>” means CME Group Benchmark Administration Limited (CBA) (or a successor administrator of the Term SOFR Reference Rate as mutually agreed by the Administrative Agent and the Borrower).</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Reference Rate</w:t>
      </w:r>
      <w:r>
        <w:rPr>
          <w:rFonts w:ascii="Times New Roman" w:cs="Times New Roman" w:eastAsia="Times New Roman" w:hAnsi="Times New Roman"/>
          <w:sz w:val="21"/>
          <w:szCs w:val="21"/>
          <w:color w:val="auto"/>
        </w:rPr>
        <w:t>” means, for any day and time, with respect to any Term SOFR borrowing for any interest period, the rate per annum determined by the Administrative Agent as the forward-looking term rate based on SOFR.</w:t>
      </w:r>
    </w:p>
    <w:p>
      <w:pPr>
        <w:spacing w:after="0" w:line="14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Test Period</w:t>
      </w:r>
      <w:r>
        <w:rPr>
          <w:rFonts w:ascii="Times New Roman" w:cs="Times New Roman" w:eastAsia="Times New Roman" w:hAnsi="Times New Roman"/>
          <w:sz w:val="21"/>
          <w:szCs w:val="21"/>
          <w:color w:val="auto"/>
        </w:rPr>
        <w:t xml:space="preserve">” means (a) for any date of determination under this Agreement, the latest four consecutive fiscal quarters of the Borrower for which financial statements have been delivered to the Administrative Agent after the Closing Date and/or for which financial statements are required to be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as applicable and (b) solely for any date of determination for the calculation of the Debt Service Coverage Ratio under this Agreement occurring prior to December 31, 2026, such number of fiscal quarters of the Borrower for which financial statements are required to be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which have been completed prior to December 31, 2026;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period prior to the first anniversary of the Closing Date, for any calculation based upon the Test Period, such calculation shall be adjusted based upon its product with the number of days elapsed between such date of determination and the Closing Date, divided by 365 days.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Threshold Amount</w:t>
      </w:r>
      <w:r>
        <w:rPr>
          <w:rFonts w:ascii="Times New Roman" w:cs="Times New Roman" w:eastAsia="Times New Roman" w:hAnsi="Times New Roman"/>
          <w:sz w:val="21"/>
          <w:szCs w:val="21"/>
          <w:color w:val="auto"/>
        </w:rPr>
        <w:t>” means, in the case of Borrower, $3,000,000, and in the case of the Double E Joint Venture, $10,000,000.</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Debt</w:t>
      </w:r>
      <w:r>
        <w:rPr>
          <w:rFonts w:ascii="Times New Roman" w:cs="Times New Roman" w:eastAsia="Times New Roman" w:hAnsi="Times New Roman"/>
          <w:sz w:val="21"/>
          <w:szCs w:val="21"/>
          <w:color w:val="auto"/>
        </w:rPr>
        <w:t xml:space="preserve">” means, as at any date of determination, the aggregate amount of Indebtedness of the Borrower as of such date of determination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lesser of (x) the aggregate amount of cash and Cash Equivalents of the Borrower in the Collateral Accounts as of such date of determination and (y) $7,000,000.</w:t>
      </w:r>
    </w:p>
    <w:p>
      <w:pPr>
        <w:spacing w:after="0" w:line="14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Debt to EBITDA Ratio</w:t>
      </w:r>
      <w:r>
        <w:rPr>
          <w:rFonts w:ascii="Times New Roman" w:cs="Times New Roman" w:eastAsia="Times New Roman" w:hAnsi="Times New Roman"/>
          <w:sz w:val="21"/>
          <w:szCs w:val="21"/>
          <w:color w:val="auto"/>
        </w:rPr>
        <w:t xml:space="preserve">” means, on any date of determination, the ratio of (a) Total Debt to (b) Borrower EBITDA for the Test Period most recently ended on or prior to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solely for purposes of any calculation of the Total Debt to EBITDA Ratio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7.18</w:t>
      </w:r>
      <w:r>
        <w:rPr>
          <w:rFonts w:ascii="Times New Roman" w:cs="Times New Roman" w:eastAsia="Times New Roman" w:hAnsi="Times New Roman"/>
          <w:sz w:val="21"/>
          <w:szCs w:val="21"/>
          <w:color w:val="auto"/>
        </w:rPr>
        <w:t>, Borrower EBITDA may, at the Borrower’s option, be determined on a pro forma basis taking into account any Borrower EBITDA Adjustment.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Outstanding</w:t>
      </w:r>
      <w:r>
        <w:rPr>
          <w:rFonts w:ascii="Times New Roman" w:cs="Times New Roman" w:eastAsia="Times New Roman" w:hAnsi="Times New Roman"/>
          <w:sz w:val="21"/>
          <w:szCs w:val="21"/>
          <w:color w:val="auto"/>
        </w:rPr>
        <w:t>” means the aggregate Outstanding Amount of all Loans.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TPG Preferred Equity</w:t>
      </w:r>
      <w:r>
        <w:rPr>
          <w:rFonts w:ascii="Times New Roman" w:cs="Times New Roman" w:eastAsia="Times New Roman" w:hAnsi="Times New Roman"/>
          <w:sz w:val="21"/>
          <w:szCs w:val="21"/>
          <w:color w:val="auto"/>
        </w:rPr>
        <w:t>” means the “Series A Preferred Units” as defined in that certain Amended and Restated Limited Liability Company Agreement of Pledgor, dated as of December 24,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142</w:t>
      </w:r>
    </w:p>
    <w:p>
      <w:pPr>
        <w:sectPr>
          <w:pgSz w:w="11900" w:h="16838" w:orient="portrait"/>
          <w:cols w:equalWidth="0" w:num="1">
            <w:col w:w="11240"/>
          </w:cols>
          <w:pgMar w:left="320" w:top="1335" w:right="339" w:bottom="1440" w:gutter="0" w:footer="0" w:header="0"/>
        </w:sectPr>
      </w:pPr>
    </w:p>
    <w:bookmarkStart w:id="286" w:name="page287"/>
    <w:bookmarkEnd w:id="286"/>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 Expenses</w:t>
      </w:r>
      <w:r>
        <w:rPr>
          <w:rFonts w:ascii="Times New Roman" w:cs="Times New Roman" w:eastAsia="Times New Roman" w:hAnsi="Times New Roman"/>
          <w:sz w:val="21"/>
          <w:szCs w:val="21"/>
          <w:color w:val="auto"/>
        </w:rPr>
        <w:t>” means any fees or expenses incurred or paid by the Sponsors and the Borrower in connection with the Transactions (including expenses in connection with hedging transactions related to the Obligations and any original issue discount or upfront fees), this Agreement and the other Loan Documents and the transactions contemplated hereby and thereby.</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Transactions</w:t>
      </w:r>
      <w:r>
        <w:rPr>
          <w:rFonts w:ascii="Times New Roman" w:cs="Times New Roman" w:eastAsia="Times New Roman" w:hAnsi="Times New Roman"/>
          <w:sz w:val="21"/>
          <w:szCs w:val="21"/>
          <w:color w:val="auto"/>
        </w:rPr>
        <w:t>” means, collectively, (a) the funding of the Initial Term Loans on the Closing Date and the execution and delivery of Loan Documents, (b) the establishment of the Collateral Accounts on the Closing Date and (c) the payment of Transaction Expenses.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Transportation Agreement</w:t>
      </w:r>
      <w:r>
        <w:rPr>
          <w:rFonts w:ascii="Times New Roman" w:cs="Times New Roman" w:eastAsia="Times New Roman" w:hAnsi="Times New Roman"/>
          <w:sz w:val="21"/>
          <w:szCs w:val="21"/>
          <w:color w:val="auto"/>
        </w:rPr>
        <w:t xml:space="preserve">” means each transportation agreement listed in Part II of </w:t>
      </w:r>
      <w:r>
        <w:rPr>
          <w:rFonts w:ascii="Times New Roman" w:cs="Times New Roman" w:eastAsia="Times New Roman" w:hAnsi="Times New Roman"/>
          <w:sz w:val="21"/>
          <w:szCs w:val="21"/>
          <w:u w:val="single" w:color="auto"/>
          <w:color w:val="auto"/>
        </w:rPr>
        <w:t>Schedule 1.01B</w:t>
      </w:r>
      <w:r>
        <w:rPr>
          <w:rFonts w:ascii="Times New Roman" w:cs="Times New Roman" w:eastAsia="Times New Roman" w:hAnsi="Times New Roman"/>
          <w:sz w:val="21"/>
          <w:szCs w:val="21"/>
          <w:color w:val="auto"/>
        </w:rPr>
        <w:t xml:space="preserve"> and any Qualified Transportation Agreement.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Transwestern Agreement</w:t>
      </w:r>
      <w:r>
        <w:rPr>
          <w:rFonts w:ascii="Times New Roman" w:cs="Times New Roman" w:eastAsia="Times New Roman" w:hAnsi="Times New Roman"/>
          <w:sz w:val="21"/>
          <w:szCs w:val="21"/>
          <w:color w:val="auto"/>
        </w:rPr>
        <w:t>” means the Binding Precedent Agreement for the TW Carlsbad Expansion Project, dated as of January 30, 2026, by and between the Double E Joint Venture and Transwestern Pipeline Company,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Type</w:t>
      </w:r>
      <w:r>
        <w:rPr>
          <w:rFonts w:ascii="Times New Roman" w:cs="Times New Roman" w:eastAsia="Times New Roman" w:hAnsi="Times New Roman"/>
          <w:sz w:val="21"/>
          <w:szCs w:val="21"/>
          <w:color w:val="auto"/>
        </w:rPr>
        <w:t>” means, with respect to a Loan, its character as a Base Rate Loan or a SOFR Loan.</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Financial Institutions</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Undisclosed Administration</w:t>
      </w:r>
      <w:r>
        <w:rPr>
          <w:rFonts w:ascii="Times New Roman" w:cs="Times New Roman" w:eastAsia="Times New Roman" w:hAnsi="Times New Roman"/>
          <w:sz w:val="21"/>
          <w:szCs w:val="21"/>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Uniform Commercial Code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UCC</w:t>
      </w:r>
      <w:r>
        <w:rPr>
          <w:rFonts w:ascii="Times New Roman" w:cs="Times New Roman" w:eastAsia="Times New Roman" w:hAnsi="Times New Roman"/>
          <w:sz w:val="21"/>
          <w:szCs w:val="21"/>
          <w:color w:val="auto"/>
        </w:rPr>
        <w:t xml:space="preserve">” means the Uniform Commercial Code as the same may from time to time be in effect in the State of New York;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perfection or the effect of perfection or non-perfection or the priority of the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 Tax 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Exhibits I-1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I-4</w:t>
      </w:r>
      <w:r>
        <w:rPr>
          <w:rFonts w:ascii="Times New Roman" w:cs="Times New Roman" w:eastAsia="Times New Roman" w:hAnsi="Times New Roman"/>
          <w:sz w:val="21"/>
          <w:szCs w:val="21"/>
          <w:color w:val="auto"/>
        </w:rPr>
        <w:t xml:space="preserve"> hereto,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143</w:t>
      </w:r>
    </w:p>
    <w:p>
      <w:pPr>
        <w:sectPr>
          <w:pgSz w:w="11900" w:h="16838" w:orient="portrait"/>
          <w:cols w:equalWidth="0" w:num="1">
            <w:col w:w="11240"/>
          </w:cols>
          <w:pgMar w:left="320" w:top="1335" w:right="339" w:bottom="1440" w:gutter="0" w:footer="0" w:header="0"/>
        </w:sectPr>
      </w:pPr>
    </w:p>
    <w:bookmarkStart w:id="287" w:name="page288"/>
    <w:bookmarkEnd w:id="287"/>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USA PATRIOT Act</w:t>
      </w:r>
      <w:r>
        <w:rPr>
          <w:rFonts w:ascii="Times New Roman" w:cs="Times New Roman" w:eastAsia="Times New Roman" w:hAnsi="Times New Roman"/>
          <w:sz w:val="21"/>
          <w:szCs w:val="21"/>
          <w:color w:val="auto"/>
        </w:rPr>
        <w:t>” means the Uniting and Strengthening America by Providing Appropriate Tools Required to Intercept and Obstruct Terrorism Act of 2001, Public Law 10756, as amended or modified from time to time.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Government Securities Business Day</w:t>
      </w:r>
      <w:r>
        <w:rPr>
          <w:rFonts w:ascii="Times New Roman" w:cs="Times New Roman" w:eastAsia="Times New Roman" w:hAnsi="Times New Roman"/>
          <w:sz w:val="21"/>
          <w:szCs w:val="21"/>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Person</w:t>
      </w:r>
      <w:r>
        <w:rPr>
          <w:rFonts w:ascii="Times New Roman" w:cs="Times New Roman" w:eastAsia="Times New Roman" w:hAnsi="Times New Roman"/>
          <w:sz w:val="21"/>
          <w:szCs w:val="21"/>
          <w:color w:val="auto"/>
        </w:rPr>
        <w:t>” means any Person that is a “United States Person” (as defined in Section 7701(a)(30) of the Code).</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Weighted Average Life to Maturity</w:t>
      </w:r>
      <w:r>
        <w:rPr>
          <w:rFonts w:ascii="Times New Roman" w:cs="Times New Roman" w:eastAsia="Times New Roman" w:hAnsi="Times New Roman"/>
          <w:sz w:val="21"/>
          <w:szCs w:val="21"/>
          <w:color w:val="auto"/>
        </w:rPr>
        <w:t xml:space="preserve">” means, when applied to any Indebtedness at any date, the number of years obtained by dividing: (a) the </w:t>
      </w:r>
      <w:r>
        <w:rPr>
          <w:rFonts w:ascii="Times New Roman" w:cs="Times New Roman" w:eastAsia="Times New Roman" w:hAnsi="Times New Roman"/>
          <w:sz w:val="21"/>
          <w:szCs w:val="21"/>
          <w:i w:val="1"/>
          <w:iCs w:val="1"/>
          <w:color w:val="auto"/>
        </w:rPr>
        <w:t>sum</w:t>
      </w:r>
      <w:r>
        <w:rPr>
          <w:rFonts w:ascii="Times New Roman" w:cs="Times New Roman" w:eastAsia="Times New Roman" w:hAnsi="Times New Roman"/>
          <w:sz w:val="21"/>
          <w:szCs w:val="21"/>
          <w:color w:val="auto"/>
        </w:rPr>
        <w:t xml:space="preserve"> of the products obtained by </w:t>
      </w:r>
      <w:r>
        <w:rPr>
          <w:rFonts w:ascii="Times New Roman" w:cs="Times New Roman" w:eastAsia="Times New Roman" w:hAnsi="Times New Roman"/>
          <w:sz w:val="21"/>
          <w:szCs w:val="21"/>
          <w:i w:val="1"/>
          <w:iCs w:val="1"/>
          <w:color w:val="auto"/>
        </w:rPr>
        <w:t>multiplying</w:t>
      </w:r>
      <w:r>
        <w:rPr>
          <w:rFonts w:ascii="Times New Roman" w:cs="Times New Roman" w:eastAsia="Times New Roman" w:hAnsi="Times New Roman"/>
          <w:sz w:val="21"/>
          <w:szCs w:val="21"/>
          <w:color w:val="auto"/>
        </w:rPr>
        <w:t xml:space="preserve"> (i) the amount of each then remaining installment, sinking fund, serial maturity or other required payments of principal, including payment at final maturity or redemption, in respect thereof, by (ii) the number of years (calculated to the nearest one-twelfth) that will elapse between such date and the making of such payment; by (b) the then outstanding principal amount of such Indebtedness.</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wholly owned</w:t>
      </w:r>
      <w:r>
        <w:rPr>
          <w:rFonts w:ascii="Times New Roman" w:cs="Times New Roman" w:eastAsia="Times New Roman" w:hAnsi="Times New Roman"/>
          <w:sz w:val="21"/>
          <w:szCs w:val="21"/>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Withholding Agent</w:t>
      </w:r>
      <w:r>
        <w:rPr>
          <w:rFonts w:ascii="Times New Roman" w:cs="Times New Roman" w:eastAsia="Times New Roman" w:hAnsi="Times New Roman"/>
          <w:sz w:val="21"/>
          <w:szCs w:val="21"/>
          <w:color w:val="auto"/>
        </w:rPr>
        <w:t>” means the Borrower and the Administrative Agent.</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XOM Contract</w:t>
      </w:r>
      <w:r>
        <w:rPr>
          <w:rFonts w:ascii="Times New Roman" w:cs="Times New Roman" w:eastAsia="Times New Roman" w:hAnsi="Times New Roman"/>
          <w:sz w:val="21"/>
          <w:szCs w:val="21"/>
          <w:color w:val="auto"/>
        </w:rPr>
        <w:t>” means that Firm Transportation Services Agreement, dated September 29, 2023, by and between the Double E Joint Venture and ExxonMobil Oil Corporation.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RULES OF INTERPRETATION</w:t>
      </w:r>
    </w:p>
    <w:p>
      <w:pPr>
        <w:spacing w:after="0" w:line="188" w:lineRule="exact"/>
        <w:rPr>
          <w:sz w:val="20"/>
          <w:szCs w:val="20"/>
          <w:color w:val="auto"/>
        </w:rPr>
      </w:pPr>
    </w:p>
    <w:p>
      <w:pPr>
        <w:ind w:left="620" w:hanging="617"/>
        <w:spacing w:after="0" w:line="215" w:lineRule="auto"/>
        <w:tabs>
          <w:tab w:leader="none" w:pos="620" w:val="left"/>
        </w:tabs>
        <w:numPr>
          <w:ilvl w:val="0"/>
          <w:numId w:val="23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Other Interpretive Provisions</w:t>
      </w:r>
      <w:r>
        <w:rPr>
          <w:rFonts w:ascii="Times New Roman" w:cs="Times New Roman" w:eastAsia="Times New Roman" w:hAnsi="Times New Roman"/>
          <w:sz w:val="21"/>
          <w:szCs w:val="21"/>
          <w:color w:val="auto"/>
        </w:rPr>
        <w:t>. With reference to this Agreement and each other Loan Document, unless otherwise specified herein or in such other Loan Document:</w:t>
      </w:r>
    </w:p>
    <w:p>
      <w:pPr>
        <w:spacing w:after="0" w:line="1" w:lineRule="exact"/>
        <w:rPr>
          <w:rFonts w:ascii="Times New Roman" w:cs="Times New Roman" w:eastAsia="Times New Roman" w:hAnsi="Times New Roman"/>
          <w:sz w:val="21"/>
          <w:szCs w:val="21"/>
          <w:u w:val="single" w:color="auto"/>
          <w:color w:val="auto"/>
        </w:rPr>
      </w:pPr>
    </w:p>
    <w:p>
      <w:pPr>
        <w:ind w:left="1860" w:hanging="619"/>
        <w:spacing w:after="0"/>
        <w:tabs>
          <w:tab w:leader="none" w:pos="1860"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meanings of defined terms are equally applicable to the singular and plural forms of the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144</w:t>
      </w:r>
    </w:p>
    <w:p>
      <w:pPr>
        <w:sectPr>
          <w:pgSz w:w="11900" w:h="16838" w:orient="portrait"/>
          <w:cols w:equalWidth="0" w:num="1">
            <w:col w:w="11240"/>
          </w:cols>
          <w:pgMar w:left="320" w:top="1335" w:right="339" w:bottom="1440" w:gutter="0" w:footer="0" w:header="0"/>
        </w:sectPr>
      </w:pPr>
    </w:p>
    <w:bookmarkStart w:id="288" w:name="page289"/>
    <w:bookmarkEnd w:id="288"/>
    <w:p>
      <w:pPr>
        <w:ind w:left="620" w:firstLine="621"/>
        <w:spacing w:after="0" w:line="235" w:lineRule="auto"/>
        <w:tabs>
          <w:tab w:leader="none" w:pos="1853"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“herein,” “hereto,” “hereof” and “hereunder” and words of similar import when used in any Loan Document shall refer to such Loan Document as a whole and not to any particular provision thereof.</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4"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Article, Section, Exhibit and Schedule references are to the Loan Document in which such reference appears (and, for avoidance of doubt, Article, Section, Exhibit and Schedule references in this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are to the Credit Agreement unless otherwise specified herein).</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“including” is by way of example and not limitation.</w:t>
      </w:r>
    </w:p>
    <w:p>
      <w:pPr>
        <w:spacing w:after="0" w:line="171" w:lineRule="exact"/>
        <w:rPr>
          <w:rFonts w:ascii="Times New Roman" w:cs="Times New Roman" w:eastAsia="Times New Roman" w:hAnsi="Times New Roman"/>
          <w:sz w:val="21"/>
          <w:szCs w:val="21"/>
          <w:color w:val="auto"/>
        </w:rPr>
      </w:pPr>
    </w:p>
    <w:p>
      <w:pPr>
        <w:ind w:left="620" w:firstLine="621"/>
        <w:spacing w:after="0" w:line="235" w:lineRule="auto"/>
        <w:tabs>
          <w:tab w:leader="none" w:pos="1854"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“documents” includes any and all instruments, documents, agreements, certificates, notices, reports, financial statements and other writings, however evidenced, whether in physical or electronic form.</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7"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45" w:lineRule="exact"/>
        <w:rPr>
          <w:rFonts w:ascii="Times New Roman" w:cs="Times New Roman" w:eastAsia="Times New Roman" w:hAnsi="Times New Roman"/>
          <w:sz w:val="21"/>
          <w:szCs w:val="21"/>
          <w:color w:val="auto"/>
        </w:rPr>
      </w:pPr>
    </w:p>
    <w:p>
      <w:pPr>
        <w:ind w:left="620" w:firstLine="621"/>
        <w:spacing w:after="0" w:line="235" w:lineRule="auto"/>
        <w:tabs>
          <w:tab w:leader="none" w:pos="1853"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the other Loan Documents are included for convenience of reference only and shall not affect the interpretation of this Agreement or any other Loan Document.</w:t>
      </w:r>
    </w:p>
    <w:p>
      <w:pPr>
        <w:spacing w:after="0" w:line="145" w:lineRule="exact"/>
        <w:rPr>
          <w:rFonts w:ascii="Times New Roman" w:cs="Times New Roman" w:eastAsia="Times New Roman" w:hAnsi="Times New Roman"/>
          <w:sz w:val="21"/>
          <w:szCs w:val="21"/>
          <w:color w:val="auto"/>
        </w:rPr>
      </w:pPr>
    </w:p>
    <w:p>
      <w:pPr>
        <w:jc w:val="both"/>
        <w:ind w:left="620" w:firstLine="621"/>
        <w:spacing w:after="0" w:line="225" w:lineRule="auto"/>
        <w:tabs>
          <w:tab w:leader="none" w:pos="1853"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reference is made herein or in any other Loan Document to judgment of the Administrative Agent (but, for avoidance of doubt, not of the Collateral Agent or any other non-fiduciary Agent), such reference to judgment shall be construed to mean discretion, solely insofar as such term applies to the Administrative Agent.</w:t>
      </w:r>
    </w:p>
    <w:p>
      <w:pPr>
        <w:spacing w:after="0" w:line="145" w:lineRule="exact"/>
        <w:rPr>
          <w:rFonts w:ascii="Times New Roman" w:cs="Times New Roman" w:eastAsia="Times New Roman" w:hAnsi="Times New Roman"/>
          <w:sz w:val="21"/>
          <w:szCs w:val="21"/>
          <w:color w:val="auto"/>
        </w:rPr>
      </w:pPr>
    </w:p>
    <w:p>
      <w:pPr>
        <w:jc w:val="both"/>
        <w:ind w:left="620" w:hanging="617"/>
        <w:spacing w:after="0" w:line="212" w:lineRule="auto"/>
        <w:tabs>
          <w:tab w:leader="none" w:pos="620" w:val="left"/>
        </w:tabs>
        <w:numPr>
          <w:ilvl w:val="0"/>
          <w:numId w:val="23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w:t>
      </w:r>
    </w:p>
    <w:p>
      <w:pPr>
        <w:jc w:val="both"/>
        <w:ind w:left="620" w:hanging="617"/>
        <w:spacing w:after="0" w:line="205" w:lineRule="auto"/>
        <w:tabs>
          <w:tab w:leader="none" w:pos="620" w:val="left"/>
        </w:tabs>
        <w:numPr>
          <w:ilvl w:val="0"/>
          <w:numId w:val="23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Rounding</w:t>
      </w:r>
      <w:r>
        <w:rPr>
          <w:rFonts w:ascii="Times New Roman" w:cs="Times New Roman" w:eastAsia="Times New Roman" w:hAnsi="Times New Roman"/>
          <w:sz w:val="21"/>
          <w:szCs w:val="21"/>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jc w:val="both"/>
        <w:ind w:left="620" w:hanging="617"/>
        <w:spacing w:after="0" w:line="205" w:lineRule="auto"/>
        <w:tabs>
          <w:tab w:leader="none" w:pos="620" w:val="left"/>
        </w:tabs>
        <w:numPr>
          <w:ilvl w:val="0"/>
          <w:numId w:val="23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References to Agreements, Laws, Etc.</w:t>
      </w:r>
      <w:r>
        <w:rPr>
          <w:rFonts w:ascii="Times New Roman" w:cs="Times New Roman" w:eastAsia="Times New Roman" w:hAnsi="Times New Roman"/>
          <w:sz w:val="21"/>
          <w:szCs w:val="21"/>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the Loan Documents; and (b) references to any Law shall include all statutory and regulatory provisions consolidating, amending, replacing, supplementing, implementing or interpreting such Law.</w:t>
      </w:r>
    </w:p>
    <w:p>
      <w:pPr>
        <w:ind w:left="620" w:hanging="617"/>
        <w:spacing w:after="0" w:line="205" w:lineRule="auto"/>
        <w:tabs>
          <w:tab w:leader="none" w:pos="620" w:val="left"/>
        </w:tabs>
        <w:numPr>
          <w:ilvl w:val="0"/>
          <w:numId w:val="23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Times of Day</w:t>
      </w:r>
      <w:r>
        <w:rPr>
          <w:rFonts w:ascii="Times New Roman" w:cs="Times New Roman" w:eastAsia="Times New Roman" w:hAnsi="Times New Roman"/>
          <w:sz w:val="21"/>
          <w:szCs w:val="21"/>
          <w:color w:val="auto"/>
        </w:rPr>
        <w:t>. Unless otherwise specified, all references herein to times of day shall be references to Eastern time (daylight or standard, as applicable).</w:t>
      </w:r>
    </w:p>
    <w:p>
      <w:pPr>
        <w:jc w:val="both"/>
        <w:ind w:left="620" w:hanging="617"/>
        <w:spacing w:after="0" w:line="218" w:lineRule="auto"/>
        <w:tabs>
          <w:tab w:leader="none" w:pos="620" w:val="left"/>
        </w:tabs>
        <w:numPr>
          <w:ilvl w:val="0"/>
          <w:numId w:val="23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Timing of Payment or Performance</w:t>
      </w:r>
      <w:r>
        <w:rPr>
          <w:rFonts w:ascii="Times New Roman" w:cs="Times New Roman" w:eastAsia="Times New Roman" w:hAnsi="Times New Roman"/>
          <w:sz w:val="21"/>
          <w:szCs w:val="21"/>
          <w:color w:val="auto"/>
        </w:rPr>
        <w:t>.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145</w:t>
      </w:r>
    </w:p>
    <w:p>
      <w:pPr>
        <w:sectPr>
          <w:pgSz w:w="11900" w:h="16838" w:orient="portrait"/>
          <w:cols w:equalWidth="0" w:num="1">
            <w:col w:w="11240"/>
          </w:cols>
          <w:pgMar w:left="320" w:top="1339" w:right="339" w:bottom="1440" w:gutter="0" w:footer="0" w:header="0"/>
        </w:sectPr>
      </w:pPr>
    </w:p>
    <w:bookmarkStart w:id="289" w:name="page290"/>
    <w:bookmarkEnd w:id="289"/>
    <w:p>
      <w:pPr>
        <w:jc w:val="both"/>
        <w:ind w:left="620" w:hanging="617"/>
        <w:spacing w:after="0" w:line="206" w:lineRule="auto"/>
        <w:tabs>
          <w:tab w:leader="none" w:pos="620" w:val="left"/>
        </w:tabs>
        <w:numPr>
          <w:ilvl w:val="0"/>
          <w:numId w:val="23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Negative Covenant Compliance</w:t>
      </w:r>
      <w:r>
        <w:rPr>
          <w:rFonts w:ascii="Times New Roman" w:cs="Times New Roman" w:eastAsia="Times New Roman" w:hAnsi="Times New Roman"/>
          <w:sz w:val="21"/>
          <w:szCs w:val="21"/>
          <w:color w:val="auto"/>
        </w:rPr>
        <w:t xml:space="preserve">. For purposes of determining whether the Borrower complies with any exception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where compliance with any such exception is based on a financial ratio or metric being satisfied as of a particular point in time, it is understood that (a) compliance shall be measured at the time when the relevant event is undertaken, as such financial ratios and metrics are intended to be “incurrence” tests and not “maintenance” tests and (b) correspondingly, any such ratio and metric shall only prohibit the Borrower from creating, incurring, assuming, suffering to exist or making, as the case may be, any new, for example, Liens, Indebtedness or Investments, but shall not result in any previously permitted, for example, Liens, Indebtedness or Investments ceasing to be permitted hereunder. For avoidance of doubt, with respect to determining whether the Borrower complies with any negative covenant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to the extent that any obligation or transaction could be attributable to more than one exception to any such negative covenant, the Borrower may elect to categorize all or any portion of such obligation or transaction to any one or more exceptions to such negative covenant that permit such obligation or transaction.</w:t>
      </w:r>
    </w:p>
    <w:p>
      <w:pPr>
        <w:spacing w:after="0" w:line="10" w:lineRule="exact"/>
        <w:rPr>
          <w:rFonts w:ascii="Times New Roman" w:cs="Times New Roman" w:eastAsia="Times New Roman" w:hAnsi="Times New Roman"/>
          <w:sz w:val="21"/>
          <w:szCs w:val="21"/>
          <w:u w:val="single" w:color="auto"/>
          <w:color w:val="auto"/>
        </w:rPr>
      </w:pPr>
    </w:p>
    <w:p>
      <w:pPr>
        <w:jc w:val="both"/>
        <w:ind w:left="620" w:hanging="617"/>
        <w:spacing w:after="0" w:line="205" w:lineRule="auto"/>
        <w:tabs>
          <w:tab w:leader="none" w:pos="620" w:val="left"/>
        </w:tabs>
        <w:numPr>
          <w:ilvl w:val="0"/>
          <w:numId w:val="23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including a statutory division pursuant to Section 18-217 of the Delaware Limited Liability Company Act: (a) if any asset or property of any Person becomes the asset or property of one or more different Persons, then such asset or property shall be deemed to have been Disposed of from the original Person to the subsequent 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w:t>
      </w:r>
    </w:p>
    <w:p>
      <w:pPr>
        <w:jc w:val="both"/>
        <w:ind w:left="620" w:hanging="617"/>
        <w:spacing w:after="0" w:line="215" w:lineRule="auto"/>
        <w:tabs>
          <w:tab w:leader="none" w:pos="620" w:val="left"/>
        </w:tabs>
        <w:numPr>
          <w:ilvl w:val="0"/>
          <w:numId w:val="2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The Administrative Agent does not warrant or accept responsibility for, and shall not have any liability with respect to (a) the continuation of, administration of, submission of, calculation of or any other matter related to Base Rate, the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or the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 w:lineRule="exact"/>
        <w:rPr>
          <w:rFonts w:ascii="Times New Roman" w:cs="Times New Roman" w:eastAsia="Times New Roman" w:hAnsi="Times New Roman"/>
          <w:sz w:val="20"/>
          <w:szCs w:val="20"/>
          <w:u w:val="single" w:color="auto"/>
          <w:color w:val="auto"/>
        </w:rPr>
      </w:pPr>
    </w:p>
    <w:p>
      <w:pPr>
        <w:ind w:left="620" w:hanging="617"/>
        <w:spacing w:after="0"/>
        <w:tabs>
          <w:tab w:leader="none" w:pos="620" w:val="left"/>
        </w:tabs>
        <w:numPr>
          <w:ilvl w:val="0"/>
          <w:numId w:val="23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Pro Forma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146</w:t>
      </w:r>
    </w:p>
    <w:p>
      <w:pPr>
        <w:sectPr>
          <w:pgSz w:w="11900" w:h="16838" w:orient="portrait"/>
          <w:cols w:equalWidth="0" w:num="1">
            <w:col w:w="11240"/>
          </w:cols>
          <w:pgMar w:left="320" w:top="1339" w:right="339" w:bottom="1440" w:gutter="0" w:footer="0" w:header="0"/>
        </w:sectPr>
      </w:pPr>
    </w:p>
    <w:bookmarkStart w:id="290" w:name="page291"/>
    <w:bookmarkEnd w:id="290"/>
    <w:p>
      <w:pPr>
        <w:jc w:val="both"/>
        <w:ind w:left="-500" w:firstLine="621"/>
        <w:spacing w:after="0" w:line="215" w:lineRule="auto"/>
        <w:tabs>
          <w:tab w:leader="none" w:pos="734"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clause (b) below, for purposes of calculating any financial ratio, calculation or test that is to be calculated on a pro forma basis for any Specified Transaction that have been made (i) during the applicable Test Period or (ii) subsequent to such Test Period and prior to or simultaneously with the event for which the calculation of any such ratio is made, such ratio, calculation or test shall be calculated on a pro forma basis assuming that such transaction had occurred on the first day of the applicable Test Period (but without duplication of any amounts that are actually included from such Specified Transaction).</w:t>
      </w:r>
    </w:p>
    <w:p>
      <w:pPr>
        <w:spacing w:after="0" w:line="145" w:lineRule="exact"/>
        <w:rPr>
          <w:rFonts w:ascii="Times New Roman" w:cs="Times New Roman" w:eastAsia="Times New Roman" w:hAnsi="Times New Roman"/>
          <w:sz w:val="21"/>
          <w:szCs w:val="21"/>
          <w:color w:val="auto"/>
        </w:rPr>
      </w:pPr>
    </w:p>
    <w:p>
      <w:pPr>
        <w:jc w:val="both"/>
        <w:ind w:left="-500" w:firstLine="621"/>
        <w:spacing w:after="0" w:line="212" w:lineRule="auto"/>
        <w:tabs>
          <w:tab w:leader="none" w:pos="733"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Borrower incurs (including by assumption or guarantee) or refinances (including by redemption, repurchase, repayment, retirement or extinguishment) any Indebtedness (other than normal fluctuations in revolving Indebtedness incurred for working capital purposes), in each case included in the calculations of any financial ratio or test that is to be calculated on a pro forma basis,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w:t>
      </w:r>
    </w:p>
    <w:p>
      <w:pPr>
        <w:spacing w:after="0" w:line="149" w:lineRule="exact"/>
        <w:rPr>
          <w:rFonts w:ascii="Times New Roman" w:cs="Times New Roman" w:eastAsia="Times New Roman" w:hAnsi="Times New Roman"/>
          <w:sz w:val="21"/>
          <w:szCs w:val="21"/>
          <w:color w:val="auto"/>
        </w:rPr>
      </w:pPr>
    </w:p>
    <w:p>
      <w:pPr>
        <w:ind w:left="-500" w:firstLine="621"/>
        <w:spacing w:after="0" w:line="235" w:lineRule="auto"/>
        <w:tabs>
          <w:tab w:leader="none" w:pos="734"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pro forma effect is to be given to a pro forma event, the pro forma calculations shall be made in good faith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147</w:t>
      </w:r>
    </w:p>
    <w:p>
      <w:pPr>
        <w:sectPr>
          <w:pgSz w:w="11900" w:h="16838" w:orient="portrait"/>
          <w:cols w:equalWidth="0" w:num="1">
            <w:col w:w="10120"/>
          </w:cols>
          <w:pgMar w:left="1440" w:top="1339" w:right="339" w:bottom="1440" w:gutter="0" w:footer="0" w:header="0"/>
        </w:sectPr>
      </w:pPr>
    </w:p>
    <w:bookmarkStart w:id="291" w:name="page292"/>
    <w:bookmarkEnd w:id="291"/>
    <w:p>
      <w:pPr>
        <w:spacing w:after="0" w:line="245"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8"/>
          <w:szCs w:val="18"/>
          <w:b w:val="1"/>
          <w:bCs w:val="1"/>
          <w:color w:val="auto"/>
        </w:rPr>
        <w:t>SUMMIT MIDSTREAM CORPORATION</w:t>
      </w:r>
    </w:p>
    <w:p>
      <w:pPr>
        <w:spacing w:after="0" w:line="41"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9"/>
          <w:szCs w:val="19"/>
          <w:b w:val="1"/>
          <w:bCs w:val="1"/>
          <w:color w:val="auto"/>
        </w:rPr>
        <w:t>LIST OF SUBSIDIARIES</w:t>
      </w:r>
    </w:p>
    <w:p>
      <w:pPr>
        <w:spacing w:after="0" w:line="26"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9"/>
          <w:szCs w:val="19"/>
          <w:b w:val="1"/>
          <w:bCs w:val="1"/>
          <w:color w:val="auto"/>
        </w:rPr>
        <w:t>As of December 31, 2025</w:t>
      </w:r>
    </w:p>
    <w:p>
      <w:pPr>
        <w:spacing w:after="0" w:line="20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760" w:firstLine="29"/>
        <w:spacing w:after="0"/>
        <w:rPr>
          <w:sz w:val="20"/>
          <w:szCs w:val="20"/>
          <w:color w:val="auto"/>
        </w:rPr>
      </w:pPr>
      <w:r>
        <w:rPr>
          <w:rFonts w:ascii="Times New Roman" w:cs="Times New Roman" w:eastAsia="Times New Roman" w:hAnsi="Times New Roman"/>
          <w:sz w:val="19"/>
          <w:szCs w:val="19"/>
          <w:b w:val="1"/>
          <w:bCs w:val="1"/>
          <w:color w:val="auto"/>
        </w:rPr>
        <w:t>State or other jurisdiction of incorporation or organization</w:t>
      </w:r>
    </w:p>
    <w:p>
      <w:pPr>
        <w:spacing w:after="0" w:line="1" w:lineRule="exact"/>
        <w:rPr>
          <w:sz w:val="20"/>
          <w:szCs w:val="20"/>
          <w:color w:val="auto"/>
        </w:rPr>
      </w:pPr>
    </w:p>
    <w:p>
      <w:pPr>
        <w:sectPr>
          <w:pgSz w:w="11900" w:h="16838" w:orient="portrait"/>
          <w:cols w:equalWidth="0" w:num="2">
            <w:col w:w="7380" w:space="680"/>
            <w:col w:w="318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38"/>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BCZ Land Holdings, LLC</w:t>
            </w:r>
          </w:p>
        </w:tc>
        <w:tc>
          <w:tcPr>
            <w:tcW w:w="220" w:type="dxa"/>
            <w:vAlign w:val="bottom"/>
            <w:tcBorders>
              <w:top w:val="single" w:sz="8" w:color="CCEEFF"/>
            </w:tcBorders>
            <w:shd w:val="clear" w:color="auto" w:fill="CCEEFF"/>
          </w:tcPr>
          <w:p>
            <w:pPr>
              <w:spacing w:after="0"/>
              <w:rPr>
                <w:sz w:val="20"/>
                <w:szCs w:val="20"/>
                <w:color w:val="auto"/>
              </w:rPr>
            </w:pPr>
          </w:p>
        </w:tc>
        <w:tc>
          <w:tcPr>
            <w:tcW w:w="40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Centennial Water Pipelines,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DFW Midstream Services,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Double E Pipelines,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Epping Transmission Company,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Grand River Gathering,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Grasslands Energy Marketing,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Meadowlark Midstream Company,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Moonrise Midstream,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Mountaineer Midstream Company,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Polar Midstream,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Red Rock Gathering Company,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SMC Bakken,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SMC Clariter,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Bakken Holdings,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Bakken Member,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Bakken OpCo,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Climate Solutions,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Climate Holdings,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Climate Member,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Climate OpCo,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Contribution Holdings,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DJ-O,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DJ-O Operating,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DJ-S,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Management Holdings,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Midstream Finance Corp.</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Midstream GP,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Midstream Holdings,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Midstream Marketing,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Midstream Niobrara,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Midstream OpCo, LP</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Midstream Partners Holdings,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Midstream Partners, LP</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Midstream Partners,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Midstream Permian II,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Operating Services Company,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Summit Permian Transmission Holdco,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Summit Permian Transmission,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Tall Oak Midstream Operating,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5"/>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Tall Oak Woodford, LLC</w:t>
            </w:r>
          </w:p>
        </w:tc>
        <w:tc>
          <w:tcPr>
            <w:tcW w:w="4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r>
        <w:trPr>
          <w:trHeight w:val="24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VM Arkoma Stack, LLC</w:t>
            </w:r>
          </w:p>
        </w:tc>
        <w:tc>
          <w:tcPr>
            <w:tcW w:w="4000" w:type="dxa"/>
            <w:vAlign w:val="bottom"/>
          </w:tcPr>
          <w:p>
            <w:pPr>
              <w:ind w:left="1640"/>
              <w:spacing w:after="0"/>
              <w:rPr>
                <w:sz w:val="20"/>
                <w:szCs w:val="20"/>
                <w:color w:val="auto"/>
              </w:rPr>
            </w:pPr>
            <w:r>
              <w:rPr>
                <w:rFonts w:ascii="Times New Roman" w:cs="Times New Roman" w:eastAsia="Times New Roman" w:hAnsi="Times New Roman"/>
                <w:sz w:val="19"/>
                <w:szCs w:val="19"/>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27" w:right="339" w:bottom="1440" w:gutter="0" w:footer="0" w:header="0"/>
          <w:type w:val="continuous"/>
        </w:sectPr>
      </w:pPr>
    </w:p>
    <w:bookmarkStart w:id="292" w:name="page293"/>
    <w:bookmarkEnd w:id="292"/>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We consent to the incorporation by reference in Registration Statement No. 333-286038 on Form S-3 and No. 333-281730 </w:t>
      </w:r>
      <w:r>
        <w:rPr>
          <w:rFonts w:ascii="Times New Roman" w:cs="Times New Roman" w:eastAsia="Times New Roman" w:hAnsi="Times New Roman"/>
          <w:sz w:val="17"/>
          <w:szCs w:val="17"/>
          <w:color w:val="010101"/>
        </w:rPr>
        <w:t>on</w:t>
      </w:r>
      <w:r>
        <w:rPr>
          <w:rFonts w:ascii="Times New Roman" w:cs="Times New Roman" w:eastAsia="Times New Roman" w:hAnsi="Times New Roman"/>
          <w:sz w:val="17"/>
          <w:szCs w:val="17"/>
          <w:color w:val="auto"/>
        </w:rPr>
        <w:t xml:space="preserve"> Form S-8 of our reports dated March 16, 2026, relating to the financial statements of Summit Midstream Corporation (the “Company”), and the effectiveness of the Company's internal control over financial reporting appearing in this Annual Report on Form 10-K for the year ended December 31,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Deloitte &amp; Touche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2026</w:t>
      </w:r>
    </w:p>
    <w:p>
      <w:pPr>
        <w:sectPr>
          <w:pgSz w:w="11900" w:h="16838" w:orient="portrait"/>
          <w:cols w:equalWidth="0" w:num="1">
            <w:col w:w="11240"/>
          </w:cols>
          <w:pgMar w:left="320" w:top="104"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Heath Deneke, certify that:</w:t>
      </w:r>
    </w:p>
    <w:p>
      <w:pPr>
        <w:spacing w:after="0" w:line="114" w:lineRule="exact"/>
        <w:rPr>
          <w:sz w:val="20"/>
          <w:szCs w:val="20"/>
          <w:color w:val="auto"/>
        </w:rPr>
      </w:pPr>
    </w:p>
    <w:p>
      <w:pPr>
        <w:ind w:left="620" w:hanging="153"/>
        <w:spacing w:after="0"/>
        <w:tabs>
          <w:tab w:leader="none" w:pos="62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Summit Midstream Corporation;</w:t>
      </w:r>
    </w:p>
    <w:p>
      <w:pPr>
        <w:spacing w:after="0" w:line="113" w:lineRule="exact"/>
        <w:rPr>
          <w:rFonts w:ascii="Times New Roman" w:cs="Times New Roman" w:eastAsia="Times New Roman" w:hAnsi="Times New Roman"/>
          <w:sz w:val="17"/>
          <w:szCs w:val="17"/>
          <w:color w:val="auto"/>
        </w:rPr>
      </w:pPr>
    </w:p>
    <w:p>
      <w:pPr>
        <w:ind w:left="620" w:right="140" w:hanging="153"/>
        <w:spacing w:after="0" w:line="287" w:lineRule="auto"/>
        <w:tabs>
          <w:tab w:leader="none" w:pos="62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153"/>
        <w:spacing w:after="0" w:line="287" w:lineRule="auto"/>
        <w:tabs>
          <w:tab w:leader="none" w:pos="62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220" w:hanging="153"/>
        <w:spacing w:after="0" w:line="270" w:lineRule="auto"/>
        <w:tabs>
          <w:tab w:leader="none" w:pos="62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940" w:right="60" w:hanging="9"/>
        <w:spacing w:after="0" w:line="270" w:lineRule="auto"/>
        <w:tabs>
          <w:tab w:leader="none" w:pos="1247"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40" w:right="260" w:hanging="9"/>
        <w:spacing w:after="0" w:line="270" w:lineRule="auto"/>
        <w:tabs>
          <w:tab w:leader="none" w:pos="12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940" w:right="760" w:hanging="9"/>
        <w:spacing w:after="0" w:line="287" w:lineRule="auto"/>
        <w:tabs>
          <w:tab w:leader="none" w:pos="1247"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940" w:right="280" w:hanging="9"/>
        <w:spacing w:after="0" w:line="270" w:lineRule="auto"/>
        <w:tabs>
          <w:tab w:leader="none" w:pos="12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360" w:hanging="153"/>
        <w:spacing w:after="0" w:line="287" w:lineRule="auto"/>
        <w:tabs>
          <w:tab w:leader="none" w:pos="62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940" w:right="160" w:hanging="9"/>
        <w:spacing w:after="0" w:line="287" w:lineRule="auto"/>
        <w:tabs>
          <w:tab w:leader="none" w:pos="1247"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940" w:right="140" w:hanging="9"/>
        <w:spacing w:after="0" w:line="287" w:lineRule="auto"/>
        <w:tabs>
          <w:tab w:leader="none" w:pos="1243"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4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March 16, 2026</w:t>
            </w: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Heath Deneke</w:t>
            </w:r>
          </w:p>
        </w:tc>
      </w:tr>
      <w:tr>
        <w:trPr>
          <w:trHeight w:val="209"/>
        </w:trPr>
        <w:tc>
          <w:tcPr>
            <w:tcW w:w="1500" w:type="dxa"/>
            <w:vAlign w:val="bottom"/>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Heath Deneke</w:t>
            </w:r>
          </w:p>
        </w:tc>
      </w:tr>
      <w:tr>
        <w:trPr>
          <w:trHeight w:val="171"/>
        </w:trPr>
        <w:tc>
          <w:tcPr>
            <w:tcW w:w="15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President, Chief Executive Officer and Director (Principal</w:t>
            </w:r>
          </w:p>
        </w:tc>
      </w:tr>
      <w:tr>
        <w:trPr>
          <w:trHeight w:val="223"/>
        </w:trPr>
        <w:tc>
          <w:tcPr>
            <w:tcW w:w="1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Officer)</w:t>
            </w:r>
          </w:p>
        </w:tc>
      </w:tr>
    </w:tbl>
    <w:p>
      <w:pPr>
        <w:sectPr>
          <w:pgSz w:w="11900" w:h="16838" w:orient="portrait"/>
          <w:cols w:equalWidth="0" w:num="1">
            <w:col w:w="11240"/>
          </w:cols>
          <w:pgMar w:left="320" w:top="957"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J. Mault, certify that:</w:t>
      </w:r>
    </w:p>
    <w:p>
      <w:pPr>
        <w:spacing w:after="0" w:line="114" w:lineRule="exact"/>
        <w:rPr>
          <w:sz w:val="20"/>
          <w:szCs w:val="20"/>
          <w:color w:val="auto"/>
        </w:rPr>
      </w:pPr>
    </w:p>
    <w:p>
      <w:pPr>
        <w:ind w:left="620" w:hanging="153"/>
        <w:spacing w:after="0"/>
        <w:tabs>
          <w:tab w:leader="none" w:pos="62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Summit Midstream Corporation;</w:t>
      </w:r>
    </w:p>
    <w:p>
      <w:pPr>
        <w:spacing w:after="0" w:line="113" w:lineRule="exact"/>
        <w:rPr>
          <w:rFonts w:ascii="Times New Roman" w:cs="Times New Roman" w:eastAsia="Times New Roman" w:hAnsi="Times New Roman"/>
          <w:sz w:val="17"/>
          <w:szCs w:val="17"/>
          <w:color w:val="auto"/>
        </w:rPr>
      </w:pPr>
    </w:p>
    <w:p>
      <w:pPr>
        <w:ind w:left="620" w:right="140" w:hanging="153"/>
        <w:spacing w:after="0" w:line="287" w:lineRule="auto"/>
        <w:tabs>
          <w:tab w:leader="none" w:pos="62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153"/>
        <w:spacing w:after="0" w:line="287" w:lineRule="auto"/>
        <w:tabs>
          <w:tab w:leader="none" w:pos="62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220" w:hanging="153"/>
        <w:spacing w:after="0" w:line="270" w:lineRule="auto"/>
        <w:tabs>
          <w:tab w:leader="none" w:pos="62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940" w:right="60" w:hanging="9"/>
        <w:spacing w:after="0" w:line="270" w:lineRule="auto"/>
        <w:tabs>
          <w:tab w:leader="none" w:pos="1247"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40" w:right="260" w:hanging="9"/>
        <w:spacing w:after="0" w:line="270" w:lineRule="auto"/>
        <w:tabs>
          <w:tab w:leader="none" w:pos="1243"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940" w:right="760" w:hanging="9"/>
        <w:spacing w:after="0" w:line="287" w:lineRule="auto"/>
        <w:tabs>
          <w:tab w:leader="none" w:pos="1247"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940" w:right="280" w:hanging="9"/>
        <w:spacing w:after="0" w:line="270" w:lineRule="auto"/>
        <w:tabs>
          <w:tab w:leader="none" w:pos="1243"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360" w:hanging="153"/>
        <w:spacing w:after="0" w:line="287" w:lineRule="auto"/>
        <w:tabs>
          <w:tab w:leader="none" w:pos="62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940" w:right="160" w:hanging="9"/>
        <w:spacing w:after="0" w:line="287" w:lineRule="auto"/>
        <w:tabs>
          <w:tab w:leader="none" w:pos="1247"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940" w:right="140" w:hanging="9"/>
        <w:spacing w:after="0" w:line="287" w:lineRule="auto"/>
        <w:tabs>
          <w:tab w:leader="none" w:pos="1243"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4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March 16, 2026</w:t>
            </w: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William J. Mault</w:t>
            </w:r>
          </w:p>
        </w:tc>
      </w:tr>
      <w:tr>
        <w:trPr>
          <w:trHeight w:val="209"/>
        </w:trPr>
        <w:tc>
          <w:tcPr>
            <w:tcW w:w="1500" w:type="dxa"/>
            <w:vAlign w:val="bottom"/>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William J. Mault</w:t>
            </w:r>
          </w:p>
        </w:tc>
      </w:tr>
      <w:tr>
        <w:trPr>
          <w:trHeight w:val="171"/>
        </w:trPr>
        <w:tc>
          <w:tcPr>
            <w:tcW w:w="15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23"/>
        </w:trPr>
        <w:tc>
          <w:tcPr>
            <w:tcW w:w="1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Officer)</w:t>
            </w:r>
          </w:p>
        </w:tc>
      </w:tr>
    </w:tbl>
    <w:p>
      <w:pPr>
        <w:sectPr>
          <w:pgSz w:w="11900" w:h="16838" w:orient="portrait"/>
          <w:cols w:equalWidth="0" w:num="1">
            <w:col w:w="11240"/>
          </w:cols>
          <w:pgMar w:left="320" w:top="957"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Summit Midstream Corporation (the “Registrant”) for the annual period ended December 31, 2025,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spacing w:after="0" w:line="68" w:lineRule="exact"/>
        <w:rPr>
          <w:sz w:val="20"/>
          <w:szCs w:val="20"/>
          <w:color w:val="auto"/>
        </w:rPr>
      </w:pPr>
    </w:p>
    <w:p>
      <w:pPr>
        <w:ind w:left="620" w:hanging="617"/>
        <w:spacing w:after="0"/>
        <w:tabs>
          <w:tab w:leader="none" w:pos="62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3"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i w:val="1"/>
          <w:iCs w:val="1"/>
          <w:color w:val="auto"/>
        </w:rPr>
        <w:t>/s/ Heath Deneke</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0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Heath Deneke</w:t>
            </w:r>
          </w:p>
        </w:tc>
      </w:tr>
      <w:tr>
        <w:trPr>
          <w:trHeight w:val="219"/>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10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President, Chief Executive Officer and Director (Principal Executive Officer)</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0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March 16, 2026</w:t>
            </w:r>
          </w:p>
        </w:tc>
      </w:tr>
      <w:tr>
        <w:trPr>
          <w:trHeight w:val="825"/>
        </w:trPr>
        <w:tc>
          <w:tcPr>
            <w:tcW w:w="1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/s/ William J. Mault</w:t>
            </w:r>
          </w:p>
        </w:tc>
      </w:tr>
      <w:tr>
        <w:trPr>
          <w:trHeight w:val="209"/>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10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William J. Mault</w:t>
            </w:r>
          </w:p>
        </w:tc>
      </w:tr>
      <w:tr>
        <w:trPr>
          <w:trHeight w:val="219"/>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10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 Financial Officer)</w:t>
            </w:r>
          </w:p>
        </w:tc>
      </w:tr>
      <w:tr>
        <w:trPr>
          <w:trHeight w:val="223"/>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0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March 16, 2026</w:t>
            </w:r>
          </w:p>
        </w:tc>
      </w:tr>
      <w:tr>
        <w:trPr>
          <w:trHeight w:val="1070"/>
        </w:trPr>
        <w:tc>
          <w:tcPr>
            <w:tcW w:w="740" w:type="dxa"/>
            <w:vAlign w:val="bottom"/>
          </w:tcPr>
          <w:p>
            <w:pPr>
              <w:spacing w:after="0"/>
              <w:rPr>
                <w:sz w:val="24"/>
                <w:szCs w:val="24"/>
                <w:color w:val="auto"/>
              </w:rPr>
            </w:pPr>
          </w:p>
        </w:tc>
        <w:tc>
          <w:tcPr>
            <w:tcW w:w="10480" w:type="dxa"/>
            <w:vAlign w:val="bottom"/>
          </w:tcPr>
          <w:p>
            <w:pPr>
              <w:ind w:left="4500"/>
              <w:spacing w:after="0"/>
              <w:rPr>
                <w:sz w:val="20"/>
                <w:szCs w:val="20"/>
                <w:color w:val="auto"/>
              </w:rPr>
            </w:pPr>
            <w:r>
              <w:rPr>
                <w:rFonts w:ascii="Times New Roman" w:cs="Times New Roman" w:eastAsia="Times New Roman" w:hAnsi="Times New Roman"/>
                <w:sz w:val="17"/>
                <w:szCs w:val="17"/>
                <w:color w:val="auto"/>
              </w:rPr>
              <w:t>EX 32.1-1</w:t>
            </w:r>
          </w:p>
        </w:tc>
      </w:tr>
    </w:tbl>
    <w:p>
      <w:pPr>
        <w:spacing w:after="0" w:line="1" w:lineRule="exact"/>
        <w:rPr>
          <w:sz w:val="20"/>
          <w:szCs w:val="20"/>
          <w:color w:val="auto"/>
        </w:rPr>
      </w:pPr>
    </w:p>
    <w:sectPr>
      <w:pgSz w:w="11900" w:h="16838" w:orient="portrait"/>
      <w:cols w:equalWidth="0" w:num="1">
        <w:col w:w="11240"/>
      </w:cols>
      <w:pgMar w:left="320" w:top="9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abstractNum>
  <w:abstractNum w:abstractNumId="6">
    <w:nsid w:val="5915FF32"/>
    <w:multiLevelType w:val="hybridMultilevel"/>
    <w:lvl w:ilvl="0">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
      <w:numFmt w:val="bullet"/>
      <w:start w:val="1"/>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1)"/>
      <w:numFmt w:val="decimal"/>
      <w:start w:val="1"/>
    </w:lvl>
  </w:abstractNum>
  <w:abstractNum w:abstractNumId="13">
    <w:nsid w:val="5D888A08"/>
    <w:multiLevelType w:val="hybridMultilevel"/>
    <w:lvl w:ilvl="0">
      <w:lvlJc w:val="left"/>
      <w:lvlText w:val="(%1)"/>
      <w:numFmt w:val="decimal"/>
      <w:start w:val="1"/>
    </w:lvl>
  </w:abstractNum>
  <w:abstractNum w:abstractNumId="14">
    <w:nsid w:val="2A082C70"/>
    <w:multiLevelType w:val="hybridMultilevel"/>
    <w:lvl w:ilvl="0">
      <w:lvlJc w:val="left"/>
      <w:lvlText w:val="•"/>
      <w:numFmt w:val="bullet"/>
      <w:start w:val="1"/>
    </w:lvl>
  </w:abstractNum>
  <w:abstractNum w:abstractNumId="15">
    <w:nsid w:val="5EC6AFD4"/>
    <w:multiLevelType w:val="hybridMultilevel"/>
    <w:lvl w:ilvl="0">
      <w:lvlJc w:val="left"/>
      <w:lvlText w:val="•"/>
      <w:numFmt w:val="bullet"/>
      <w:start w:val="1"/>
    </w:lvl>
  </w:abstractNum>
  <w:abstractNum w:abstractNumId="16">
    <w:nsid w:val="19E21BB2"/>
    <w:multiLevelType w:val="hybridMultilevel"/>
    <w:lvl w:ilvl="0">
      <w:lvlJc w:val="left"/>
      <w:lvlText w:val="•"/>
      <w:numFmt w:val="bullet"/>
      <w:start w:val="1"/>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abstractNum>
  <w:abstractNum w:abstractNumId="30">
    <w:nsid w:val="4BEE5A5B"/>
    <w:multiLevelType w:val="hybridMultilevel"/>
    <w:lvl w:ilvl="0">
      <w:lvlJc w:val="left"/>
      <w:lvlText w:val="•"/>
      <w:numFmt w:val="bullet"/>
      <w:start w:val="1"/>
    </w:lvl>
  </w:abstractNum>
  <w:abstractNum w:abstractNumId="31">
    <w:nsid w:val="5551B9F3"/>
    <w:multiLevelType w:val="hybridMultilevel"/>
    <w:lvl w:ilvl="0">
      <w:lvlJc w:val="left"/>
      <w:lvlText w:val="•"/>
      <w:numFmt w:val="bullet"/>
      <w:start w:val="1"/>
    </w:lvl>
  </w:abstractNum>
  <w:abstractNum w:abstractNumId="32">
    <w:nsid w:val="24F6AB8E"/>
    <w:multiLevelType w:val="hybridMultilevel"/>
    <w:lvl w:ilvl="0">
      <w:lvlJc w:val="left"/>
      <w:lvlText w:val="•"/>
      <w:numFmt w:val="bullet"/>
      <w:start w:val="1"/>
    </w:lvl>
  </w:abstractNum>
  <w:abstractNum w:abstractNumId="33">
    <w:nsid w:val="634C574C"/>
    <w:multiLevelType w:val="hybridMultilevel"/>
    <w:lvl w:ilvl="0">
      <w:lvlJc w:val="left"/>
      <w:lvlText w:val="(%1)"/>
      <w:numFmt w:val="lowerRoman"/>
      <w:start w:val="2"/>
    </w:lvl>
  </w:abstractNum>
  <w:abstractNum w:abstractNumId="34">
    <w:nsid w:val="24E99DD7"/>
    <w:multiLevelType w:val="hybridMultilevel"/>
    <w:lvl w:ilvl="0">
      <w:lvlJc w:val="left"/>
      <w:lvlText w:val="(%1)"/>
      <w:numFmt w:val="decimal"/>
      <w:start w:val="1"/>
    </w:lvl>
  </w:abstractNum>
  <w:abstractNum w:abstractNumId="35">
    <w:nsid w:val="2A31B62D"/>
    <w:multiLevelType w:val="hybridMultilevel"/>
    <w:lvl w:ilvl="0">
      <w:lvlJc w:val="left"/>
      <w:lvlText w:val="•"/>
      <w:numFmt w:val="bullet"/>
      <w:start w:val="1"/>
    </w:lvl>
  </w:abstractNum>
  <w:abstractNum w:abstractNumId="36">
    <w:nsid w:val="1849C29B"/>
    <w:multiLevelType w:val="hybridMultilevel"/>
    <w:lvl w:ilvl="0">
      <w:lvlJc w:val="left"/>
      <w:lvlText w:val="•"/>
      <w:numFmt w:val="bullet"/>
      <w:start w:val="1"/>
    </w:lvl>
  </w:abstractNum>
  <w:abstractNum w:abstractNumId="37">
    <w:nsid w:val="7DFF9D09"/>
    <w:multiLevelType w:val="hybridMultilevel"/>
    <w:lvl w:ilvl="0">
      <w:lvlJc w:val="left"/>
      <w:lvlText w:val="•"/>
      <w:numFmt w:val="bullet"/>
      <w:start w:val="1"/>
    </w:lvl>
  </w:abstractNum>
  <w:abstractNum w:abstractNumId="38">
    <w:nsid w:val="754342"/>
    <w:multiLevelType w:val="hybridMultilevel"/>
    <w:lvl w:ilvl="0">
      <w:lvlJc w:val="left"/>
      <w:lvlText w:val="•"/>
      <w:numFmt w:val="bullet"/>
      <w:start w:val="1"/>
    </w:lvl>
  </w:abstractNum>
  <w:abstractNum w:abstractNumId="39">
    <w:nsid w:val="69E7F3E5"/>
    <w:multiLevelType w:val="hybridMultilevel"/>
    <w:lvl w:ilvl="0">
      <w:lvlJc w:val="left"/>
      <w:lvlText w:val="•"/>
      <w:numFmt w:val="bullet"/>
      <w:start w:val="1"/>
    </w:lvl>
  </w:abstractNum>
  <w:abstractNum w:abstractNumId="40">
    <w:nsid w:val="2A6DE806"/>
    <w:multiLevelType w:val="hybridMultilevel"/>
    <w:lvl w:ilvl="0">
      <w:lvlJc w:val="left"/>
      <w:lvlText w:val="*"/>
      <w:numFmt w:val="bullet"/>
      <w:start w:val="1"/>
    </w:lvl>
  </w:abstractNum>
  <w:abstractNum w:abstractNumId="41">
    <w:nsid w:val="1816F8C4"/>
    <w:multiLevelType w:val="hybridMultilevel"/>
    <w:lvl w:ilvl="0">
      <w:lvlJc w:val="left"/>
      <w:lvlText w:val="(%1)"/>
      <w:numFmt w:val="decimal"/>
      <w:start w:val="1"/>
    </w:lvl>
  </w:abstractNum>
  <w:abstractNum w:abstractNumId="42">
    <w:nsid w:val="37DF2233"/>
    <w:multiLevelType w:val="hybridMultilevel"/>
    <w:lvl w:ilvl="0">
      <w:lvlJc w:val="left"/>
      <w:lvlText w:val="•"/>
      <w:numFmt w:val="bullet"/>
      <w:start w:val="1"/>
    </w:lvl>
  </w:abstractNum>
  <w:abstractNum w:abstractNumId="43">
    <w:nsid w:val="7AB49DAF"/>
    <w:multiLevelType w:val="hybridMultilevel"/>
    <w:lvl w:ilvl="0">
      <w:lvlJc w:val="left"/>
      <w:lvlText w:val="•"/>
      <w:numFmt w:val="bullet"/>
      <w:start w:val="1"/>
    </w:lvl>
  </w:abstractNum>
  <w:abstractNum w:abstractNumId="44">
    <w:nsid w:val="759F82CD"/>
    <w:multiLevelType w:val="hybridMultilevel"/>
    <w:lvl w:ilvl="0">
      <w:lvlJc w:val="left"/>
      <w:lvlText w:val="•"/>
      <w:numFmt w:val="bullet"/>
      <w:start w:val="1"/>
    </w:lvl>
  </w:abstractNum>
  <w:abstractNum w:abstractNumId="45">
    <w:nsid w:val="61E74EA3"/>
    <w:multiLevelType w:val="hybridMultilevel"/>
    <w:lvl w:ilvl="0">
      <w:lvlJc w:val="left"/>
      <w:lvlText w:val="(%1)"/>
      <w:numFmt w:val="decimal"/>
      <w:start w:val="1"/>
    </w:lvl>
  </w:abstractNum>
  <w:abstractNum w:abstractNumId="46">
    <w:nsid w:val="597B4D84"/>
    <w:multiLevelType w:val="hybridMultilevel"/>
    <w:lvl w:ilvl="0">
      <w:lvlJc w:val="left"/>
      <w:lvlText w:val="*"/>
      <w:numFmt w:val="bullet"/>
      <w:start w:val="1"/>
    </w:lvl>
  </w:abstractNum>
  <w:abstractNum w:abstractNumId="47">
    <w:nsid w:val="F819E7F"/>
    <w:multiLevelType w:val="hybridMultilevel"/>
    <w:lvl w:ilvl="0">
      <w:lvlJc w:val="left"/>
      <w:lvlText w:val="(%1)"/>
      <w:numFmt w:val="decimal"/>
      <w:start w:val="1"/>
    </w:lvl>
  </w:abstractNum>
  <w:abstractNum w:abstractNumId="48">
    <w:nsid w:val="57C7D42D"/>
    <w:multiLevelType w:val="hybridMultilevel"/>
    <w:lvl w:ilvl="0">
      <w:lvlJc w:val="left"/>
      <w:lvlText w:val="•"/>
      <w:numFmt w:val="bullet"/>
      <w:start w:val="1"/>
    </w:lvl>
  </w:abstractNum>
  <w:abstractNum w:abstractNumId="49">
    <w:nsid w:val="312167AD"/>
    <w:multiLevelType w:val="hybridMultilevel"/>
    <w:lvl w:ilvl="0">
      <w:lvlJc w:val="left"/>
      <w:lvlText w:val="•"/>
      <w:numFmt w:val="bullet"/>
      <w:start w:val="1"/>
    </w:lvl>
  </w:abstractNum>
  <w:abstractNum w:abstractNumId="50">
    <w:nsid w:val="631B64D4"/>
    <w:multiLevelType w:val="hybridMultilevel"/>
    <w:lvl w:ilvl="0">
      <w:lvlJc w:val="left"/>
      <w:lvlText w:val="•"/>
      <w:numFmt w:val="bullet"/>
      <w:start w:val="1"/>
    </w:lvl>
  </w:abstractNum>
  <w:abstractNum w:abstractNumId="51">
    <w:nsid w:val="78B5E776"/>
    <w:multiLevelType w:val="hybridMultilevel"/>
    <w:lvl w:ilvl="0">
      <w:lvlJc w:val="left"/>
      <w:lvlText w:val="•"/>
      <w:numFmt w:val="bullet"/>
      <w:start w:val="1"/>
    </w:lvl>
  </w:abstractNum>
  <w:abstractNum w:abstractNumId="52">
    <w:nsid w:val="75486E47"/>
    <w:multiLevelType w:val="hybridMultilevel"/>
    <w:lvl w:ilvl="0">
      <w:lvlJc w:val="left"/>
      <w:lvlText w:val="(%1)"/>
      <w:numFmt w:val="decimal"/>
      <w:start w:val="1"/>
    </w:lvl>
  </w:abstractNum>
  <w:abstractNum w:abstractNumId="53">
    <w:nsid w:val="6E534CDE"/>
    <w:multiLevelType w:val="hybridMultilevel"/>
    <w:lvl w:ilvl="0">
      <w:lvlJc w:val="left"/>
      <w:lvlText w:val="•"/>
      <w:numFmt w:val="bullet"/>
      <w:start w:val="1"/>
    </w:lvl>
  </w:abstractNum>
  <w:abstractNum w:abstractNumId="54">
    <w:nsid w:val="1A0DDE32"/>
    <w:multiLevelType w:val="hybridMultilevel"/>
    <w:lvl w:ilvl="0">
      <w:lvlJc w:val="left"/>
      <w:lvlText w:val="•"/>
      <w:numFmt w:val="bullet"/>
      <w:start w:val="1"/>
    </w:lvl>
    <w:lvl w:ilvl="1">
      <w:lvlJc w:val="left"/>
      <w:lvlText w:val="▪"/>
      <w:numFmt w:val="bullet"/>
      <w:start w:val="1"/>
    </w:lvl>
  </w:abstractNum>
  <w:abstractNum w:abstractNumId="55">
    <w:nsid w:val="65968C1C"/>
    <w:multiLevelType w:val="hybridMultilevel"/>
    <w:lvl w:ilvl="0">
      <w:lvlJc w:val="left"/>
      <w:lvlText w:val="▪"/>
      <w:numFmt w:val="bullet"/>
      <w:start w:val="1"/>
    </w:lvl>
  </w:abstractNum>
  <w:abstractNum w:abstractNumId="56">
    <w:nsid w:val="46263DEC"/>
    <w:multiLevelType w:val="hybridMultilevel"/>
    <w:lvl w:ilvl="0">
      <w:lvlJc w:val="left"/>
      <w:lvlText w:val="•"/>
      <w:numFmt w:val="bullet"/>
      <w:start w:val="1"/>
    </w:lvl>
    <w:lvl w:ilvl="1">
      <w:lvlJc w:val="left"/>
      <w:lvlText w:val="▪"/>
      <w:numFmt w:val="bullet"/>
      <w:start w:val="1"/>
    </w:lvl>
  </w:abstractNum>
  <w:abstractNum w:abstractNumId="57">
    <w:nsid w:val="260D8C4A"/>
    <w:multiLevelType w:val="hybridMultilevel"/>
    <w:lvl w:ilvl="0">
      <w:lvlJc w:val="left"/>
      <w:lvlText w:val="%1."/>
      <w:numFmt w:val="decimal"/>
      <w:start w:val="2"/>
    </w:lvl>
  </w:abstractNum>
  <w:abstractNum w:abstractNumId="58">
    <w:nsid w:val="73D4D3C4"/>
    <w:multiLevelType w:val="hybridMultilevel"/>
    <w:lvl w:ilvl="0">
      <w:lvlJc w:val="left"/>
      <w:lvlText w:val="•"/>
      <w:numFmt w:val="bullet"/>
      <w:start w:val="1"/>
    </w:lvl>
  </w:abstractNum>
  <w:abstractNum w:abstractNumId="59">
    <w:nsid w:val="746F2E30"/>
    <w:multiLevelType w:val="hybridMultilevel"/>
    <w:lvl w:ilvl="0">
      <w:lvlJc w:val="left"/>
      <w:lvlText w:val="•"/>
      <w:numFmt w:val="bullet"/>
      <w:start w:val="1"/>
    </w:lvl>
  </w:abstractNum>
  <w:abstractNum w:abstractNumId="60">
    <w:nsid w:val="6FDE8AF6"/>
    <w:multiLevelType w:val="hybridMultilevel"/>
    <w:lvl w:ilvl="0">
      <w:lvlJc w:val="left"/>
      <w:lvlText w:val="(%1)"/>
      <w:numFmt w:val="decimal"/>
      <w:start w:val="1"/>
    </w:lvl>
  </w:abstractNum>
  <w:abstractNum w:abstractNumId="61">
    <w:nsid w:val="3FC32E20"/>
    <w:multiLevelType w:val="hybridMultilevel"/>
    <w:lvl w:ilvl="0">
      <w:lvlJc w:val="left"/>
      <w:lvlText w:val="(%1)"/>
      <w:numFmt w:val="decimal"/>
      <w:start w:val="1"/>
    </w:lvl>
  </w:abstractNum>
  <w:abstractNum w:abstractNumId="62">
    <w:nsid w:val="49C0E823"/>
    <w:multiLevelType w:val="hybridMultilevel"/>
    <w:lvl w:ilvl="0">
      <w:lvlJc w:val="left"/>
      <w:lvlText w:val="(%1)"/>
      <w:numFmt w:val="decimal"/>
      <w:start w:val="1"/>
    </w:lvl>
  </w:abstractNum>
  <w:abstractNum w:abstractNumId="63">
    <w:nsid w:val="14D53685"/>
    <w:multiLevelType w:val="hybridMultilevel"/>
    <w:lvl w:ilvl="0">
      <w:lvlJc w:val="left"/>
      <w:lvlText w:val="(%1)"/>
      <w:numFmt w:val="decimal"/>
      <w:start w:val="1"/>
    </w:lvl>
  </w:abstractNum>
  <w:abstractNum w:abstractNumId="64">
    <w:nsid w:val="230F856C"/>
    <w:multiLevelType w:val="hybridMultilevel"/>
    <w:lvl w:ilvl="0">
      <w:lvlJc w:val="left"/>
      <w:lvlText w:val="(%1)"/>
      <w:numFmt w:val="lowerLetter"/>
      <w:start w:val="25"/>
    </w:lvl>
  </w:abstractNum>
  <w:abstractNum w:abstractNumId="65">
    <w:nsid w:val="6EAA85FB"/>
    <w:multiLevelType w:val="hybridMultilevel"/>
    <w:lvl w:ilvl="0">
      <w:lvlJc w:val="left"/>
      <w:lvlText w:val="(%1)"/>
      <w:numFmt w:val="decimal"/>
      <w:start w:val="1"/>
    </w:lvl>
  </w:abstractNum>
  <w:abstractNum w:abstractNumId="66">
    <w:nsid w:val="3F06ECB2"/>
    <w:multiLevelType w:val="hybridMultilevel"/>
    <w:lvl w:ilvl="0">
      <w:lvlJc w:val="left"/>
      <w:lvlText w:val="(%1)"/>
      <w:numFmt w:val="decimal"/>
      <w:start w:val="1"/>
    </w:lvl>
  </w:abstractNum>
  <w:abstractNum w:abstractNumId="67">
    <w:nsid w:val="3B594807"/>
    <w:multiLevelType w:val="hybridMultilevel"/>
    <w:lvl w:ilvl="0">
      <w:lvlJc w:val="left"/>
      <w:lvlText w:val="(%1)"/>
      <w:numFmt w:val="lowerRoman"/>
      <w:start w:val="1"/>
    </w:lvl>
  </w:abstractNum>
  <w:abstractNum w:abstractNumId="68">
    <w:nsid w:val="6CAA2304"/>
    <w:multiLevelType w:val="hybridMultilevel"/>
    <w:lvl w:ilvl="0">
      <w:lvlJc w:val="left"/>
      <w:lvlText w:val="•"/>
      <w:numFmt w:val="bullet"/>
      <w:start w:val="1"/>
    </w:lvl>
  </w:abstractNum>
  <w:abstractNum w:abstractNumId="69">
    <w:nsid w:val="3F7C2FF4"/>
    <w:multiLevelType w:val="hybridMultilevel"/>
    <w:lvl w:ilvl="0">
      <w:lvlJc w:val="left"/>
      <w:lvlText w:val="•"/>
      <w:numFmt w:val="bullet"/>
      <w:start w:val="1"/>
    </w:lvl>
  </w:abstractNum>
  <w:abstractNum w:abstractNumId="70">
    <w:nsid w:val="25413BEC"/>
    <w:multiLevelType w:val="hybridMultilevel"/>
    <w:lvl w:ilvl="0">
      <w:lvlJc w:val="left"/>
      <w:lvlText w:val="(%1)"/>
      <w:numFmt w:val="decimal"/>
      <w:start w:val="1"/>
    </w:lvl>
    <w:lvl w:ilvl="1">
      <w:lvlJc w:val="left"/>
      <w:lvlText w:val="•"/>
      <w:numFmt w:val="bullet"/>
      <w:start w:val="1"/>
    </w:lvl>
  </w:abstractNum>
  <w:abstractNum w:abstractNumId="71">
    <w:nsid w:val="17180B0B"/>
    <w:multiLevelType w:val="hybridMultilevel"/>
    <w:lvl w:ilvl="0">
      <w:lvlJc w:val="left"/>
      <w:lvlText w:val="(%1)"/>
      <w:numFmt w:val="decimal"/>
      <w:start w:val="2"/>
    </w:lvl>
    <w:lvl w:ilvl="1">
      <w:lvlJc w:val="left"/>
      <w:lvlText w:val="•"/>
      <w:numFmt w:val="bullet"/>
      <w:start w:val="1"/>
    </w:lvl>
  </w:abstractNum>
  <w:abstractNum w:abstractNumId="72">
    <w:nsid w:val="579328B9"/>
    <w:multiLevelType w:val="hybridMultilevel"/>
    <w:lvl w:ilvl="0">
      <w:lvlJc w:val="left"/>
      <w:lvlText w:val="(%1)"/>
      <w:numFmt w:val="decimal"/>
      <w:start w:val="1"/>
    </w:lvl>
  </w:abstractNum>
  <w:abstractNum w:abstractNumId="73">
    <w:nsid w:val="5D205E20"/>
    <w:multiLevelType w:val="hybridMultilevel"/>
    <w:lvl w:ilvl="0">
      <w:lvlJc w:val="left"/>
      <w:lvlText w:val="(%1)"/>
      <w:numFmt w:val="decimal"/>
      <w:start w:val="1"/>
    </w:lvl>
  </w:abstractNum>
  <w:abstractNum w:abstractNumId="74">
    <w:nsid w:val="11CCA8BA"/>
    <w:multiLevelType w:val="hybridMultilevel"/>
    <w:lvl w:ilvl="0">
      <w:lvlJc w:val="left"/>
      <w:lvlText w:val="(%1)"/>
      <w:numFmt w:val="decimal"/>
      <w:start w:val="1"/>
    </w:lvl>
  </w:abstractNum>
  <w:abstractNum w:abstractNumId="75">
    <w:nsid w:val="4D32AB86"/>
    <w:multiLevelType w:val="hybridMultilevel"/>
    <w:lvl w:ilvl="0">
      <w:lvlJc w:val="left"/>
      <w:lvlText w:val="(%1)"/>
      <w:numFmt w:val="upperLetter"/>
      <w:start w:val="1"/>
    </w:lvl>
  </w:abstractNum>
  <w:abstractNum w:abstractNumId="76">
    <w:nsid w:val="3F07ACC3"/>
    <w:multiLevelType w:val="hybridMultilevel"/>
    <w:lvl w:ilvl="0">
      <w:lvlJc w:val="left"/>
      <w:lvlText w:val="(%1)"/>
      <w:numFmt w:val="upperLetter"/>
      <w:start w:val="2"/>
    </w:lvl>
  </w:abstractNum>
  <w:abstractNum w:abstractNumId="77">
    <w:nsid w:val="6B47F63E"/>
    <w:multiLevelType w:val="hybridMultilevel"/>
    <w:lvl w:ilvl="0">
      <w:lvlJc w:val="left"/>
      <w:lvlText w:val="*"/>
      <w:numFmt w:val="bullet"/>
      <w:start w:val="1"/>
    </w:lvl>
    <w:lvl w:ilvl="1">
      <w:lvlJc w:val="left"/>
      <w:lvlText w:val="%2"/>
      <w:numFmt w:val="decimal"/>
      <w:start w:val="104"/>
    </w:lvl>
  </w:abstractNum>
  <w:abstractNum w:abstractNumId="78">
    <w:nsid w:val="5CB44A05"/>
    <w:multiLevelType w:val="hybridMultilevel"/>
    <w:lvl w:ilvl="0">
      <w:lvlJc w:val="left"/>
      <w:lvlText w:val="†"/>
      <w:numFmt w:val="bullet"/>
      <w:start w:val="1"/>
    </w:lvl>
  </w:abstractNum>
  <w:abstractNum w:abstractNumId="79">
    <w:nsid w:val="16CF80F1"/>
    <w:multiLevelType w:val="hybridMultilevel"/>
    <w:lvl w:ilvl="0">
      <w:lvlJc w:val="left"/>
      <w:lvlText w:val="**"/>
      <w:numFmt w:val="bullet"/>
      <w:start w:val="1"/>
    </w:lvl>
  </w:abstractNum>
  <w:abstractNum w:abstractNumId="80">
    <w:nsid w:val="1C695DEC"/>
    <w:multiLevelType w:val="hybridMultilevel"/>
    <w:lvl w:ilvl="0">
      <w:lvlJc w:val="left"/>
      <w:lvlText w:val="***"/>
      <w:numFmt w:val="bullet"/>
      <w:start w:val="1"/>
    </w:lvl>
  </w:abstractNum>
  <w:abstractNum w:abstractNumId="81">
    <w:nsid w:val="3FCFAED9"/>
    <w:multiLevelType w:val="hybridMultilevel"/>
    <w:lvl w:ilvl="0">
      <w:lvlJc w:val="left"/>
      <w:lvlText w:val="****"/>
      <w:numFmt w:val="bullet"/>
      <w:start w:val="1"/>
    </w:lvl>
  </w:abstractNum>
  <w:abstractNum w:abstractNumId="82">
    <w:nsid w:val="F856867"/>
    <w:multiLevelType w:val="hybridMultilevel"/>
    <w:lvl w:ilvl="0">
      <w:lvlJc w:val="left"/>
      <w:lvlText w:val="(%1)"/>
      <w:numFmt w:val="lowerLetter"/>
      <w:start w:val="3"/>
    </w:lvl>
  </w:abstractNum>
  <w:abstractNum w:abstractNumId="83">
    <w:nsid w:val="11B1CC33"/>
    <w:multiLevelType w:val="hybridMultilevel"/>
    <w:lvl w:ilvl="0">
      <w:lvlJc w:val="left"/>
      <w:lvlText w:val="I"/>
      <w:numFmt w:val="bullet"/>
      <w:start w:val="1"/>
    </w:lvl>
  </w:abstractNum>
  <w:abstractNum w:abstractNumId="84">
    <w:nsid w:val="2E22FBB7"/>
    <w:multiLevelType w:val="hybridMultilevel"/>
    <w:lvl w:ilvl="0">
      <w:lvlJc w:val="left"/>
      <w:lvlText w:val="A"/>
      <w:numFmt w:val="bullet"/>
      <w:start w:val="1"/>
    </w:lvl>
  </w:abstractNum>
  <w:abstractNum w:abstractNumId="85">
    <w:nsid w:val="29934699"/>
    <w:multiLevelType w:val="hybridMultilevel"/>
    <w:lvl w:ilvl="0">
      <w:lvlJc w:val="left"/>
      <w:lvlText w:val="(%1)"/>
      <w:numFmt w:val="lowerLetter"/>
      <w:start w:val="1"/>
    </w:lvl>
  </w:abstractNum>
  <w:abstractNum w:abstractNumId="86">
    <w:nsid w:val="77485850"/>
    <w:multiLevelType w:val="hybridMultilevel"/>
    <w:lvl w:ilvl="0">
      <w:lvlJc w:val="left"/>
      <w:lvlText w:val="(%1)"/>
      <w:numFmt w:val="lowerLetter"/>
      <w:start w:val="1"/>
    </w:lvl>
    <w:lvl w:ilvl="1">
      <w:lvlJc w:val="left"/>
      <w:lvlText w:val="(%2)"/>
      <w:numFmt w:val="lowerRoman"/>
      <w:start w:val="1"/>
    </w:lvl>
  </w:abstractNum>
  <w:abstractNum w:abstractNumId="87">
    <w:nsid w:val="744939A3"/>
    <w:multiLevelType w:val="hybridMultilevel"/>
    <w:lvl w:ilvl="0">
      <w:lvlJc w:val="left"/>
      <w:lvlText w:val="(%1)"/>
      <w:numFmt w:val="lowerRoman"/>
      <w:start w:val="4"/>
    </w:lvl>
  </w:abstractNum>
  <w:abstractNum w:abstractNumId="88">
    <w:nsid w:val="4FA0D2E3"/>
    <w:multiLevelType w:val="hybridMultilevel"/>
    <w:lvl w:ilvl="0">
      <w:lvlJc w:val="left"/>
      <w:lvlText w:val="(%1)"/>
      <w:numFmt w:val="lowerLetter"/>
      <w:start w:val="2"/>
    </w:lvl>
    <w:lvl w:ilvl="1">
      <w:lvlJc w:val="left"/>
      <w:lvlText w:val="(%2)"/>
      <w:numFmt w:val="lowerRoman"/>
      <w:start w:val="1"/>
    </w:lvl>
  </w:abstractNum>
  <w:abstractNum w:abstractNumId="89">
    <w:nsid w:val="6B1D2C14"/>
    <w:multiLevelType w:val="hybridMultilevel"/>
    <w:lvl w:ilvl="0">
      <w:lvlJc w:val="left"/>
      <w:lvlText w:val="(%1)"/>
      <w:numFmt w:val="lowerLetter"/>
      <w:start w:val="1"/>
    </w:lvl>
  </w:abstractNum>
  <w:abstractNum w:abstractNumId="90">
    <w:nsid w:val="68B867D3"/>
    <w:multiLevelType w:val="hybridMultilevel"/>
    <w:lvl w:ilvl="0">
      <w:lvlJc w:val="left"/>
      <w:lvlText w:val="(%1)"/>
      <w:numFmt w:val="lowerLetter"/>
      <w:start w:val="2"/>
    </w:lvl>
    <w:lvl w:ilvl="1">
      <w:lvlJc w:val="left"/>
      <w:lvlText w:val="(%2)"/>
      <w:numFmt w:val="lowerRoman"/>
      <w:start w:val="1"/>
    </w:lvl>
  </w:abstractNum>
  <w:abstractNum w:abstractNumId="91">
    <w:nsid w:val="3F7F5D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2">
    <w:nsid w:val="2AE05A3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93">
    <w:nsid w:val="32794FF7"/>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94">
    <w:nsid w:val="5454945E"/>
    <w:multiLevelType w:val="hybridMultilevel"/>
    <w:lvl w:ilvl="0">
      <w:lvlJc w:val="left"/>
      <w:lvlText w:val="(%1)"/>
      <w:numFmt w:val="decimal"/>
      <w:start w:val="3"/>
    </w:lvl>
    <w:lvl w:ilvl="1">
      <w:lvlJc w:val="left"/>
      <w:lvlText w:val="(%2)"/>
      <w:numFmt w:val="lowerRoman"/>
      <w:start w:val="3"/>
    </w:lvl>
    <w:lvl w:ilvl="2">
      <w:lvlJc w:val="left"/>
      <w:lvlText w:val="%3"/>
      <w:numFmt w:val="upperLetter"/>
      <w:start w:val="1"/>
    </w:lvl>
  </w:abstractNum>
  <w:abstractNum w:abstractNumId="95">
    <w:nsid w:val="4DEFDFA0"/>
    <w:multiLevelType w:val="hybridMultilevel"/>
    <w:lvl w:ilvl="0">
      <w:lvlJc w:val="left"/>
      <w:lvlText w:val="(%1)"/>
      <w:numFmt w:val="decimal"/>
      <w:start w:val="1"/>
    </w:lvl>
    <w:lvl w:ilvl="1">
      <w:lvlJc w:val="left"/>
      <w:lvlText w:val="(%2)"/>
      <w:numFmt w:val="lowerRoman"/>
      <w:start w:val="6"/>
    </w:lvl>
    <w:lvl w:ilvl="2">
      <w:lvlJc w:val="left"/>
      <w:lvlText w:val="(%3)"/>
      <w:numFmt w:val="upperLetter"/>
      <w:start w:val="1"/>
    </w:lvl>
  </w:abstractNum>
  <w:abstractNum w:abstractNumId="96">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97">
    <w:nsid w:val="135B8110"/>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98">
    <w:nsid w:val="94927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9">
    <w:nsid w:val="DCDF8F6"/>
    <w:multiLevelType w:val="hybridMultilevel"/>
    <w:lvl w:ilvl="0">
      <w:lvlJc w:val="left"/>
      <w:lvlText w:val="%1"/>
      <w:numFmt w:val="upperLetter"/>
      <w:start w:val="1"/>
    </w:lvl>
    <w:lvl w:ilvl="1">
      <w:lvlJc w:val="left"/>
      <w:lvlText w:val="(%2)"/>
      <w:numFmt w:val="lowerRoman"/>
      <w:start w:val="2"/>
    </w:lvl>
  </w:abstractNum>
  <w:abstractNum w:abstractNumId="100">
    <w:nsid w:val="52D7B105"/>
    <w:multiLevelType w:val="hybridMultilevel"/>
    <w:lvl w:ilvl="0">
      <w:lvlJc w:val="left"/>
      <w:lvlText w:val="(%1)"/>
      <w:numFmt w:val="upperLetter"/>
      <w:start w:val="2"/>
    </w:lvl>
    <w:lvl w:ilvl="1">
      <w:lvlJc w:val="left"/>
      <w:lvlText w:val="%2"/>
      <w:numFmt w:val="lowerRoman"/>
      <w:start w:val="1"/>
    </w:lvl>
  </w:abstractNum>
  <w:abstractNum w:abstractNumId="101">
    <w:nsid w:val="2E8A6394"/>
    <w:multiLevelType w:val="hybridMultilevel"/>
    <w:lvl w:ilvl="0">
      <w:lvlJc w:val="left"/>
      <w:lvlText w:val="(%1)"/>
      <w:numFmt w:val="lowerLetter"/>
      <w:start w:val="4"/>
    </w:lvl>
  </w:abstractNum>
  <w:abstractNum w:abstractNumId="102">
    <w:nsid w:val="24E60401"/>
    <w:multiLevelType w:val="hybridMultilevel"/>
    <w:lvl w:ilvl="0">
      <w:lvlJc w:val="left"/>
      <w:lvlText w:val="(%1)"/>
      <w:numFmt w:val="lowerLetter"/>
      <w:start w:val="1"/>
    </w:lvl>
    <w:lvl w:ilvl="1">
      <w:lvlJc w:val="left"/>
      <w:lvlText w:val="(%2)"/>
      <w:numFmt w:val="lowerRoman"/>
      <w:start w:val="1"/>
    </w:lvl>
  </w:abstractNum>
  <w:abstractNum w:abstractNumId="103">
    <w:nsid w:val="2A6AD9BE"/>
    <w:multiLevelType w:val="hybridMultilevel"/>
    <w:lvl w:ilvl="0">
      <w:lvlJc w:val="left"/>
      <w:lvlText w:val="(%1)"/>
      <w:numFmt w:val="lowerLetter"/>
      <w:start w:val="1"/>
    </w:lvl>
  </w:abstractNum>
  <w:abstractNum w:abstractNumId="104">
    <w:nsid w:val="BAAC1B4"/>
    <w:multiLevelType w:val="hybridMultilevel"/>
    <w:lvl w:ilvl="0">
      <w:lvlJc w:val="left"/>
      <w:lvlText w:val="(%1)"/>
      <w:numFmt w:val="lowerLetter"/>
      <w:start w:val="1"/>
    </w:lvl>
  </w:abstractNum>
  <w:abstractNum w:abstractNumId="105">
    <w:nsid w:val="36B2ACBC"/>
    <w:multiLevelType w:val="hybridMultilevel"/>
    <w:lvl w:ilvl="0">
      <w:lvlJc w:val="left"/>
      <w:lvlText w:val="(%1)"/>
      <w:numFmt w:val="decimal"/>
      <w:start w:val="366"/>
    </w:lvl>
  </w:abstractNum>
  <w:abstractNum w:abstractNumId="106">
    <w:nsid w:val="779D8544"/>
    <w:multiLevelType w:val="hybridMultilevel"/>
    <w:lvl w:ilvl="0">
      <w:lvlJc w:val="left"/>
      <w:lvlText w:val="(%1)"/>
      <w:numFmt w:val="lowerLetter"/>
      <w:start w:val="1"/>
    </w:lvl>
  </w:abstractNum>
  <w:abstractNum w:abstractNumId="107">
    <w:nsid w:val="4AB26E78"/>
    <w:multiLevelType w:val="hybridMultilevel"/>
    <w:lvl w:ilvl="0">
      <w:lvlJc w:val="left"/>
      <w:lvlText w:val="(%1)"/>
      <w:numFmt w:val="lowerLetter"/>
      <w:start w:val="1"/>
    </w:lvl>
    <w:lvl w:ilvl="1">
      <w:lvlJc w:val="left"/>
      <w:lvlText w:val="(%2)"/>
      <w:numFmt w:val="lowerRoman"/>
      <w:start w:val="1"/>
    </w:lvl>
  </w:abstractNum>
  <w:abstractNum w:abstractNumId="108">
    <w:nsid w:val="21FAA2FA"/>
    <w:multiLevelType w:val="hybridMultilevel"/>
    <w:lvl w:ilvl="0">
      <w:lvlJc w:val="left"/>
      <w:lvlText w:val="(%1)"/>
      <w:numFmt w:val="lowerLetter"/>
      <w:start w:val="4"/>
    </w:lvl>
  </w:abstractNum>
  <w:abstractNum w:abstractNumId="109">
    <w:nsid w:val="5451CF49"/>
    <w:multiLevelType w:val="hybridMultilevel"/>
    <w:lvl w:ilvl="0">
      <w:lvlJc w:val="left"/>
      <w:lvlText w:val="(%1)"/>
      <w:numFmt w:val="lowerLetter"/>
      <w:start w:val="1"/>
    </w:lvl>
  </w:abstractNum>
  <w:abstractNum w:abstractNumId="110">
    <w:nsid w:val="6181EF69"/>
    <w:multiLevelType w:val="hybridMultilevel"/>
    <w:lvl w:ilvl="0">
      <w:lvlJc w:val="left"/>
      <w:lvlText w:val="(%1)"/>
      <w:numFmt w:val="lowerLetter"/>
      <w:start w:val="3"/>
    </w:lvl>
    <w:lvl w:ilvl="1">
      <w:lvlJc w:val="left"/>
      <w:lvlText w:val="(%2)"/>
      <w:numFmt w:val="lowerRoman"/>
      <w:start w:val="1"/>
    </w:lvl>
  </w:abstractNum>
  <w:abstractNum w:abstractNumId="111">
    <w:nsid w:val="3E6400E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12">
    <w:nsid w:val="14217E2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3">
    <w:nsid w:val="710757D0"/>
    <w:multiLevelType w:val="hybridMultilevel"/>
    <w:lvl w:ilvl="0">
      <w:lvlJc w:val="left"/>
      <w:lvlText w:val="%1"/>
      <w:numFmt w:val="lowerLetter"/>
      <w:start w:val="1"/>
    </w:lvl>
    <w:lvl w:ilvl="1">
      <w:lvlJc w:val="left"/>
      <w:lvlText w:val="(%2)"/>
      <w:numFmt w:val="upperLetter"/>
      <w:start w:val="2"/>
    </w:lvl>
  </w:abstractNum>
  <w:abstractNum w:abstractNumId="114">
    <w:nsid w:val="5015CD1A"/>
    <w:multiLevelType w:val="hybridMultilevel"/>
    <w:lvl w:ilvl="0">
      <w:lvlJc w:val="left"/>
      <w:lvlText w:val="(%1)"/>
      <w:numFmt w:val="lowerLetter"/>
      <w:start w:val="6"/>
    </w:lvl>
    <w:lvl w:ilvl="1">
      <w:lvlJc w:val="left"/>
      <w:lvlText w:val="%2"/>
      <w:numFmt w:val="upperLetter"/>
      <w:start w:val="1"/>
    </w:lvl>
  </w:abstractNum>
  <w:abstractNum w:abstractNumId="115">
    <w:nsid w:val="424479DA"/>
    <w:multiLevelType w:val="hybridMultilevel"/>
    <w:lvl w:ilvl="0">
      <w:lvlJc w:val="left"/>
      <w:lvlText w:val="(%1)"/>
      <w:numFmt w:val="lowerLetter"/>
      <w:start w:val="1"/>
    </w:lvl>
  </w:abstractNum>
  <w:abstractNum w:abstractNumId="116">
    <w:nsid w:val="1A9A9E69"/>
    <w:multiLevelType w:val="hybridMultilevel"/>
    <w:lvl w:ilvl="0">
      <w:lvlJc w:val="left"/>
      <w:lvlText w:val="(%1)"/>
      <w:numFmt w:val="lowerLetter"/>
      <w:start w:val="2"/>
    </w:lvl>
    <w:lvl w:ilvl="1">
      <w:lvlJc w:val="left"/>
      <w:lvlText w:val="(%2)"/>
      <w:numFmt w:val="lowerRoman"/>
      <w:start w:val="1"/>
    </w:lvl>
  </w:abstractNum>
  <w:abstractNum w:abstractNumId="117">
    <w:nsid w:val="475E256A"/>
    <w:multiLevelType w:val="hybridMultilevel"/>
    <w:lvl w:ilvl="0">
      <w:lvlJc w:val="left"/>
      <w:lvlText w:val="%1"/>
      <w:numFmt w:val="lowerLetter"/>
      <w:start w:val="1"/>
    </w:lvl>
    <w:lvl w:ilvl="1">
      <w:lvlJc w:val="left"/>
      <w:lvlText w:val="(%2)"/>
      <w:numFmt w:val="lowerRoman"/>
      <w:start w:val="2"/>
    </w:lvl>
  </w:abstractNum>
  <w:abstractNum w:abstractNumId="118">
    <w:nsid w:val="368DB37E"/>
    <w:multiLevelType w:val="hybridMultilevel"/>
    <w:lvl w:ilvl="0">
      <w:lvlJc w:val="left"/>
      <w:lvlText w:val="(%1)"/>
      <w:numFmt w:val="lowerLetter"/>
      <w:start w:val="8"/>
    </w:lvl>
    <w:lvl w:ilvl="1">
      <w:lvlJc w:val="left"/>
      <w:lvlText w:val="(%2)"/>
      <w:numFmt w:val="lowerRoman"/>
      <w:start w:val="1"/>
    </w:lvl>
  </w:abstractNum>
  <w:abstractNum w:abstractNumId="119">
    <w:nsid w:val="6A3B714C"/>
    <w:multiLevelType w:val="hybridMultilevel"/>
    <w:lvl w:ilvl="0">
      <w:lvlJc w:val="left"/>
      <w:lvlText w:val="%1"/>
      <w:numFmt w:val="lowerRoman"/>
      <w:start w:val="1"/>
    </w:lvl>
    <w:lvl w:ilvl="1">
      <w:lvlJc w:val="left"/>
      <w:lvlText w:val="(%2)"/>
      <w:numFmt w:val="lowerRoman"/>
      <w:start w:val="5"/>
    </w:lvl>
  </w:abstractNum>
  <w:abstractNum w:abstractNumId="120">
    <w:nsid w:val="327B517E"/>
    <w:multiLevelType w:val="hybridMultilevel"/>
    <w:lvl w:ilvl="0">
      <w:lvlJc w:val="left"/>
      <w:lvlText w:val="(%1)"/>
      <w:numFmt w:val="lowerRoman"/>
      <w:start w:val="1"/>
    </w:lvl>
    <w:lvl w:ilvl="1">
      <w:lvlJc w:val="left"/>
      <w:lvlText w:val="(%2)"/>
      <w:numFmt w:val="lowerRoman"/>
      <w:start w:val="1"/>
    </w:lvl>
  </w:abstractNum>
  <w:abstractNum w:abstractNumId="121">
    <w:nsid w:val="1F461B51"/>
    <w:multiLevelType w:val="hybridMultilevel"/>
    <w:lvl w:ilvl="0">
      <w:lvlJc w:val="left"/>
      <w:lvlText w:val="(%1)"/>
      <w:numFmt w:val="lowerLetter"/>
      <w:start w:val="10"/>
    </w:lvl>
  </w:abstractNum>
  <w:abstractNum w:abstractNumId="122">
    <w:nsid w:val="29BACF25"/>
    <w:multiLevelType w:val="hybridMultilevel"/>
    <w:lvl w:ilvl="0">
      <w:lvlJc w:val="left"/>
      <w:lvlText w:val="(%1)"/>
      <w:numFmt w:val="lowerLetter"/>
      <w:start w:val="12"/>
    </w:lvl>
    <w:lvl w:ilvl="1">
      <w:lvlJc w:val="left"/>
      <w:lvlText w:val="(%2)"/>
      <w:numFmt w:val="lowerRoman"/>
      <w:start w:val="1"/>
    </w:lvl>
  </w:abstractNum>
  <w:abstractNum w:abstractNumId="123">
    <w:nsid w:val="5D5BABB3"/>
    <w:multiLevelType w:val="hybridMultilevel"/>
    <w:lvl w:ilvl="0">
      <w:lvlJc w:val="left"/>
      <w:lvlText w:val="(%1)"/>
      <w:numFmt w:val="lowerLetter"/>
      <w:start w:val="14"/>
    </w:lvl>
  </w:abstractNum>
  <w:abstractNum w:abstractNumId="124">
    <w:nsid w:val="51BF6B48"/>
    <w:multiLevelType w:val="hybridMultilevel"/>
    <w:lvl w:ilvl="0">
      <w:lvlJc w:val="left"/>
      <w:lvlText w:val="(%1)"/>
      <w:numFmt w:val="lowerLetter"/>
      <w:start w:val="1"/>
    </w:lvl>
  </w:abstractNum>
  <w:abstractNum w:abstractNumId="125">
    <w:nsid w:val="7E0F6384"/>
    <w:multiLevelType w:val="hybridMultilevel"/>
    <w:lvl w:ilvl="0">
      <w:lvlJc w:val="left"/>
      <w:lvlText w:val="(%1)"/>
      <w:numFmt w:val="lowerLetter"/>
      <w:start w:val="1"/>
    </w:lvl>
  </w:abstractNum>
  <w:abstractNum w:abstractNumId="126">
    <w:nsid w:val="2B4B8B53"/>
    <w:multiLevelType w:val="hybridMultilevel"/>
    <w:lvl w:ilvl="0">
      <w:lvlJc w:val="left"/>
      <w:lvlText w:val="(%1)"/>
      <w:numFmt w:val="lowerLetter"/>
      <w:start w:val="2"/>
    </w:lvl>
    <w:lvl w:ilvl="1">
      <w:lvlJc w:val="left"/>
      <w:lvlText w:val="(%2)"/>
      <w:numFmt w:val="lowerRoman"/>
      <w:start w:val="1"/>
    </w:lvl>
  </w:abstractNum>
  <w:abstractNum w:abstractNumId="127">
    <w:nsid w:val="72E3413A"/>
    <w:multiLevelType w:val="hybridMultilevel"/>
    <w:lvl w:ilvl="0">
      <w:lvlJc w:val="left"/>
      <w:lvlText w:val="%1"/>
      <w:numFmt w:val="lowerRoman"/>
      <w:start w:val="1"/>
    </w:lvl>
    <w:lvl w:ilvl="1">
      <w:lvlJc w:val="left"/>
      <w:lvlText w:val="(%2)"/>
      <w:numFmt w:val="upperLetter"/>
      <w:start w:val="1"/>
    </w:lvl>
  </w:abstractNum>
  <w:abstractNum w:abstractNumId="128">
    <w:nsid w:val="116AE494"/>
    <w:multiLevelType w:val="hybridMultilevel"/>
    <w:lvl w:ilvl="0">
      <w:lvlJc w:val="left"/>
      <w:lvlText w:val="(%1)"/>
      <w:numFmt w:val="lowerRoman"/>
      <w:start w:val="3"/>
    </w:lvl>
    <w:lvl w:ilvl="1">
      <w:lvlJc w:val="left"/>
      <w:lvlText w:val="%2"/>
      <w:numFmt w:val="upperLetter"/>
      <w:start w:val="1"/>
    </w:lvl>
  </w:abstractNum>
  <w:abstractNum w:abstractNumId="129">
    <w:nsid w:val="3494B2FB"/>
    <w:multiLevelType w:val="hybridMultilevel"/>
    <w:lvl w:ilvl="0">
      <w:lvlJc w:val="left"/>
      <w:lvlText w:val="(%1)"/>
      <w:numFmt w:val="lowerLetter"/>
      <w:start w:val="5"/>
    </w:lvl>
  </w:abstractNum>
  <w:abstractNum w:abstractNumId="130">
    <w:nsid w:val="B13A31"/>
    <w:multiLevelType w:val="hybridMultilevel"/>
    <w:lvl w:ilvl="0">
      <w:lvlJc w:val="left"/>
      <w:lvlText w:val="(%1)"/>
      <w:numFmt w:val="lowerLetter"/>
      <w:start w:val="8"/>
    </w:lvl>
  </w:abstractNum>
  <w:abstractNum w:abstractNumId="131">
    <w:nsid w:val="64429599"/>
    <w:multiLevelType w:val="hybridMultilevel"/>
    <w:lvl w:ilvl="0">
      <w:lvlJc w:val="left"/>
      <w:lvlText w:val="(%1)"/>
      <w:numFmt w:val="lowerRoman"/>
      <w:start w:val="1"/>
    </w:lvl>
  </w:abstractNum>
  <w:abstractNum w:abstractNumId="132">
    <w:nsid w:val="631F169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3">
    <w:nsid w:val="25973E3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34">
    <w:nsid w:val="EAD6F57"/>
    <w:multiLevelType w:val="hybridMultilevel"/>
    <w:lvl w:ilvl="0">
      <w:lvlJc w:val="left"/>
      <w:lvlText w:val="(%1)"/>
      <w:numFmt w:val="lowerRoman"/>
      <w:start w:val="4"/>
    </w:lvl>
  </w:abstractNum>
  <w:abstractNum w:abstractNumId="135">
    <w:nsid w:val="6EC9D844"/>
    <w:multiLevelType w:val="hybridMultilevel"/>
    <w:lvl w:ilvl="0">
      <w:lvlJc w:val="left"/>
      <w:lvlText w:val="(%1)"/>
      <w:numFmt w:val="lowerLetter"/>
      <w:start w:val="1"/>
    </w:lvl>
    <w:lvl w:ilvl="1">
      <w:lvlJc w:val="left"/>
      <w:lvlText w:val="(%2)"/>
      <w:numFmt w:val="lowerLetter"/>
      <w:start w:val="9"/>
    </w:lvl>
  </w:abstractNum>
  <w:abstractNum w:abstractNumId="136">
    <w:nsid w:val="5C49EAEE"/>
    <w:multiLevelType w:val="hybridMultilevel"/>
    <w:lvl w:ilvl="0">
      <w:lvlJc w:val="left"/>
      <w:lvlText w:val="(%1)"/>
      <w:numFmt w:val="lowerRoman"/>
      <w:start w:val="2"/>
    </w:lvl>
  </w:abstractNum>
  <w:abstractNum w:abstractNumId="137">
    <w:nsid w:val="64AF49B"/>
    <w:multiLevelType w:val="hybridMultilevel"/>
    <w:lvl w:ilvl="0">
      <w:lvlJc w:val="left"/>
      <w:lvlText w:val="(%1)"/>
      <w:numFmt w:val="lowerLetter"/>
      <w:start w:val="2"/>
    </w:lvl>
  </w:abstractNum>
  <w:abstractNum w:abstractNumId="138">
    <w:nsid w:val="397C46BC"/>
    <w:multiLevelType w:val="hybridMultilevel"/>
    <w:lvl w:ilvl="0">
      <w:lvlJc w:val="left"/>
      <w:lvlText w:val="(%1)"/>
      <w:numFmt w:val="lowerLetter"/>
      <w:start w:val="1"/>
    </w:lvl>
    <w:lvl w:ilvl="1">
      <w:lvlJc w:val="left"/>
      <w:lvlText w:val="(%2)"/>
      <w:numFmt w:val="lowerRoman"/>
      <w:start w:val="1"/>
    </w:lvl>
  </w:abstractNum>
  <w:abstractNum w:abstractNumId="139">
    <w:nsid w:val="7E448DE9"/>
    <w:multiLevelType w:val="hybridMultilevel"/>
    <w:lvl w:ilvl="0">
      <w:lvlJc w:val="left"/>
      <w:lvlText w:val="(%1)"/>
      <w:numFmt w:val="lowerLetter"/>
      <w:start w:val="4"/>
    </w:lvl>
  </w:abstractNum>
  <w:abstractNum w:abstractNumId="140">
    <w:nsid w:val="5A9CC3E5"/>
    <w:multiLevelType w:val="hybridMultilevel"/>
    <w:lvl w:ilvl="0">
      <w:lvlJc w:val="left"/>
      <w:lvlText w:val="%1"/>
      <w:numFmt w:val="lowerLetter"/>
      <w:start w:val="1"/>
    </w:lvl>
    <w:lvl w:ilvl="1">
      <w:lvlJc w:val="left"/>
      <w:lvlText w:val="(%2)"/>
      <w:numFmt w:val="lowerLetter"/>
      <w:start w:val="1"/>
    </w:lvl>
  </w:abstractNum>
  <w:abstractNum w:abstractNumId="141">
    <w:nsid w:val="1AFE3625"/>
    <w:multiLevelType w:val="hybridMultilevel"/>
    <w:lvl w:ilvl="0">
      <w:lvlJc w:val="left"/>
      <w:lvlText w:val="(%1)"/>
      <w:numFmt w:val="lowerLetter"/>
      <w:start w:val="61"/>
    </w:lvl>
    <w:lvl w:ilvl="1">
      <w:lvlJc w:val="left"/>
      <w:lvlText w:val="%2"/>
      <w:numFmt w:val="lowerLetter"/>
      <w:start w:val="1"/>
    </w:lvl>
  </w:abstractNum>
  <w:abstractNum w:abstractNumId="142">
    <w:nsid w:val="3CA88ECF"/>
    <w:multiLevelType w:val="hybridMultilevel"/>
    <w:lvl w:ilvl="0">
      <w:lvlJc w:val="left"/>
      <w:lvlText w:val="%1"/>
      <w:numFmt w:val="upperLetter"/>
      <w:start w:val="1"/>
    </w:lvl>
    <w:lvl w:ilvl="1">
      <w:lvlJc w:val="left"/>
      <w:lvlText w:val="(%2)"/>
      <w:numFmt w:val="lowerLetter"/>
      <w:start w:val="2"/>
    </w:lvl>
  </w:abstractNum>
  <w:abstractNum w:abstractNumId="143">
    <w:nsid w:val="6EBE4208"/>
    <w:multiLevelType w:val="hybridMultilevel"/>
    <w:lvl w:ilvl="0">
      <w:lvlJc w:val="left"/>
      <w:lvlText w:val="(%1)"/>
      <w:numFmt w:val="upperLetter"/>
      <w:start w:val="3"/>
    </w:lvl>
    <w:lvl w:ilvl="1">
      <w:lvlJc w:val="left"/>
      <w:lvlText w:val="(%2)"/>
      <w:numFmt w:val="lowerLetter"/>
      <w:start w:val="3"/>
    </w:lvl>
  </w:abstractNum>
  <w:abstractNum w:abstractNumId="144">
    <w:nsid w:val="C058DF5"/>
    <w:multiLevelType w:val="hybridMultilevel"/>
    <w:lvl w:ilvl="0">
      <w:lvlJc w:val="left"/>
      <w:lvlText w:val="(%1)"/>
      <w:numFmt w:val="lowerLetter"/>
      <w:start w:val="1"/>
    </w:lvl>
    <w:lvl w:ilvl="1">
      <w:lvlJc w:val="left"/>
      <w:lvlText w:val="(%2)"/>
      <w:numFmt w:val="lowerRoman"/>
      <w:start w:val="1"/>
    </w:lvl>
  </w:abstractNum>
  <w:abstractNum w:abstractNumId="145">
    <w:nsid w:val="CBE5BE9"/>
    <w:multiLevelType w:val="hybridMultilevel"/>
    <w:lvl w:ilvl="0">
      <w:lvlJc w:val="left"/>
      <w:lvlText w:val="(%1)"/>
      <w:numFmt w:val="lowerLetter"/>
      <w:start w:val="6"/>
    </w:lvl>
  </w:abstractNum>
  <w:abstractNum w:abstractNumId="146">
    <w:nsid w:val="3102BB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7">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48">
    <w:nsid w:val="541C815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49">
    <w:nsid w:val="67906F6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0">
    <w:nsid w:val="10DB9DAA"/>
    <w:multiLevelType w:val="hybridMultilevel"/>
    <w:lvl w:ilvl="0">
      <w:lvlJc w:val="left"/>
      <w:lvlText w:val="(%1)"/>
      <w:numFmt w:val="lowerLetter"/>
      <w:start w:val="1"/>
    </w:lvl>
  </w:abstractNum>
  <w:abstractNum w:abstractNumId="151">
    <w:nsid w:val="697D2D2"/>
    <w:multiLevelType w:val="hybridMultilevel"/>
    <w:lvl w:ilvl="0">
      <w:lvlJc w:val="left"/>
      <w:lvlText w:val="(%1)"/>
      <w:numFmt w:val="lowerLetter"/>
      <w:start w:val="2"/>
    </w:lvl>
  </w:abstractNum>
  <w:abstractNum w:abstractNumId="152">
    <w:nsid w:val="6D68AB2"/>
    <w:multiLevelType w:val="hybridMultilevel"/>
    <w:lvl w:ilvl="0">
      <w:lvlJc w:val="left"/>
      <w:lvlText w:val="(%1)"/>
      <w:numFmt w:val="lowerLetter"/>
      <w:start w:val="3"/>
    </w:lvl>
  </w:abstractNum>
  <w:abstractNum w:abstractNumId="153">
    <w:nsid w:val="3A966CD0"/>
    <w:multiLevelType w:val="hybridMultilevel"/>
    <w:lvl w:ilvl="0">
      <w:lvlJc w:val="left"/>
      <w:lvlText w:val="(%1)"/>
      <w:numFmt w:val="lowerLetter"/>
      <w:start w:val="3"/>
    </w:lvl>
  </w:abstractNum>
  <w:abstractNum w:abstractNumId="154">
    <w:nsid w:val="63F37E85"/>
    <w:multiLevelType w:val="hybridMultilevel"/>
    <w:lvl w:ilvl="0">
      <w:lvlJc w:val="left"/>
      <w:lvlText w:val="(%1)"/>
      <w:numFmt w:val="lowerLetter"/>
      <w:start w:val="1"/>
    </w:lvl>
  </w:abstractNum>
  <w:abstractNum w:abstractNumId="155">
    <w:nsid w:val="5895F5FA"/>
    <w:multiLevelType w:val="hybridMultilevel"/>
    <w:lvl w:ilvl="0">
      <w:lvlJc w:val="left"/>
      <w:lvlText w:val="(%1)"/>
      <w:numFmt w:val="lowerLetter"/>
      <w:start w:val="2"/>
    </w:lvl>
  </w:abstractNum>
  <w:abstractNum w:abstractNumId="156">
    <w:nsid w:val="38A5D054"/>
    <w:multiLevelType w:val="hybridMultilevel"/>
    <w:lvl w:ilvl="0">
      <w:lvlJc w:val="left"/>
      <w:lvlText w:val="(%1)"/>
      <w:numFmt w:val="lowerLetter"/>
      <w:start w:val="3"/>
    </w:lvl>
  </w:abstractNum>
  <w:abstractNum w:abstractNumId="157">
    <w:nsid w:val="F3F09D8"/>
    <w:multiLevelType w:val="hybridMultilevel"/>
    <w:lvl w:ilvl="0">
      <w:lvlJc w:val="left"/>
      <w:lvlText w:val="(%1)"/>
      <w:numFmt w:val="lowerLetter"/>
      <w:start w:val="1"/>
    </w:lvl>
  </w:abstractNum>
  <w:abstractNum w:abstractNumId="158">
    <w:nsid w:val="4B793735"/>
    <w:multiLevelType w:val="hybridMultilevel"/>
    <w:lvl w:ilvl="0">
      <w:lvlJc w:val="left"/>
      <w:lvlText w:val="(%1)"/>
      <w:numFmt w:val="lowerLetter"/>
      <w:start w:val="1"/>
    </w:lvl>
  </w:abstractNum>
  <w:abstractNum w:abstractNumId="159">
    <w:nsid w:val="4A10B4E8"/>
    <w:multiLevelType w:val="hybridMultilevel"/>
    <w:lvl w:ilvl="0">
      <w:lvlJc w:val="left"/>
      <w:lvlText w:val="(%1)"/>
      <w:numFmt w:val="lowerLetter"/>
      <w:start w:val="1"/>
    </w:lvl>
  </w:abstractNum>
  <w:abstractNum w:abstractNumId="160">
    <w:nsid w:val="43D3BCD4"/>
    <w:multiLevelType w:val="hybridMultilevel"/>
    <w:lvl w:ilvl="0">
      <w:lvlJc w:val="left"/>
      <w:lvlText w:val="(%1)"/>
      <w:numFmt w:val="lowerLetter"/>
      <w:start w:val="2"/>
    </w:lvl>
  </w:abstractNum>
  <w:abstractNum w:abstractNumId="161">
    <w:nsid w:val="4C2A7166"/>
    <w:multiLevelType w:val="hybridMultilevel"/>
    <w:lvl w:ilvl="0">
      <w:lvlJc w:val="left"/>
      <w:lvlText w:val="(%1)"/>
      <w:numFmt w:val="lowerLetter"/>
      <w:start w:val="1"/>
    </w:lvl>
  </w:abstractNum>
  <w:abstractNum w:abstractNumId="162">
    <w:nsid w:val="2E534A82"/>
    <w:multiLevelType w:val="hybridMultilevel"/>
    <w:lvl w:ilvl="0">
      <w:lvlJc w:val="left"/>
      <w:lvlText w:val="(%1)"/>
      <w:numFmt w:val="lowerLetter"/>
      <w:start w:val="1"/>
    </w:lvl>
  </w:abstractNum>
  <w:abstractNum w:abstractNumId="163">
    <w:nsid w:val="26F2D364"/>
    <w:multiLevelType w:val="hybridMultilevel"/>
    <w:lvl w:ilvl="0">
      <w:lvlJc w:val="left"/>
      <w:lvlText w:val="(%1)"/>
      <w:numFmt w:val="lowerLetter"/>
      <w:start w:val="22"/>
    </w:lvl>
    <w:lvl w:ilvl="1">
      <w:lvlJc w:val="left"/>
      <w:lvlText w:val="(%2)"/>
      <w:numFmt w:val="lowerLetter"/>
      <w:start w:val="3"/>
    </w:lvl>
  </w:abstractNum>
  <w:abstractNum w:abstractNumId="164">
    <w:nsid w:val="71C1AF98"/>
    <w:multiLevelType w:val="hybridMultilevel"/>
    <w:lvl w:ilvl="0">
      <w:lvlJc w:val="left"/>
      <w:lvlText w:val="(%1)"/>
      <w:numFmt w:val="lowerLetter"/>
      <w:start w:val="1"/>
    </w:lvl>
  </w:abstractNum>
  <w:abstractNum w:abstractNumId="165">
    <w:nsid w:val="3D00B9D9"/>
    <w:multiLevelType w:val="hybridMultilevel"/>
    <w:lvl w:ilvl="0">
      <w:lvlJc w:val="left"/>
      <w:lvlText w:val="(%1)"/>
      <w:numFmt w:val="lowerLetter"/>
      <w:start w:val="1"/>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1"/>
    </w:lvl>
  </w:abstractNum>
  <w:abstractNum w:abstractNumId="168">
    <w:nsid w:val="434BAE75"/>
    <w:multiLevelType w:val="hybridMultilevel"/>
    <w:lvl w:ilvl="0">
      <w:lvlJc w:val="left"/>
      <w:lvlText w:val="(%1)"/>
      <w:numFmt w:val="lowerLetter"/>
      <w:start w:val="5"/>
    </w:lvl>
  </w:abstractNum>
  <w:abstractNum w:abstractNumId="169">
    <w:nsid w:val="4F38F265"/>
    <w:multiLevelType w:val="hybridMultilevel"/>
    <w:lvl w:ilvl="0">
      <w:lvlJc w:val="left"/>
      <w:lvlText w:val="(%1)"/>
      <w:numFmt w:val="lowerRoman"/>
      <w:start w:val="10"/>
    </w:lvl>
  </w:abstractNum>
  <w:abstractNum w:abstractNumId="170">
    <w:nsid w:val="4C502870"/>
    <w:multiLevelType w:val="hybridMultilevel"/>
    <w:lvl w:ilvl="0">
      <w:lvlJc w:val="left"/>
      <w:lvlText w:val="(%1)"/>
      <w:numFmt w:val="lowerLetter"/>
      <w:start w:val="1"/>
    </w:lvl>
  </w:abstractNum>
  <w:abstractNum w:abstractNumId="171">
    <w:nsid w:val="1DE8725A"/>
    <w:multiLevelType w:val="hybridMultilevel"/>
    <w:lvl w:ilvl="0">
      <w:lvlJc w:val="left"/>
      <w:lvlText w:val="(%1)"/>
      <w:numFmt w:val="lowerLetter"/>
      <w:start w:val="1"/>
    </w:lvl>
  </w:abstractNum>
  <w:abstractNum w:abstractNumId="172">
    <w:nsid w:val="6A37288A"/>
    <w:multiLevelType w:val="hybridMultilevel"/>
    <w:lvl w:ilvl="0">
      <w:lvlJc w:val="left"/>
      <w:lvlText w:val="(%1)"/>
      <w:numFmt w:val="lowerLetter"/>
      <w:start w:val="1"/>
    </w:lvl>
  </w:abstractNum>
  <w:abstractNum w:abstractNumId="173">
    <w:nsid w:val="8F8B73F"/>
    <w:multiLevelType w:val="hybridMultilevel"/>
    <w:lvl w:ilvl="0">
      <w:lvlJc w:val="left"/>
      <w:lvlText w:val="(%1)"/>
      <w:numFmt w:val="lowerLetter"/>
      <w:start w:val="1"/>
    </w:lvl>
  </w:abstractNum>
  <w:abstractNum w:abstractNumId="174">
    <w:nsid w:val="CA6B462"/>
    <w:multiLevelType w:val="hybridMultilevel"/>
    <w:lvl w:ilvl="0">
      <w:lvlJc w:val="left"/>
      <w:lvlText w:val="(%1)"/>
      <w:numFmt w:val="lowerLetter"/>
      <w:start w:val="5"/>
    </w:lvl>
  </w:abstractNum>
  <w:abstractNum w:abstractNumId="175">
    <w:nsid w:val="763CB680"/>
    <w:multiLevelType w:val="hybridMultilevel"/>
    <w:lvl w:ilvl="0">
      <w:lvlJc w:val="left"/>
      <w:lvlText w:val="(%1)"/>
      <w:numFmt w:val="lowerLetter"/>
      <w:start w:val="1"/>
    </w:lvl>
  </w:abstractNum>
  <w:abstractNum w:abstractNumId="176">
    <w:nsid w:val="15B71329"/>
    <w:multiLevelType w:val="hybridMultilevel"/>
    <w:lvl w:ilvl="0">
      <w:lvlJc w:val="left"/>
      <w:lvlText w:val="(%1)"/>
      <w:numFmt w:val="lowerLetter"/>
      <w:start w:val="2"/>
    </w:lvl>
  </w:abstractNum>
  <w:abstractNum w:abstractNumId="177">
    <w:nsid w:val="3DA97044"/>
    <w:multiLevelType w:val="hybridMultilevel"/>
    <w:lvl w:ilvl="0">
      <w:lvlJc w:val="left"/>
      <w:lvlText w:val="%1"/>
      <w:numFmt w:val="decimal"/>
      <w:start w:val="1"/>
    </w:lvl>
    <w:lvl w:ilvl="1">
      <w:lvlJc w:val="left"/>
      <w:lvlText w:val="(%2)"/>
      <w:numFmt w:val="lowerLetter"/>
      <w:start w:val="1"/>
    </w:lvl>
  </w:abstractNum>
  <w:abstractNum w:abstractNumId="178">
    <w:nsid w:val="1CDCE2DE"/>
    <w:multiLevelType w:val="hybridMultilevel"/>
    <w:lvl w:ilvl="0">
      <w:lvlJc w:val="left"/>
      <w:lvlText w:val="(%1)"/>
      <w:numFmt w:val="decimal"/>
      <w:start w:val="30"/>
    </w:lvl>
    <w:lvl w:ilvl="1">
      <w:lvlJc w:val="left"/>
      <w:lvlText w:val="%2"/>
      <w:numFmt w:val="lowerLetter"/>
      <w:start w:val="1"/>
    </w:lvl>
  </w:abstractNum>
  <w:abstractNum w:abstractNumId="179">
    <w:nsid w:val="69D3947C"/>
    <w:multiLevelType w:val="hybridMultilevel"/>
    <w:lvl w:ilvl="0">
      <w:lvlJc w:val="left"/>
      <w:lvlText w:val="(%1)"/>
      <w:numFmt w:val="lowerLetter"/>
      <w:start w:val="4"/>
    </w:lvl>
  </w:abstractNum>
  <w:abstractNum w:abstractNumId="180">
    <w:nsid w:val="2539DFA5"/>
    <w:multiLevelType w:val="hybridMultilevel"/>
    <w:lvl w:ilvl="0">
      <w:lvlJc w:val="left"/>
      <w:lvlText w:val="(%1)"/>
      <w:numFmt w:val="lowerLetter"/>
      <w:start w:val="7"/>
    </w:lvl>
  </w:abstractNum>
  <w:abstractNum w:abstractNumId="181">
    <w:nsid w:val="2DB88089"/>
    <w:multiLevelType w:val="hybridMultilevel"/>
    <w:lvl w:ilvl="0">
      <w:lvlJc w:val="left"/>
      <w:lvlText w:val="(%1)"/>
      <w:numFmt w:val="lowerLetter"/>
      <w:start w:val="13"/>
    </w:lvl>
  </w:abstractNum>
  <w:abstractNum w:abstractNumId="182">
    <w:nsid w:val="706B674E"/>
    <w:multiLevelType w:val="hybridMultilevel"/>
    <w:lvl w:ilvl="0">
      <w:lvlJc w:val="left"/>
      <w:lvlText w:val="(%1)"/>
      <w:numFmt w:val="lowerRoman"/>
      <w:start w:val="1"/>
    </w:lvl>
  </w:abstractNum>
  <w:abstractNum w:abstractNumId="183">
    <w:nsid w:val="2C106A57"/>
    <w:multiLevelType w:val="hybridMultilevel"/>
    <w:lvl w:ilvl="0">
      <w:lvlJc w:val="left"/>
      <w:lvlText w:val="(%1)"/>
      <w:numFmt w:val="lowerLetter"/>
      <w:start w:val="1"/>
    </w:lvl>
  </w:abstractNum>
  <w:abstractNum w:abstractNumId="184">
    <w:nsid w:val="684EED59"/>
    <w:multiLevelType w:val="hybridMultilevel"/>
    <w:lvl w:ilvl="0">
      <w:lvlJc w:val="left"/>
      <w:lvlText w:val="%1"/>
      <w:numFmt w:val="decimal"/>
      <w:start w:val="1"/>
    </w:lvl>
    <w:lvl w:ilvl="1">
      <w:lvlJc w:val="left"/>
      <w:lvlText w:val="(%2)"/>
      <w:numFmt w:val="lowerRoman"/>
      <w:start w:val="1"/>
    </w:lvl>
  </w:abstractNum>
  <w:abstractNum w:abstractNumId="185">
    <w:nsid w:val="545EE5D3"/>
    <w:multiLevelType w:val="hybridMultilevel"/>
    <w:lvl w:ilvl="0">
      <w:lvlJc w:val="left"/>
      <w:lvlText w:val="(%1)"/>
      <w:numFmt w:val="decimal"/>
      <w:start w:val="1"/>
    </w:lvl>
    <w:lvl w:ilvl="1">
      <w:lvlJc w:val="left"/>
      <w:lvlText w:val="(%2)"/>
      <w:numFmt w:val="lowerRoman"/>
      <w:start w:val="2"/>
    </w:lvl>
  </w:abstractNum>
  <w:abstractNum w:abstractNumId="186">
    <w:nsid w:val="4A66051"/>
    <w:multiLevelType w:val="hybridMultilevel"/>
    <w:lvl w:ilvl="0">
      <w:lvlJc w:val="left"/>
      <w:lvlText w:val="(%1)"/>
      <w:numFmt w:val="lowerLetter"/>
      <w:start w:val="1"/>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lowerLetter"/>
      <w:start w:val="1"/>
    </w:lvl>
  </w:abstractNum>
  <w:abstractNum w:abstractNumId="189">
    <w:nsid w:val="501F9786"/>
    <w:multiLevelType w:val="hybridMultilevel"/>
    <w:lvl w:ilvl="0">
      <w:lvlJc w:val="left"/>
      <w:lvlText w:val="(%1)"/>
      <w:numFmt w:val="lowerLetter"/>
      <w:start w:val="1"/>
    </w:lvl>
    <w:lvl w:ilvl="1">
      <w:lvlJc w:val="left"/>
      <w:lvlText w:val="(%2)"/>
      <w:numFmt w:val="lowerRoman"/>
      <w:start w:val="1"/>
    </w:lvl>
  </w:abstractNum>
  <w:abstractNum w:abstractNumId="190">
    <w:nsid w:val="6B057295"/>
    <w:multiLevelType w:val="hybridMultilevel"/>
    <w:lvl w:ilvl="0">
      <w:lvlJc w:val="left"/>
      <w:lvlText w:val="(%1)"/>
      <w:numFmt w:val="lowerLetter"/>
      <w:start w:val="1"/>
    </w:lvl>
  </w:abstractNum>
  <w:abstractNum w:abstractNumId="191">
    <w:nsid w:val="2771AC80"/>
    <w:multiLevelType w:val="hybridMultilevel"/>
    <w:lvl w:ilvl="0">
      <w:lvlJc w:val="left"/>
      <w:lvlText w:val="(%1)"/>
      <w:numFmt w:val="lowerLetter"/>
      <w:start w:val="7"/>
    </w:lvl>
  </w:abstractNum>
  <w:abstractNum w:abstractNumId="192">
    <w:nsid w:val="1C4A08EC"/>
    <w:multiLevelType w:val="hybridMultilevel"/>
    <w:lvl w:ilvl="0">
      <w:lvlJc w:val="left"/>
      <w:lvlText w:val="(%1)"/>
      <w:numFmt w:val="lowerLetter"/>
      <w:start w:val="1"/>
    </w:lvl>
    <w:lvl w:ilvl="1">
      <w:lvlJc w:val="left"/>
      <w:lvlText w:val="(%2)"/>
      <w:numFmt w:val="lowerRoman"/>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lowerLetter"/>
      <w:start w:val="3"/>
    </w:lvl>
  </w:abstractNum>
  <w:abstractNum w:abstractNumId="195">
    <w:nsid w:val="E0BB885"/>
    <w:multiLevelType w:val="hybridMultilevel"/>
    <w:lvl w:ilvl="0">
      <w:lvlJc w:val="left"/>
      <w:lvlText w:val="(%1)"/>
      <w:numFmt w:val="lowerLetter"/>
      <w:start w:val="1"/>
    </w:lvl>
  </w:abstractNum>
  <w:abstractNum w:abstractNumId="196">
    <w:nsid w:val="565976F1"/>
    <w:multiLevelType w:val="hybridMultilevel"/>
    <w:lvl w:ilvl="0">
      <w:lvlJc w:val="left"/>
      <w:lvlText w:val="(%1)"/>
      <w:numFmt w:val="lowerLetter"/>
      <w:start w:val="5"/>
    </w:lvl>
  </w:abstractNum>
  <w:abstractNum w:abstractNumId="197">
    <w:nsid w:val="64212B8C"/>
    <w:multiLevelType w:val="hybridMultilevel"/>
    <w:lvl w:ilvl="0">
      <w:lvlJc w:val="left"/>
      <w:lvlText w:val="(%1)"/>
      <w:numFmt w:val="lowerLetter"/>
      <w:start w:val="2"/>
    </w:lvl>
    <w:lvl w:ilvl="1">
      <w:lvlJc w:val="left"/>
      <w:lvlText w:val="(%2)"/>
      <w:numFmt w:val="upperLetter"/>
      <w:start w:val="1"/>
    </w:lvl>
  </w:abstractNum>
  <w:abstractNum w:abstractNumId="198">
    <w:nsid w:val="5C17530C"/>
    <w:multiLevelType w:val="hybridMultilevel"/>
    <w:lvl w:ilvl="0">
      <w:lvlJc w:val="left"/>
      <w:lvlText w:val="%1"/>
      <w:numFmt w:val="lowerRoman"/>
      <w:start w:val="1"/>
    </w:lvl>
    <w:lvl w:ilvl="1">
      <w:lvlJc w:val="left"/>
      <w:lvlText w:val="(%2)"/>
      <w:numFmt w:val="upperLetter"/>
      <w:start w:val="2"/>
    </w:lvl>
  </w:abstractNum>
  <w:abstractNum w:abstractNumId="199">
    <w:nsid w:val="19A52566"/>
    <w:multiLevelType w:val="hybridMultilevel"/>
    <w:lvl w:ilvl="0">
      <w:lvlJc w:val="left"/>
      <w:lvlText w:val="(%1)"/>
      <w:numFmt w:val="lowerRoman"/>
      <w:start w:val="1"/>
    </w:lvl>
    <w:lvl w:ilvl="1">
      <w:lvlJc w:val="left"/>
      <w:lvlText w:val="(%2)"/>
      <w:numFmt w:val="upperLetter"/>
      <w:start w:val="1"/>
    </w:lvl>
  </w:abstractNum>
  <w:abstractNum w:abstractNumId="200">
    <w:nsid w:val="335A1DF1"/>
    <w:multiLevelType w:val="hybridMultilevel"/>
    <w:lvl w:ilvl="0">
      <w:lvlJc w:val="left"/>
      <w:lvlText w:val="(%1)"/>
      <w:numFmt w:val="lowerLetter"/>
      <w:start w:val="3"/>
    </w:lvl>
  </w:abstractNum>
  <w:abstractNum w:abstractNumId="201">
    <w:nsid w:val="28677B7C"/>
    <w:multiLevelType w:val="hybridMultilevel"/>
    <w:lvl w:ilvl="0">
      <w:lvlJc w:val="left"/>
      <w:lvlText w:val="%1"/>
      <w:numFmt w:val="lowerLetter"/>
      <w:start w:val="1"/>
    </w:lvl>
    <w:lvl w:ilvl="1">
      <w:lvlJc w:val="left"/>
      <w:lvlText w:val="(%2)"/>
      <w:numFmt w:val="lowerLetter"/>
      <w:start w:val="5"/>
    </w:lvl>
  </w:abstractNum>
  <w:abstractNum w:abstractNumId="202">
    <w:nsid w:val="378D97C0"/>
    <w:multiLevelType w:val="hybridMultilevel"/>
    <w:lvl w:ilvl="0">
      <w:lvlJc w:val="left"/>
      <w:lvlText w:val="(%1)"/>
      <w:numFmt w:val="lowerLetter"/>
      <w:start w:val="35"/>
    </w:lvl>
    <w:lvl w:ilvl="1">
      <w:lvlJc w:val="left"/>
      <w:lvlText w:val="(%2)"/>
      <w:numFmt w:val="lowerLetter"/>
      <w:start w:val="6"/>
    </w:lvl>
  </w:abstractNum>
  <w:abstractNum w:abstractNumId="203">
    <w:nsid w:val="1D91467C"/>
    <w:multiLevelType w:val="hybridMultilevel"/>
    <w:lvl w:ilvl="0">
      <w:lvlJc w:val="left"/>
      <w:lvlText w:val="(%1)"/>
      <w:numFmt w:val="lowerLetter"/>
      <w:start w:val="24"/>
    </w:lvl>
    <w:lvl w:ilvl="1">
      <w:lvlJc w:val="left"/>
      <w:lvlText w:val="%2"/>
      <w:numFmt w:val="lowerLetter"/>
      <w:start w:val="1"/>
    </w:lvl>
  </w:abstractNum>
  <w:abstractNum w:abstractNumId="204">
    <w:nsid w:val="316032BB"/>
    <w:multiLevelType w:val="hybridMultilevel"/>
    <w:lvl w:ilvl="0">
      <w:lvlJc w:val="left"/>
      <w:lvlText w:val="(%1)"/>
      <w:numFmt w:val="lowerLetter"/>
      <w:start w:val="7"/>
    </w:lvl>
  </w:abstractNum>
  <w:abstractNum w:abstractNumId="205">
    <w:nsid w:val="44344C22"/>
    <w:multiLevelType w:val="hybridMultilevel"/>
    <w:lvl w:ilvl="0">
      <w:lvlJc w:val="left"/>
      <w:lvlText w:val="(%1)"/>
      <w:numFmt w:val="lowerLetter"/>
      <w:start w:val="10"/>
    </w:lvl>
  </w:abstractNum>
  <w:abstractNum w:abstractNumId="206">
    <w:nsid w:val="13CDFCFC"/>
    <w:multiLevelType w:val="hybridMultilevel"/>
    <w:lvl w:ilvl="0">
      <w:lvlJc w:val="left"/>
      <w:lvlText w:val="(%1)"/>
      <w:numFmt w:val="lowerLetter"/>
      <w:start w:val="4"/>
    </w:lvl>
  </w:abstractNum>
  <w:abstractNum w:abstractNumId="207">
    <w:nsid w:val="471745E4"/>
    <w:multiLevelType w:val="hybridMultilevel"/>
    <w:lvl w:ilvl="0">
      <w:lvlJc w:val="left"/>
      <w:lvlText w:val="(%1)"/>
      <w:numFmt w:val="lowerLetter"/>
      <w:start w:val="1"/>
    </w:lvl>
  </w:abstractNum>
  <w:abstractNum w:abstractNumId="208">
    <w:nsid w:val="1DDBC66"/>
    <w:multiLevelType w:val="hybridMultilevel"/>
    <w:lvl w:ilvl="0">
      <w:lvlJc w:val="left"/>
      <w:lvlText w:val="(%1)"/>
      <w:numFmt w:val="lowerLetter"/>
      <w:start w:val="2"/>
    </w:lvl>
  </w:abstractNum>
  <w:abstractNum w:abstractNumId="209">
    <w:nsid w:val="30AADFDA"/>
    <w:multiLevelType w:val="hybridMultilevel"/>
    <w:lvl w:ilvl="0">
      <w:lvlJc w:val="left"/>
      <w:lvlText w:val="(%1)"/>
      <w:numFmt w:val="lowerLetter"/>
      <w:start w:val="1"/>
    </w:lvl>
  </w:abstractNum>
  <w:abstractNum w:abstractNumId="210">
    <w:nsid w:val="30EADA61"/>
    <w:multiLevelType w:val="hybridMultilevel"/>
    <w:lvl w:ilvl="0">
      <w:lvlJc w:val="left"/>
      <w:lvlText w:val="(%1)"/>
      <w:numFmt w:val="lowerLetter"/>
      <w:start w:val="2"/>
    </w:lvl>
  </w:abstractNum>
  <w:abstractNum w:abstractNumId="211">
    <w:nsid w:val="27179C0B"/>
    <w:multiLevelType w:val="hybridMultilevel"/>
    <w:lvl w:ilvl="0">
      <w:lvlJc w:val="left"/>
      <w:lvlText w:val="(%1)"/>
      <w:numFmt w:val="lowerLetter"/>
      <w:start w:val="1"/>
    </w:lvl>
    <w:lvl w:ilvl="1">
      <w:lvlJc w:val="left"/>
      <w:lvlText w:val="(%2)"/>
      <w:numFmt w:val="upperLetter"/>
      <w:start w:val="1"/>
    </w:lvl>
  </w:abstractNum>
  <w:abstractNum w:abstractNumId="212">
    <w:nsid w:val="5E636063"/>
    <w:multiLevelType w:val="hybridMultilevel"/>
    <w:lvl w:ilvl="0">
      <w:lvlJc w:val="left"/>
      <w:lvlText w:val="(%1)"/>
      <w:numFmt w:val="lowerLetter"/>
      <w:start w:val="1"/>
    </w:lvl>
  </w:abstractNum>
  <w:abstractNum w:abstractNumId="213">
    <w:nsid w:val="215641AF"/>
    <w:multiLevelType w:val="hybridMultilevel"/>
    <w:lvl w:ilvl="0">
      <w:lvlJc w:val="left"/>
      <w:lvlText w:val="(%1)"/>
      <w:numFmt w:val="lowerRoman"/>
      <w:start w:val="1"/>
    </w:lvl>
  </w:abstractNum>
  <w:abstractNum w:abstractNumId="214">
    <w:nsid w:val="53280662"/>
    <w:multiLevelType w:val="hybridMultilevel"/>
    <w:lvl w:ilvl="0">
      <w:lvlJc w:val="left"/>
      <w:lvlText w:val="(%1)"/>
      <w:numFmt w:val="lowerLetter"/>
      <w:start w:val="1"/>
    </w:lvl>
  </w:abstractNum>
  <w:abstractNum w:abstractNumId="215">
    <w:nsid w:val="46B24DBC"/>
    <w:multiLevelType w:val="hybridMultilevel"/>
    <w:lvl w:ilvl="0">
      <w:lvlJc w:val="left"/>
      <w:lvlText w:val="(%1)"/>
      <w:numFmt w:val="lowerLetter"/>
      <w:start w:val="1"/>
    </w:lvl>
  </w:abstractNum>
  <w:abstractNum w:abstractNumId="216">
    <w:nsid w:val="75B52783"/>
    <w:multiLevelType w:val="hybridMultilevel"/>
    <w:lvl w:ilvl="0">
      <w:lvlJc w:val="left"/>
      <w:lvlText w:val="(%1)"/>
      <w:numFmt w:val="lowerLetter"/>
      <w:start w:val="1"/>
    </w:lvl>
  </w:abstractNum>
  <w:abstractNum w:abstractNumId="217">
    <w:nsid w:val="57CE66B4"/>
    <w:multiLevelType w:val="hybridMultilevel"/>
    <w:lvl w:ilvl="0">
      <w:lvlJc w:val="left"/>
      <w:lvlText w:val="(%1)"/>
      <w:numFmt w:val="lowerLetter"/>
      <w:start w:val="4"/>
    </w:lvl>
    <w:lvl w:ilvl="1">
      <w:lvlJc w:val="left"/>
      <w:lvlText w:val="(%2)"/>
      <w:numFmt w:val="lowerLetter"/>
      <w:start w:val="8"/>
    </w:lvl>
  </w:abstractNum>
  <w:abstractNum w:abstractNumId="218">
    <w:nsid w:val="67A70B69"/>
    <w:multiLevelType w:val="hybridMultilevel"/>
    <w:lvl w:ilvl="0">
      <w:lvlJc w:val="left"/>
      <w:lvlText w:val="(%1)"/>
      <w:numFmt w:val="lowerLetter"/>
      <w:start w:val="1"/>
    </w:lvl>
  </w:abstractNum>
  <w:abstractNum w:abstractNumId="219">
    <w:nsid w:val="5953172F"/>
    <w:multiLevelType w:val="hybridMultilevel"/>
    <w:lvl w:ilvl="0">
      <w:lvlJc w:val="left"/>
      <w:lvlText w:val="(%1)"/>
      <w:numFmt w:val="lowerLetter"/>
      <w:start w:val="1"/>
    </w:lvl>
  </w:abstractNum>
  <w:abstractNum w:abstractNumId="220">
    <w:nsid w:val="27EDFE3A"/>
    <w:multiLevelType w:val="hybridMultilevel"/>
    <w:lvl w:ilvl="0">
      <w:lvlJc w:val="left"/>
      <w:lvlText w:val="(%1)"/>
      <w:numFmt w:val="lowerLetter"/>
      <w:start w:val="5"/>
    </w:lvl>
  </w:abstractNum>
  <w:abstractNum w:abstractNumId="221">
    <w:nsid w:val="52AC7DFF"/>
    <w:multiLevelType w:val="hybridMultilevel"/>
    <w:lvl w:ilvl="0">
      <w:lvlJc w:val="left"/>
      <w:lvlText w:val="(%1)"/>
      <w:numFmt w:val="lowerLetter"/>
      <w:start w:val="1"/>
    </w:lvl>
    <w:lvl w:ilvl="1">
      <w:lvlJc w:val="left"/>
      <w:lvlText w:val="(%2)"/>
      <w:numFmt w:val="lowerRoman"/>
      <w:start w:val="1"/>
    </w:lvl>
  </w:abstractNum>
  <w:abstractNum w:abstractNumId="222">
    <w:nsid w:val="C4C3AF"/>
    <w:multiLevelType w:val="hybridMultilevel"/>
    <w:lvl w:ilvl="0">
      <w:lvlJc w:val="left"/>
      <w:lvlText w:val="(%1)"/>
      <w:numFmt w:val="lowerLetter"/>
      <w:start w:val="1"/>
    </w:lvl>
    <w:lvl w:ilvl="1">
      <w:lvlJc w:val="left"/>
      <w:lvlText w:val="(%2)"/>
      <w:numFmt w:val="lowerLetter"/>
      <w:start w:val="9"/>
    </w:lvl>
  </w:abstractNum>
  <w:abstractNum w:abstractNumId="223">
    <w:nsid w:val="44380727"/>
    <w:multiLevelType w:val="hybridMultilevel"/>
    <w:lvl w:ilvl="0">
      <w:lvlJc w:val="left"/>
      <w:lvlText w:val="(%1)"/>
      <w:numFmt w:val="upperLetter"/>
      <w:start w:val="1"/>
    </w:lvl>
  </w:abstractNum>
  <w:abstractNum w:abstractNumId="224">
    <w:nsid w:val="6C053B16"/>
    <w:multiLevelType w:val="hybridMultilevel"/>
    <w:lvl w:ilvl="0">
      <w:lvlJc w:val="left"/>
      <w:lvlText w:val="(%1)"/>
      <w:numFmt w:val="lowerLetter"/>
      <w:start w:val="1"/>
    </w:lvl>
  </w:abstractNum>
  <w:abstractNum w:abstractNumId="225">
    <w:nsid w:val="4F294393"/>
    <w:multiLevelType w:val="hybridMultilevel"/>
    <w:lvl w:ilvl="0">
      <w:lvlJc w:val="left"/>
      <w:lvlText w:val="(%1)"/>
      <w:numFmt w:val="lowerLetter"/>
      <w:start w:val="2"/>
    </w:lvl>
  </w:abstractNum>
  <w:abstractNum w:abstractNumId="226">
    <w:nsid w:val="5243BFAC"/>
    <w:multiLevelType w:val="hybridMultilevel"/>
    <w:lvl w:ilvl="0">
      <w:lvlJc w:val="left"/>
      <w:lvlText w:val="(%1)"/>
      <w:numFmt w:val="lowerLetter"/>
      <w:start w:val="4"/>
    </w:lvl>
  </w:abstractNum>
  <w:abstractNum w:abstractNumId="227">
    <w:nsid w:val="425EB207"/>
    <w:multiLevelType w:val="hybridMultilevel"/>
    <w:lvl w:ilvl="0">
      <w:lvlJc w:val="left"/>
      <w:lvlText w:val="(%1)"/>
      <w:numFmt w:val="lowerLetter"/>
      <w:start w:val="7"/>
    </w:lvl>
  </w:abstractNum>
  <w:abstractNum w:abstractNumId="228">
    <w:nsid w:val="334A6F1F"/>
    <w:multiLevelType w:val="hybridMultilevel"/>
    <w:lvl w:ilvl="0">
      <w:lvlJc w:val="left"/>
      <w:lvlText w:val="(%1)"/>
      <w:numFmt w:val="lowerLetter"/>
      <w:start w:val="16"/>
    </w:lvl>
  </w:abstractNum>
  <w:abstractNum w:abstractNumId="229">
    <w:nsid w:val="2E5B12B8"/>
    <w:multiLevelType w:val="hybridMultilevel"/>
    <w:lvl w:ilvl="0">
      <w:lvlJc w:val="left"/>
      <w:lvlText w:val="(%1)"/>
      <w:numFmt w:val="lowerLetter"/>
      <w:start w:val="17"/>
    </w:lvl>
  </w:abstractNum>
  <w:abstractNum w:abstractNumId="230">
    <w:nsid w:val="5C03D76D"/>
    <w:multiLevelType w:val="hybridMultilevel"/>
    <w:lvl w:ilvl="0">
      <w:lvlJc w:val="left"/>
      <w:lvlText w:val="(%1)"/>
      <w:numFmt w:val="lowerLetter"/>
      <w:start w:val="20"/>
    </w:lvl>
  </w:abstractNum>
  <w:abstractNum w:abstractNumId="231">
    <w:nsid w:val="66A48D11"/>
    <w:multiLevelType w:val="hybridMultilevel"/>
    <w:lvl w:ilvl="0">
      <w:lvlJc w:val="left"/>
      <w:lvlText w:val="(%1)"/>
      <w:numFmt w:val="lowerLetter"/>
      <w:start w:val="27"/>
    </w:lvl>
  </w:abstractNum>
  <w:abstractNum w:abstractNumId="232">
    <w:nsid w:val="56C28E34"/>
    <w:multiLevelType w:val="hybridMultilevel"/>
    <w:lvl w:ilvl="0">
      <w:lvlJc w:val="left"/>
      <w:lvlText w:val="(%1)"/>
      <w:numFmt w:val="lowerLetter"/>
      <w:start w:val="28"/>
    </w:lvl>
  </w:abstractNum>
  <w:abstractNum w:abstractNumId="233">
    <w:nsid w:val="13916F2D"/>
    <w:multiLevelType w:val="hybridMultilevel"/>
    <w:lvl w:ilvl="0">
      <w:lvlJc w:val="left"/>
      <w:lvlText w:val="(%1)"/>
      <w:numFmt w:val="upperLetter"/>
      <w:start w:val="2"/>
    </w:lvl>
  </w:abstractNum>
  <w:abstractNum w:abstractNumId="234">
    <w:nsid w:val="435D38D"/>
    <w:multiLevelType w:val="hybridMultilevel"/>
    <w:lvl w:ilvl="0">
      <w:lvlJc w:val="left"/>
      <w:lvlText w:val="(%1)"/>
      <w:numFmt w:val="lowerRoman"/>
      <w:start w:val="1"/>
    </w:lvl>
  </w:abstractNum>
  <w:abstractNum w:abstractNumId="235">
    <w:nsid w:val="822C0EF"/>
    <w:multiLevelType w:val="hybridMultilevel"/>
    <w:lvl w:ilvl="0">
      <w:lvlJc w:val="left"/>
      <w:lvlText w:val="%1."/>
      <w:numFmt w:val="decimal"/>
      <w:start w:val="1"/>
    </w:lvl>
    <w:lvl w:ilvl="1">
      <w:lvlJc w:val="left"/>
      <w:lvlText w:val="(%2)"/>
      <w:numFmt w:val="lowerLetter"/>
      <w:start w:val="1"/>
    </w:lvl>
  </w:abstractNum>
  <w:abstractNum w:abstractNumId="236">
    <w:nsid w:val="57C5BB4F"/>
    <w:multiLevelType w:val="hybridMultilevel"/>
    <w:lvl w:ilvl="0">
      <w:lvlJc w:val="left"/>
      <w:lvlText w:val="%1"/>
      <w:numFmt w:val="decimal"/>
      <w:start w:val="1"/>
    </w:lvl>
    <w:lvl w:ilvl="1">
      <w:lvlJc w:val="left"/>
      <w:lvlText w:val="(%2)"/>
      <w:numFmt w:val="lowerLetter"/>
      <w:start w:val="2"/>
    </w:lvl>
  </w:abstractNum>
  <w:abstractNum w:abstractNumId="237">
    <w:nsid w:val="1803D089"/>
    <w:multiLevelType w:val="hybridMultilevel"/>
    <w:lvl w:ilvl="0">
      <w:lvlJc w:val="left"/>
      <w:lvlText w:val="%1."/>
      <w:numFmt w:val="decimal"/>
      <w:start w:val="2"/>
    </w:lvl>
    <w:lvl w:ilvl="1">
      <w:lvlJc w:val="left"/>
      <w:lvlText w:val="%2"/>
      <w:numFmt w:val="lowerLetter"/>
      <w:start w:val="1"/>
    </w:lvl>
  </w:abstractNum>
  <w:abstractNum w:abstractNumId="238">
    <w:nsid w:val="4F3A06D4"/>
    <w:multiLevelType w:val="hybridMultilevel"/>
    <w:lvl w:ilvl="0">
      <w:lvlJc w:val="left"/>
      <w:lvlText w:val="%1."/>
      <w:numFmt w:val="decimal"/>
      <w:start w:val="7"/>
    </w:lvl>
  </w:abstractNum>
  <w:abstractNum w:abstractNumId="239">
    <w:nsid w:val="59A377B6"/>
    <w:multiLevelType w:val="hybridMultilevel"/>
    <w:lvl w:ilvl="0">
      <w:lvlJc w:val="left"/>
      <w:lvlText w:val="(%1)"/>
      <w:numFmt w:val="lowerLetter"/>
      <w:start w:val="1"/>
    </w:lvl>
  </w:abstractNum>
  <w:abstractNum w:abstractNumId="240">
    <w:nsid w:val="48AEB063"/>
    <w:multiLevelType w:val="hybridMultilevel"/>
    <w:lvl w:ilvl="0">
      <w:lvlJc w:val="left"/>
      <w:lvlText w:val="%1."/>
      <w:numFmt w:val="decimal"/>
      <w:start w:val="1"/>
    </w:lvl>
    <w:lvl w:ilvl="1">
      <w:lvlJc w:val="left"/>
      <w:lvlText w:val="(%2)"/>
      <w:numFmt w:val="lowerLetter"/>
      <w:start w:val="1"/>
    </w:lvl>
  </w:abstractNum>
  <w:abstractNum w:abstractNumId="241">
    <w:nsid w:val="24E135"/>
    <w:multiLevelType w:val="hybridMultilevel"/>
    <w:lvl w:ilvl="0">
      <w:lvlJc w:val="left"/>
      <w:lvlText w:val="%1."/>
      <w:numFmt w:val="decimal"/>
      <w:start w:val="1"/>
    </w:lvl>
    <w:lvl w:ilvl="1">
      <w:lvlJc w:val="left"/>
      <w:lvlText w:val="(%2)"/>
      <w:numFmt w:val="lowerLetter"/>
      <w:start w:val="1"/>
    </w:lvl>
  </w:abstractNum>
  <w:abstractNum w:abstractNumId="242">
    <w:nsid w:val="BB13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51" Type="http://schemas.openxmlformats.org/officeDocument/2006/relationships/image" Target="media/image190.png"/><Relationship Id="rId252"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png"/><Relationship Id="rId262" Type="http://schemas.openxmlformats.org/officeDocument/2006/relationships/image" Target="media/image198.png"/><Relationship Id="rId263" Type="http://schemas.openxmlformats.org/officeDocument/2006/relationships/image" Target="media/image199.png"/><Relationship Id="rId264" Type="http://schemas.openxmlformats.org/officeDocument/2006/relationships/image" Target="media/image200.png"/><Relationship Id="rId265" Type="http://schemas.openxmlformats.org/officeDocument/2006/relationships/image" Target="media/image201.png"/><Relationship Id="rId191" Type="http://schemas.openxmlformats.org/officeDocument/2006/relationships/hyperlink" Target="https://www.sec.gov/Archives/edgar/data/1549922/000154992223000006/membershipinterestpurcha.htm" TargetMode="External"/><Relationship Id="rId192" Type="http://schemas.openxmlformats.org/officeDocument/2006/relationships/hyperlink" Target="https://www.sec.gov/Archives/edgar/data/1549922/000154992223000006/summitpurchaseandsaleagr.htm" TargetMode="External"/><Relationship Id="rId193" Type="http://schemas.openxmlformats.org/officeDocument/2006/relationships/hyperlink" Target="https://www.sec.gov/Archives/edgar/data/1549922/000154992224000042/exhibit21projectmustang_.htm" TargetMode="External"/><Relationship Id="rId194" Type="http://schemas.openxmlformats.org/officeDocument/2006/relationships/hyperlink" Target="https://www.sec.gov/Archives/edgar/data/1549922/000154992224000046/summit_anteroxpurchasean.htm" TargetMode="External"/><Relationship Id="rId195" Type="http://schemas.openxmlformats.org/officeDocument/2006/relationships/hyperlink" Target="https://www.sec.gov/Archives/edgar/data/1549922/000121390024048747/ea020722601ex2-1_summit.htm" TargetMode="External"/><Relationship Id="rId196" Type="http://schemas.openxmlformats.org/officeDocument/2006/relationships/hyperlink" Target="https://www.sec.gov/Archives/edgar/data/2024218/000202421824000028/projectfusion-businessco.htm" TargetMode="External"/><Relationship Id="rId197" Type="http://schemas.openxmlformats.org/officeDocument/2006/relationships/hyperlink" Target="https://www.sec.gov/Archives/edgar/data/2024218/000101376224003515/ea021024101ex3-1_summit.htm" TargetMode="External"/><Relationship Id="rId198" Type="http://schemas.openxmlformats.org/officeDocument/2006/relationships/hyperlink" Target="https://www.sec.gov/Archives/edgar/data/2024218/000101376224003515/ea021024101ex3-2_summit.htm" TargetMode="External"/><Relationship Id="rId199" Type="http://schemas.openxmlformats.org/officeDocument/2006/relationships/hyperlink" Target="https://www.sec.gov/Archives/edgar/data/2024218/000101376224003515/ea021024101ex3-3_summit.htm" TargetMode="External"/><Relationship Id="rId200" Type="http://schemas.openxmlformats.org/officeDocument/2006/relationships/hyperlink" Target="https://www.sec.gov/Archives/edgar/data/2024218/000202421824000041/exhibit31-summitmidstrea.htm" TargetMode="External"/><Relationship Id="rId201" Type="http://schemas.openxmlformats.org/officeDocument/2006/relationships/hyperlink" Target="https://www.sec.gov/Archives/edgar/data/2024218/000202421825000020/smc-20241231x10kexx41.htm" TargetMode="External"/><Relationship Id="rId204" Type="http://schemas.openxmlformats.org/officeDocument/2006/relationships/hyperlink" Target="https://www.sec.gov/Archives/edgar/data/1549922/000101376224001777/ea021008501ex4-1_summit.htm" TargetMode="External"/><Relationship Id="rId205" Type="http://schemas.openxmlformats.org/officeDocument/2006/relationships/hyperlink" Target="https://www.sec.gov/Archives/edgar/data/2024218/000101376224003515/ea021024101ex4-1_summit.htm" TargetMode="External"/><Relationship Id="rId206" Type="http://schemas.openxmlformats.org/officeDocument/2006/relationships/hyperlink" Target="https://www.sec.gov/Archives/edgar/data/2024218/000202421824000046/smc-secondsupplementalin.htm" TargetMode="External"/><Relationship Id="rId207" Type="http://schemas.openxmlformats.org/officeDocument/2006/relationships/hyperlink" Target="https://www.sec.gov/Archives/edgar/data/2024218/000202421824000041/exhibit101-sixtharagreem.htm" TargetMode="External"/><Relationship Id="rId208" Type="http://schemas.openxmlformats.org/officeDocument/2006/relationships/hyperlink" Target="https://www.sec.gov/Archives/edgar/data/2024218/000202421824000041/exhibit102-investorandre.htm" TargetMode="External"/><Relationship Id="rId209" Type="http://schemas.openxmlformats.org/officeDocument/2006/relationships/hyperlink" Target="https://www.sec.gov/Archives/edgar/data/1549922/000101376224001777/ea021008501ex10-1_summit.htm" TargetMode="External"/><Relationship Id="rId210" Type="http://schemas.openxmlformats.org/officeDocument/2006/relationships/hyperlink" Target="https://www.sec.gov/Archives/edgar/data/2024218/000202421824000041/exhibit103-firstamendmen.htm" TargetMode="External"/><Relationship Id="rId211" Type="http://schemas.openxmlformats.org/officeDocument/2006/relationships/hyperlink" Target="https://www.sec.gov/Archives/edgar/data/2024218/000202421825000020/exhibit105-summitx2024re.htm" TargetMode="External"/><Relationship Id="rId212" Type="http://schemas.openxmlformats.org/officeDocument/2006/relationships/hyperlink" Target="https://www.sec.gov/Archives/edgar/data/1549922/000154992221000010/smlp-intercreditoragreemen.htm" TargetMode="External"/><Relationship Id="rId213" Type="http://schemas.openxmlformats.org/officeDocument/2006/relationships/hyperlink" Target="https://www.sec.gov/Archives/edgar/data/1549922/000101376224001777/ea021008501ex10-2_summit.htm" TargetMode="External"/><Relationship Id="rId216" Type="http://schemas.openxmlformats.org/officeDocument/2006/relationships/hyperlink" Target="https://www.sec.gov/Archives/edgar/data/1549922/000156459020009360/smlp-ex1012_357.htm" TargetMode="External"/><Relationship Id="rId217" Type="http://schemas.openxmlformats.org/officeDocument/2006/relationships/hyperlink" Target="https://www.sec.gov/Archives/edgar/data/1549922/000156459021025535/smlp-ex101_79.htm" TargetMode="External"/><Relationship Id="rId218" Type="http://schemas.openxmlformats.org/officeDocument/2006/relationships/hyperlink" Target="https://www.sec.gov/Archives/edgar/data/1549922/000154992223000011/doublee-omnibusamendment.htm" TargetMode="External"/><Relationship Id="rId219" Type="http://schemas.openxmlformats.org/officeDocument/2006/relationships/hyperlink" Target="https://www.sec.gov/Archives/edgar/data/1549922/000154992221000007/jointfactualstatement.htm" TargetMode="External"/><Relationship Id="rId220" Type="http://schemas.openxmlformats.org/officeDocument/2006/relationships/hyperlink" Target="https://www.sec.gov/Archives/edgar/data/1549922/000154992221000007/criminalpleaagreement.htm" TargetMode="External"/><Relationship Id="rId221" Type="http://schemas.openxmlformats.org/officeDocument/2006/relationships/hyperlink" Target="https://www.sec.gov/Archives/edgar/data/1549922/000154992221000007/consentdecree.htm" TargetMode="External"/><Relationship Id="rId222" Type="http://schemas.openxmlformats.org/officeDocument/2006/relationships/hyperlink" Target="https://www.sec.gov/Archives/edgar/data/1549922/000119312520158609/d933187dex108.htm" TargetMode="External"/><Relationship Id="rId223" Type="http://schemas.openxmlformats.org/officeDocument/2006/relationships/hyperlink" Target="https://www.sec.gov/Archives/edgar/data/2024218/000101376224003515/ea021024101ex10-3_summit.htm" TargetMode="External"/><Relationship Id="rId224" Type="http://schemas.openxmlformats.org/officeDocument/2006/relationships/hyperlink" Target="https://www.sec.gov/Archives/edgar/data/2024218/000101376224003515/ea021024101ex10-4_summit.htm" TargetMode="External"/><Relationship Id="rId225" Type="http://schemas.openxmlformats.org/officeDocument/2006/relationships/hyperlink" Target="https://www.sec.gov/Archives/edgar/data/2024218/000101376224003515/ea021024101ex10-5_summit.htm" TargetMode="External"/><Relationship Id="rId226" Type="http://schemas.openxmlformats.org/officeDocument/2006/relationships/hyperlink" Target="https://www.sec.gov/Archives/edgar/data/2024218/000101376224003515/ea021024101ex10-6_summit.htm" TargetMode="External"/><Relationship Id="rId227" Type="http://schemas.openxmlformats.org/officeDocument/2006/relationships/hyperlink" Target="https://www.sec.gov/Archives/edgar/data/1549922/000156459019022240/smlp-ex101_7.htm" TargetMode="External"/><Relationship Id="rId228" Type="http://schemas.openxmlformats.org/officeDocument/2006/relationships/hyperlink" Target="https://www.sec.gov/Archives/edgar/data/1549922/000156459020012024/smlp-ex101_6.htm" TargetMode="External"/><Relationship Id="rId229" Type="http://schemas.openxmlformats.org/officeDocument/2006/relationships/hyperlink" Target="https://www.sec.gov/Archives/edgar/data/1549922/000154992214000028/ex101formofsltagmt.htm" TargetMode="External"/><Relationship Id="rId230" Type="http://schemas.openxmlformats.org/officeDocument/2006/relationships/hyperlink" Target="https://www.sec.gov/Archives/edgar/data/1549922/000110465912067606/a12-22459_2ex10d3.htm" TargetMode="External"/><Relationship Id="rId231" Type="http://schemas.openxmlformats.org/officeDocument/2006/relationships/hyperlink" Target="https://www.sec.gov/Archives/edgar/data/1549922/000154992213000021/ex43-smlpxdcplan.htm" TargetMode="External"/><Relationship Id="rId232" Type="http://schemas.openxmlformats.org/officeDocument/2006/relationships/hyperlink" Target="https://www.sec.gov/Archives/edgar/data/1549922/000154992222000008/formofltipagreementforempl.htm" TargetMode="External"/><Relationship Id="rId235" Type="http://schemas.openxmlformats.org/officeDocument/2006/relationships/hyperlink" Target="https://www.sec.gov/Archives/edgar/data/1549922/000138713122004480/summit-def14a_051021.htm#summit-def14a_051021a367" TargetMode="External"/><Relationship Id="rId236" Type="http://schemas.openxmlformats.org/officeDocument/2006/relationships/hyperlink" Target="https://www.sec.gov/Archives/edgar/data/1549922/000154992224000050/summitmidstream-firstamend.htm" TargetMode="External"/><Relationship Id="rId237" Type="http://schemas.openxmlformats.org/officeDocument/2006/relationships/hyperlink" Target="https://www.sec.gov/Archives/edgar/data/1549922/000154992223000006/smlp-formofperformancexb.htm" TargetMode="External"/><Relationship Id="rId238" Type="http://schemas.openxmlformats.org/officeDocument/2006/relationships/hyperlink" Target="https://www.sec.gov/Archives/edgar/data/1549922/000154992223000006/smlp-formoftimexbasedphant.htm" TargetMode="External"/><Relationship Id="rId239" Type="http://schemas.openxmlformats.org/officeDocument/2006/relationships/hyperlink" Target="https://www.sec.gov/Archives/edgar/data/1549922/000154992223000006/a2021ltipagreement.htm" TargetMode="External"/><Relationship Id="rId240" Type="http://schemas.openxmlformats.org/officeDocument/2006/relationships/hyperlink" Target="https://www.sec.gov/Archives/edgar/data/1549922/000154992223000006/ex1066-smlpxformof2022ltip.htm" TargetMode="External"/><Relationship Id="rId241" Type="http://schemas.openxmlformats.org/officeDocument/2006/relationships/hyperlink" Target="https://www.sec.gov/Archives/edgar/data/1549922/000154992223000006/smlp-formof2023ltipagreeme.htm" TargetMode="External"/><Relationship Id="rId242" Type="http://schemas.openxmlformats.org/officeDocument/2006/relationships/hyperlink" Target="https://www.sec.gov/Archives/edgar/data/2024218/000101376224003515/ea021024101ex10-7_summit.htm" TargetMode="External"/><Relationship Id="rId243" Type="http://schemas.openxmlformats.org/officeDocument/2006/relationships/hyperlink" Target="https://www.sec.gov/Archives/edgar/data/2024218/000202421825000025/smc-ex101toclosingform8x.htm" TargetMode="External"/><Relationship Id="rId244" Type="http://schemas.openxmlformats.org/officeDocument/2006/relationships/hyperlink" Target="https://www.sec.gov/Archives/edgar/data/2024218/000202421825000025/smc-ex102toclosingform8x.htm" TargetMode="External"/><Relationship Id="rId245" Type="http://schemas.openxmlformats.org/officeDocument/2006/relationships/hyperlink" Target="https://www.sec.gov/Archives/edgar/data/2024218/000202421825000050/annexb-2025performancersuf.htm" TargetMode="External"/><Relationship Id="rId246" Type="http://schemas.openxmlformats.org/officeDocument/2006/relationships/hyperlink" Target="https://www.sec.gov/Archives/edgar/data/2024218/000202421825000050/annexc-2025executivetimers.htm" TargetMode="External"/><Relationship Id="rId247" Type="http://schemas.openxmlformats.org/officeDocument/2006/relationships/hyperlink" Target="https://www.sec.gov/Archives/edgar/data/2024218/000202421825000050/annexd-2025employeetimersu.htm" TargetMode="External"/><Relationship Id="rId248" Type="http://schemas.openxmlformats.org/officeDocument/2006/relationships/hyperlink" Target="https://www.sec.gov/Archives/edgar/data/2024218/000202421825000050/smc-directorformofltipagre.htm" TargetMode="External"/><Relationship Id="rId249" Type="http://schemas.openxmlformats.org/officeDocument/2006/relationships/hyperlink" Target="https://www.sec.gov/Archives/edgar/data/2024218/000202421825000049/exhibit101-updatedcompensa.htm" TargetMode="External"/><Relationship Id="rId250" Type="http://schemas.openxmlformats.org/officeDocument/2006/relationships/hyperlink" Target="https://www.sec.gov/Archives/edgar/data/2024218/000202421825000049/exhibit102-updatedcompensa.htm" TargetMode="External"/><Relationship Id="rId253" Type="http://schemas.openxmlformats.org/officeDocument/2006/relationships/hyperlink" Target="https://www.sec.gov/Archives/edgar/data/2024218/000202421825000049/exhibit103-updatedcompensa.htm" TargetMode="External"/><Relationship Id="rId254" Type="http://schemas.openxmlformats.org/officeDocument/2006/relationships/hyperlink" Target="https://www.sec.gov/Archives/edgar/data/2024218/000202421825000020/smc-insidertradingpolicy.htm" TargetMode="External"/><Relationship Id="rId255" Type="http://schemas.openxmlformats.org/officeDocument/2006/relationships/hyperlink" Target="https://www.sec.gov/Archives/edgar/data/2024218/000202421825000020/a971smc-clawbackpolicy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2026-03-16T16:02:35Z</dcterms:created>
  <dcterms:modified xsi:type="dcterms:W3CDTF">2026-03-16T16:02:35Z</dcterms:modified>
</cp:coreProperties>
</file>