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89120.xml.htm"/>
      <w:bookmarkStart w:id="1" w:name="kswkform4_17909891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Johnston James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SUMMIT MIDSTREAM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LOUISIANA STREET, 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Summit Midstream Corp</w:t>
              </w:r>
            </w:hyperlink>
            <w:r>
              <w:rPr/>
              <w:t xml:space="preserve"> [ </w:t>
            </w:r>
            <w:r>
              <w:rPr>
                <w:rFonts w:ascii="Times;serif" w:hAnsi="Times;serif"/>
                <w:color w:val="0000FF"/>
                <w:sz w:val="24"/>
                <w:shd w:fill="FFFFFF" w:val="clear"/>
              </w:rPr>
              <w:t>SMC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 GC, CCO and Secy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30.51</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72,757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Common Stocks were sold in compliance with a qualified selling plan adopted by the reporting person pursuant to Rule 10b5-1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and has been rounded to the nearest cent. These Common Stocks were sold in multiple transactions at prices ranging from $29.85 to $30.75,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David Johnston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3482" TargetMode="External"/><Relationship Id="rId5" Type="http://schemas.openxmlformats.org/officeDocument/2006/relationships/hyperlink" Target="http://www.sec.gov/cgi-bin/browse-edgar?action=getcompany&amp;CIK=00020242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3738</Characters>
  <CharactersWithSpaces>4360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