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f44b77c1cc4344debfc4d1346ac57483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spacing w:lineRule="auto" w:line="288" w:before="80" w:after="283"/>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2023 </w:t>
      </w:r>
    </w:p>
    <w:p>
      <w:pPr>
        <w:pStyle w:val="TextBody"/>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001-35666</w:t>
      </w:r>
    </w:p>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Summit Midstream Partners, LP</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910 Louisiana Street, Suite 4200</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Houston, TX</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45-5200503</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p>
      <w:pPr>
        <w:pStyle w:val="TextBody"/>
        <w:spacing w:before="80" w:after="283"/>
        <w:jc w:val="center"/>
        <w:rPr/>
      </w:pPr>
      <w:r>
        <w:rPr/>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77002</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(832) 413-4770</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spacing w:lineRule="auto" w:line="288" w:before="80" w:after="283"/>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102" w:type="dxa"/>
        <w:jc w:val="left"/>
        <w:tblInd w:w="0" w:type="dxa"/>
        <w:tblCellMar>
          <w:top w:w="28" w:type="dxa"/>
          <w:left w:w="28" w:type="dxa"/>
          <w:bottom w:w="28" w:type="dxa"/>
          <w:right w:w="28" w:type="dxa"/>
        </w:tblCellMar>
      </w:tblPr>
      <w:tblGrid>
        <w:gridCol w:w="497"/>
        <w:gridCol w:w="438"/>
        <w:gridCol w:w="444"/>
        <w:gridCol w:w="484"/>
        <w:gridCol w:w="484"/>
        <w:gridCol w:w="486"/>
        <w:gridCol w:w="956"/>
        <w:gridCol w:w="956"/>
        <w:gridCol w:w="1357"/>
      </w:tblGrid>
      <w:tr>
        <w:trPr/>
        <w:tc>
          <w:tcPr>
            <w:tcW w:w="49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SMLP</w:t>
            </w:r>
          </w:p>
        </w:tc>
        <w:tc>
          <w:tcPr>
            <w:tcW w:w="326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80" w:after="283"/>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spacing w:lineRule="auto" w:line="288" w:before="8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r>
    </w:tbl>
    <w:p>
      <w:pPr>
        <w:pStyle w:val="TextBody"/>
        <w:spacing w:lineRule="auto" w:line="288" w:before="8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rPr>
        <w:t>. </w:t>
      </w:r>
      <w:r>
        <w:rPr>
          <w:rFonts w:ascii="Wingdings;sans-serif" w:hAnsi="Wingdings;sans-serif"/>
          <w:b w:val="false"/>
          <w:color w:val="000000"/>
          <w:sz w:val="18"/>
        </w:rPr>
        <w:t>o</w:t>
      </w:r>
    </w:p>
    <w:p>
      <w:pPr>
        <w:pStyle w:val="TextBody"/>
        <w:spacing w:lineRule="auto" w:line="288" w:before="80" w:after="283"/>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w:t>
      </w:r>
    </w:p>
    <w:p>
      <w:pPr>
        <w:pStyle w:val="TextBody"/>
        <w:spacing w:lineRule="auto" w:line="288" w:before="80" w:after="283"/>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3026" w:type="dxa"/>
        <w:jc w:val="left"/>
        <w:tblInd w:w="0" w:type="dxa"/>
        <w:tblCellMar>
          <w:top w:w="28" w:type="dxa"/>
          <w:left w:w="28" w:type="dxa"/>
          <w:bottom w:w="28" w:type="dxa"/>
          <w:right w:w="28" w:type="dxa"/>
        </w:tblCellMar>
      </w:tblPr>
      <w:tblGrid>
        <w:gridCol w:w="437"/>
        <w:gridCol w:w="386"/>
        <w:gridCol w:w="392"/>
        <w:gridCol w:w="109"/>
        <w:gridCol w:w="109"/>
        <w:gridCol w:w="109"/>
        <w:gridCol w:w="432"/>
        <w:gridCol w:w="432"/>
        <w:gridCol w:w="620"/>
      </w:tblGrid>
      <w:tr>
        <w:trPr/>
        <w:tc>
          <w:tcPr>
            <w:tcW w:w="437"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May 1, 2023</w:t>
            </w:r>
          </w:p>
        </w:tc>
      </w:tr>
      <w:tr>
        <w:trPr/>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10,354,658 units </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rPr/>
                      </w:pPr>
                      <w:r>
                        <w:rPr/>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663" w:type="dxa"/>
        <w:jc w:val="left"/>
        <w:tblInd w:w="0" w:type="dxa"/>
        <w:tblCellMar>
          <w:top w:w="28" w:type="dxa"/>
          <w:left w:w="28" w:type="dxa"/>
          <w:bottom w:w="28" w:type="dxa"/>
          <w:right w:w="28" w:type="dxa"/>
        </w:tblCellMar>
      </w:tblPr>
      <w:tblGrid>
        <w:gridCol w:w="683"/>
        <w:gridCol w:w="599"/>
        <w:gridCol w:w="599"/>
        <w:gridCol w:w="2456"/>
        <w:gridCol w:w="2456"/>
        <w:gridCol w:w="2498"/>
        <w:gridCol w:w="109"/>
        <w:gridCol w:w="109"/>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4b77c1cc4344debfc4d1346ac57483_10">
              <w:r>
                <w:rPr>
                  <w:rStyle w:val="InternetLink"/>
                  <w:rFonts w:ascii="Times New Roman;sans-serif" w:hAnsi="Times New Roman;sans-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0">
              <w:r>
                <w:rPr>
                  <w:rStyle w:val="InternetLink"/>
                  <w:rFonts w:ascii="Times New Roman;sans-serif" w:hAnsi="Times New Roman;sans-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3">
              <w:r>
                <w:rPr>
                  <w:rStyle w:val="InternetLink"/>
                  <w:rFonts w:ascii="Times New Roman;sans-serif" w:hAnsi="Times New Roman;sans-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3">
              <w:r>
                <w:rPr>
                  <w:rStyle w:val="InternetLink"/>
                  <w:rFonts w:ascii="Times New Roman;sans-serif" w:hAnsi="Times New Roman;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
              <w:r>
                <w:rPr>
                  <w:rStyle w:val="InternetLink"/>
                  <w:rFonts w:ascii="Times New Roman;sans-serif" w:hAnsi="Times New Roman;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9">
              <w:r>
                <w:rPr>
                  <w:rStyle w:val="InternetLink"/>
                  <w:rFonts w:ascii="Times New Roman;sans-serif" w:hAnsi="Times New Roman;sans-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9">
              <w:r>
                <w:rPr>
                  <w:rStyle w:val="InternetLink"/>
                  <w:rFonts w:ascii="Times New Roman;sans-serif" w:hAnsi="Times New Roman;sans-serif"/>
                  <w:b w:val="false"/>
                  <w:color w:val="0000FF"/>
                  <w:sz w:val="20"/>
                  <w:u w:val="single"/>
                </w:rPr>
                <w:t>6</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22">
              <w:r>
                <w:rPr>
                  <w:rStyle w:val="InternetLink"/>
                  <w:rFonts w:ascii="Times New Roman;sans-serif" w:hAnsi="Times New Roman;sans-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22">
              <w:r>
                <w:rPr>
                  <w:rStyle w:val="InternetLink"/>
                  <w:rFonts w:ascii="Times New Roman;sans-serif" w:hAnsi="Times New Roman;sans-serif"/>
                  <w:b w:val="false"/>
                  <w:color w:val="0000FF"/>
                  <w:sz w:val="20"/>
                  <w:u w:val="single"/>
                </w:rPr>
                <w:t>7</w:t>
              </w:r>
            </w:hyperlink>
          </w:p>
        </w:tc>
      </w:tr>
      <w:tr>
        <w:trPr/>
        <w:tc>
          <w:tcPr>
            <w:tcW w:w="1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25">
              <w:r>
                <w:rPr>
                  <w:rStyle w:val="InternetLink"/>
                  <w:rFonts w:ascii="Times New Roman;sans-serif" w:hAnsi="Times New Roman;sans-serif"/>
                  <w:b w:val="false"/>
                  <w:color w:val="0000FF"/>
                  <w:sz w:val="20"/>
                  <w:u w:val="single"/>
                </w:rPr>
                <w:t>Unaudited Condensed Consolidated Statements of Partners' Capital.</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25">
              <w:r>
                <w:rPr>
                  <w:rStyle w:val="InternetLink"/>
                  <w:rFonts w:ascii="Times New Roman;sans-serif" w:hAnsi="Times New Roman;sans-serif"/>
                  <w:b w:val="false"/>
                  <w:color w:val="0000FF"/>
                  <w:sz w:val="20"/>
                  <w:u w:val="single"/>
                </w:rPr>
                <w:t>8</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28">
              <w:r>
                <w:rPr>
                  <w:rStyle w:val="InternetLink"/>
                  <w:rFonts w:ascii="Times New Roman;sans-serif" w:hAnsi="Times New Roman;sans-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28">
              <w:r>
                <w:rPr>
                  <w:rStyle w:val="InternetLink"/>
                  <w:rFonts w:ascii="Times New Roman;sans-serif" w:hAnsi="Times New Roman;sans-serif"/>
                  <w:b w:val="false"/>
                  <w:color w:val="0000FF"/>
                  <w:sz w:val="20"/>
                  <w:u w:val="single"/>
                </w:rPr>
                <w:t>9</w:t>
              </w:r>
            </w:hyperlink>
          </w:p>
        </w:tc>
      </w:tr>
      <w:tr>
        <w:trPr/>
        <w:tc>
          <w:tcPr>
            <w:tcW w:w="1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31">
              <w:r>
                <w:rPr>
                  <w:rStyle w:val="InternetLink"/>
                  <w:rFonts w:ascii="Times New Roman;sans-serif" w:hAnsi="Times New Roman;sans-serif"/>
                  <w:b w:val="false"/>
                  <w:color w:val="0000FF"/>
                  <w:sz w:val="20"/>
                  <w:u w:val="single"/>
                </w:rPr>
                <w:t>Notes to Unaudited Condensed Consolidated Financial Statements</w:t>
              </w:r>
            </w:hyperlink>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31">
              <w:r>
                <w:rPr>
                  <w:rStyle w:val="InternetLink"/>
                  <w:rFonts w:ascii="Times New Roman;sans-serif" w:hAnsi="Times New Roman;sans-serif"/>
                  <w:b w:val="false"/>
                  <w:color w:val="0000FF"/>
                  <w:sz w:val="20"/>
                  <w:u w:val="single"/>
                </w:rPr>
                <w:t>10</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88">
              <w:r>
                <w:rPr>
                  <w:rStyle w:val="InternetLink"/>
                  <w:rFonts w:ascii="Times New Roman;sans-serif" w:hAnsi="Times New Roman;sans-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88">
              <w:r>
                <w:rPr>
                  <w:rStyle w:val="InternetLink"/>
                  <w:rFonts w:ascii="Times New Roman;sans-serif" w:hAnsi="Times New Roman;sans-serif"/>
                  <w:b w:val="false"/>
                  <w:color w:val="0000FF"/>
                  <w:sz w:val="20"/>
                  <w:u w:val="single"/>
                </w:rPr>
                <w:t>22</w:t>
              </w:r>
            </w:hyperlink>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57">
              <w:r>
                <w:rPr>
                  <w:rStyle w:val="InternetLink"/>
                  <w:rFonts w:ascii="Times New Roman;sans-serif" w:hAnsi="Times New Roman;sans-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57">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57">
              <w:r>
                <w:rPr>
                  <w:rStyle w:val="InternetLink"/>
                  <w:rFonts w:ascii="Times New Roman;sans-serif" w:hAnsi="Times New Roman;sans-serif"/>
                  <w:b w:val="false"/>
                  <w:color w:val="0000FF"/>
                  <w:sz w:val="20"/>
                  <w:u w:val="single"/>
                </w:rPr>
                <w:t>43</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0">
              <w:r>
                <w:rPr>
                  <w:rStyle w:val="InternetLink"/>
                  <w:rFonts w:ascii="Times New Roman;sans-serif" w:hAnsi="Times New Roman;sans-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0">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60">
              <w:r>
                <w:rPr>
                  <w:rStyle w:val="InternetLink"/>
                  <w:rFonts w:ascii="Times New Roman;sans-serif" w:hAnsi="Times New Roman;sans-serif"/>
                  <w:b w:val="false"/>
                  <w:color w:val="0000FF"/>
                  <w:sz w:val="20"/>
                  <w:u w:val="single"/>
                </w:rPr>
                <w:t>43</w:t>
              </w:r>
            </w:hyperlink>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3">
              <w:r>
                <w:rPr>
                  <w:rStyle w:val="InternetLink"/>
                  <w:rFonts w:ascii="Times New Roman;sans-serif" w:hAnsi="Times New Roman;sans-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3">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63">
              <w:r>
                <w:rPr>
                  <w:rStyle w:val="InternetLink"/>
                  <w:rFonts w:ascii="Times New Roman;sans-serif" w:hAnsi="Times New Roman;sans-serif"/>
                  <w:b w:val="false"/>
                  <w:color w:val="0000FF"/>
                  <w:sz w:val="20"/>
                  <w:u w:val="single"/>
                </w:rPr>
                <w:t>44</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6">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6">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66">
              <w:r>
                <w:rPr>
                  <w:rStyle w:val="InternetLink"/>
                  <w:rFonts w:ascii="Times New Roman;sans-serif" w:hAnsi="Times New Roman;sans-serif"/>
                  <w:b w:val="false"/>
                  <w:color w:val="0000FF"/>
                  <w:sz w:val="20"/>
                  <w:u w:val="single"/>
                </w:rPr>
                <w:t>44</w:t>
              </w:r>
            </w:hyperlink>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9">
              <w:r>
                <w:rPr>
                  <w:rStyle w:val="InternetLink"/>
                  <w:rFonts w:ascii="Times New Roman;sans-serif" w:hAnsi="Times New Roman;sans-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69">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69">
              <w:r>
                <w:rPr>
                  <w:rStyle w:val="InternetLink"/>
                  <w:rFonts w:ascii="Times New Roman;sans-serif" w:hAnsi="Times New Roman;sans-serif"/>
                  <w:b w:val="false"/>
                  <w:color w:val="0000FF"/>
                  <w:sz w:val="20"/>
                  <w:u w:val="single"/>
                </w:rPr>
                <w:t>45</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72">
              <w:r>
                <w:rPr>
                  <w:rStyle w:val="InternetLink"/>
                  <w:rFonts w:ascii="Times New Roman;sans-serif" w:hAnsi="Times New Roman;sans-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72">
              <w:r>
                <w:rPr>
                  <w:rStyle w:val="InternetLink"/>
                  <w:rFonts w:ascii="Times New Roman;sans-serif" w:hAnsi="Times New Roman;sans-serif"/>
                  <w:b w:val="false"/>
                  <w:color w:val="0000FF"/>
                  <w:sz w:val="20"/>
                  <w:u w:val="single"/>
                </w:rPr>
                <w:t>Other Information</w:t>
              </w:r>
            </w:hyperlink>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72">
              <w:r>
                <w:rPr>
                  <w:rStyle w:val="InternetLink"/>
                  <w:rFonts w:ascii="Times New Roman;sans-serif" w:hAnsi="Times New Roman;sans-serif"/>
                  <w:b w:val="false"/>
                  <w:color w:val="0000FF"/>
                  <w:sz w:val="20"/>
                  <w:u w:val="single"/>
                </w:rPr>
                <w:t>45</w:t>
              </w:r>
            </w:hyperlink>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75">
              <w:r>
                <w:rPr>
                  <w:rStyle w:val="InternetLink"/>
                  <w:rFonts w:ascii="Times New Roman;sans-serif" w:hAnsi="Times New Roman;sans-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75">
              <w:r>
                <w:rPr>
                  <w:rStyle w:val="InternetLink"/>
                  <w:rFonts w:ascii="Times New Roman;sans-serif" w:hAnsi="Times New Roman;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75">
              <w:r>
                <w:rPr>
                  <w:rStyle w:val="InternetLink"/>
                  <w:rFonts w:ascii="Times New Roman;sans-serif" w:hAnsi="Times New Roman;sans-serif"/>
                  <w:b w:val="false"/>
                  <w:color w:val="0000FF"/>
                  <w:sz w:val="20"/>
                  <w:u w:val="single"/>
                </w:rPr>
                <w:t>45</w:t>
              </w:r>
            </w:hyperlink>
          </w:p>
        </w:tc>
      </w:tr>
      <w:tr>
        <w:trPr/>
        <w:tc>
          <w:tcPr>
            <w:tcW w:w="1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4b77c1cc4344debfc4d1346ac57483_178">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f44b77c1cc4344debfc4d1346ac57483_178">
              <w:r>
                <w:rPr>
                  <w:rStyle w:val="InternetLink"/>
                  <w:rFonts w:ascii="Times New Roman;sans-serif" w:hAnsi="Times New Roman;sans-serif"/>
                  <w:b w:val="false"/>
                  <w:color w:val="0000FF"/>
                  <w:sz w:val="20"/>
                  <w:u w:val="single"/>
                </w:rPr>
                <w:t>47</w:t>
              </w:r>
            </w:hyperlink>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tbl>
      <w:tblPr>
        <w:tblW w:w="10205" w:type="dxa"/>
        <w:jc w:val="left"/>
        <w:tblInd w:w="0" w:type="dxa"/>
        <w:tblCellMar>
          <w:top w:w="28" w:type="dxa"/>
          <w:left w:w="28" w:type="dxa"/>
          <w:bottom w:w="28" w:type="dxa"/>
          <w:right w:w="28" w:type="dxa"/>
        </w:tblCellMar>
      </w:tblPr>
      <w:tblGrid>
        <w:gridCol w:w="575"/>
        <w:gridCol w:w="391"/>
        <w:gridCol w:w="394"/>
        <w:gridCol w:w="2928"/>
        <w:gridCol w:w="2444"/>
        <w:gridCol w:w="3473"/>
      </w:tblGrid>
      <w:tr>
        <w:trPr/>
        <w:tc>
          <w:tcPr>
            <w:tcW w:w="57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928" w:type="dxa"/>
            <w:tcBorders/>
            <w:shd w:fill="auto" w:val="clear"/>
            <w:vAlign w:val="center"/>
          </w:tcPr>
          <w:p>
            <w:pPr>
              <w:pStyle w:val="TableContents"/>
              <w:spacing w:before="0" w:after="283"/>
              <w:rPr>
                <w:sz w:val="4"/>
                <w:szCs w:val="4"/>
              </w:rPr>
            </w:pPr>
            <w:r>
              <w:rPr>
                <w:sz w:val="4"/>
                <w:szCs w:val="4"/>
              </w:rPr>
            </w:r>
          </w:p>
        </w:tc>
        <w:tc>
          <w:tcPr>
            <w:tcW w:w="2444" w:type="dxa"/>
            <w:tcBorders/>
            <w:shd w:fill="auto" w:val="clear"/>
            <w:vAlign w:val="center"/>
          </w:tcPr>
          <w:p>
            <w:pPr>
              <w:pStyle w:val="TableContents"/>
              <w:spacing w:before="0" w:after="283"/>
              <w:rPr>
                <w:sz w:val="4"/>
                <w:szCs w:val="4"/>
              </w:rPr>
            </w:pPr>
            <w:r>
              <w:rPr>
                <w:sz w:val="4"/>
                <w:szCs w:val="4"/>
              </w:rPr>
            </w:r>
          </w:p>
        </w:tc>
        <w:tc>
          <w:tcPr>
            <w:tcW w:w="3473" w:type="dxa"/>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8845"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8845"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w:t>
            </w:r>
          </w:p>
          <w:p>
            <w:pPr>
              <w:pStyle w:val="TableContents"/>
              <w:spacing w:before="0" w:after="0"/>
              <w:rPr/>
            </w:pPr>
            <w:r>
              <w:rPr/>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8845"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2026</w:t>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 Indenture</w:t>
            </w:r>
          </w:p>
        </w:tc>
        <w:tc>
          <w:tcPr>
            <w:tcW w:w="884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2, 2021, by and among Summit Holdings, Finance Corp., the guarantors party thereto and Regions Bank, as trustee</w:t>
            </w:r>
          </w:p>
          <w:p>
            <w:pPr>
              <w:pStyle w:val="TableContents"/>
              <w:spacing w:before="0" w:after="0"/>
              <w:rPr/>
            </w:pPr>
            <w:r>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84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p>
            <w:pPr>
              <w:pStyle w:val="TableContents"/>
              <w:spacing w:before="0" w:after="0"/>
              <w:rPr/>
            </w:pPr>
            <w:r>
              <w:rPr/>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84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spacing w:before="0" w:after="0"/>
              <w:rPr/>
            </w:pPr>
            <w:r>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Midstream</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Midstream, LLC</w:t>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our General Partner</w:t>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8845"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pentane and heavier hydrocarbon fractions</w:t>
            </w:r>
          </w:p>
          <w:p>
            <w:pPr>
              <w:pStyle w:val="TableContents"/>
              <w:spacing w:before="0" w:after="0"/>
              <w:rPr/>
            </w:pPr>
            <w:r>
              <w:rPr/>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8845"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Co-Issuers</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w:t>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 Services LLC</w:t>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135 mile, 1.35 Bcf/d, FERC-regulated interstate natural gas transmission pipeline that commenced operations in November 2021 and provides transportation service from receipt points in the Delaware Basin to various delivery points in and around the Waha hub in Texas </w:t>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8845"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Project</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construction of the Double E Pipeline</w:t>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Capital Partners II, LLC and its parallel and co-investment funds</w:t>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360" w:type="dxa"/>
            <w:gridSpan w:val="3"/>
            <w:tcBorders/>
            <w:shd w:fill="auto" w:val="clear"/>
            <w:vAlign w:val="center"/>
          </w:tcPr>
          <w:p>
            <w:pPr>
              <w:pStyle w:val="TableContents"/>
              <w:spacing w:before="0" w:after="283"/>
              <w:rPr>
                <w:sz w:val="4"/>
                <w:szCs w:val="4"/>
              </w:rPr>
            </w:pPr>
            <w:r>
              <w:rPr>
                <w:sz w:val="4"/>
                <w:szCs w:val="4"/>
              </w:rPr>
            </w:r>
          </w:p>
        </w:tc>
        <w:tc>
          <w:tcPr>
            <w:tcW w:w="8845" w:type="dxa"/>
            <w:gridSpan w:val="3"/>
            <w:tcBorders/>
            <w:shd w:fill="auto" w:val="clear"/>
            <w:vAlign w:val="center"/>
          </w:tcPr>
          <w:p>
            <w:pPr>
              <w:pStyle w:val="TableContents"/>
              <w:spacing w:before="0" w:after="283"/>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EPU</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or loss per unit</w:t>
            </w:r>
          </w:p>
        </w:tc>
      </w:tr>
      <w:tr>
        <w:trPr/>
        <w:tc>
          <w:tcPr>
            <w:tcW w:w="13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8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3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8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594"/>
        <w:gridCol w:w="455"/>
        <w:gridCol w:w="460"/>
        <w:gridCol w:w="2690"/>
        <w:gridCol w:w="2483"/>
        <w:gridCol w:w="3523"/>
      </w:tblGrid>
      <w:tr>
        <w:trPr/>
        <w:tc>
          <w:tcPr>
            <w:tcW w:w="594"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2483" w:type="dxa"/>
            <w:tcBorders/>
            <w:shd w:fill="auto" w:val="clear"/>
            <w:vAlign w:val="center"/>
          </w:tcPr>
          <w:p>
            <w:pPr>
              <w:pStyle w:val="TableContents"/>
              <w:spacing w:before="0" w:after="283"/>
              <w:rPr>
                <w:sz w:val="4"/>
                <w:szCs w:val="4"/>
              </w:rPr>
            </w:pPr>
            <w:r>
              <w:rPr>
                <w:sz w:val="4"/>
                <w:szCs w:val="4"/>
              </w:rPr>
            </w:r>
          </w:p>
        </w:tc>
        <w:tc>
          <w:tcPr>
            <w:tcW w:w="3523" w:type="dxa"/>
            <w:tcBorders/>
            <w:shd w:fill="auto" w:val="clear"/>
            <w:vAlign w:val="center"/>
          </w:tcPr>
          <w:p>
            <w:pPr>
              <w:pStyle w:val="TableContents"/>
              <w:spacing w:before="0" w:after="283"/>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fracking</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injecting liquid at high pressure into subterranean rocks, boreholes, etc. so as to force open existing fissures and extract oil or gas</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frac-protect activities</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that are designed to protect existing hydrocarbon wells from harm by shutting in existing hydrocarbon production until new well activities have concluded </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GP</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r>
      <w:tr>
        <w:trPr/>
        <w:tc>
          <w:tcPr>
            <w:tcW w:w="1509" w:type="dxa"/>
            <w:gridSpan w:val="3"/>
            <w:tcBorders/>
            <w:shd w:fill="auto" w:val="clear"/>
            <w:vAlign w:val="center"/>
          </w:tcPr>
          <w:p>
            <w:pPr>
              <w:pStyle w:val="TableContents"/>
              <w:spacing w:before="0" w:after="283"/>
              <w:rPr>
                <w:sz w:val="4"/>
                <w:szCs w:val="4"/>
              </w:rPr>
            </w:pPr>
            <w:r>
              <w:rPr>
                <w:sz w:val="4"/>
                <w:szCs w:val="4"/>
              </w:rPr>
            </w:r>
          </w:p>
        </w:tc>
        <w:tc>
          <w:tcPr>
            <w:tcW w:w="8696" w:type="dxa"/>
            <w:gridSpan w:val="3"/>
            <w:tcBorders/>
            <w:shd w:fill="auto" w:val="clear"/>
            <w:vAlign w:val="center"/>
          </w:tcPr>
          <w:p>
            <w:pPr>
              <w:pStyle w:val="TableContents"/>
              <w:spacing w:before="0" w:after="283"/>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Gathering, LLC</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Guarantor Subsidiaries</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and its subsidiaries, DFW Midstream, Summit Marketing, Summit Permian, Permian Finance, OpCo, Summit Utica, Meadowlark Midstream, Summit Permian II, Mountaineer Midstream, Epping, Red Rock, Polar Midstream and Summit Niobrara</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location of a storage facility and multiple pipeline interconnections</w:t>
            </w:r>
          </w:p>
        </w:tc>
      </w:tr>
      <w:tr>
        <w:trPr/>
        <w:tc>
          <w:tcPr>
            <w:tcW w:w="1509" w:type="dxa"/>
            <w:gridSpan w:val="3"/>
            <w:tcBorders/>
            <w:shd w:fill="auto" w:val="clear"/>
            <w:vAlign w:val="center"/>
          </w:tcPr>
          <w:p>
            <w:pPr>
              <w:pStyle w:val="TableContents"/>
              <w:spacing w:before="0" w:after="283"/>
              <w:rPr>
                <w:sz w:val="4"/>
                <w:szCs w:val="4"/>
              </w:rPr>
            </w:pPr>
            <w:r>
              <w:rPr>
                <w:sz w:val="4"/>
                <w:szCs w:val="4"/>
              </w:rPr>
            </w:r>
          </w:p>
        </w:tc>
        <w:tc>
          <w:tcPr>
            <w:tcW w:w="8696" w:type="dxa"/>
            <w:gridSpan w:val="3"/>
            <w:tcBorders/>
            <w:shd w:fill="auto" w:val="clear"/>
            <w:vAlign w:val="center"/>
          </w:tcPr>
          <w:p>
            <w:pPr>
              <w:pStyle w:val="TableContents"/>
              <w:spacing w:before="0" w:after="283"/>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million British thermal units</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p>
            <w:pPr>
              <w:pStyle w:val="TableContents"/>
              <w:spacing w:before="0" w:after="0"/>
              <w:rPr/>
            </w:pPr>
            <w:r>
              <w:rPr/>
            </w:r>
          </w:p>
        </w:tc>
      </w:tr>
      <w:tr>
        <w:trPr/>
        <w:tc>
          <w:tcPr>
            <w:tcW w:w="1509" w:type="dxa"/>
            <w:gridSpan w:val="3"/>
            <w:tcBorders/>
            <w:shd w:fill="auto" w:val="clear"/>
            <w:vAlign w:val="center"/>
          </w:tcPr>
          <w:p>
            <w:pPr>
              <w:pStyle w:val="TableContents"/>
              <w:spacing w:before="0" w:after="283"/>
              <w:rPr>
                <w:sz w:val="4"/>
                <w:szCs w:val="4"/>
              </w:rPr>
            </w:pPr>
            <w:r>
              <w:rPr>
                <w:sz w:val="4"/>
                <w:szCs w:val="4"/>
              </w:rPr>
            </w:r>
          </w:p>
        </w:tc>
        <w:tc>
          <w:tcPr>
            <w:tcW w:w="8696" w:type="dxa"/>
            <w:gridSpan w:val="3"/>
            <w:tcBorders/>
            <w:shd w:fill="auto" w:val="clear"/>
            <w:vAlign w:val="center"/>
          </w:tcPr>
          <w:p>
            <w:pPr>
              <w:pStyle w:val="TableContents"/>
              <w:spacing w:before="0" w:after="283"/>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509" w:type="dxa"/>
            <w:gridSpan w:val="3"/>
            <w:tcBorders/>
            <w:shd w:fill="auto" w:val="clear"/>
            <w:vAlign w:val="center"/>
          </w:tcPr>
          <w:p>
            <w:pPr>
              <w:pStyle w:val="TableContents"/>
              <w:spacing w:before="0" w:after="283"/>
              <w:rPr>
                <w:sz w:val="4"/>
                <w:szCs w:val="4"/>
              </w:rPr>
            </w:pPr>
            <w:r>
              <w:rPr>
                <w:sz w:val="4"/>
                <w:szCs w:val="4"/>
              </w:rPr>
            </w:r>
          </w:p>
        </w:tc>
        <w:tc>
          <w:tcPr>
            <w:tcW w:w="8696" w:type="dxa"/>
            <w:gridSpan w:val="3"/>
            <w:tcBorders/>
            <w:shd w:fill="auto" w:val="clear"/>
            <w:vAlign w:val="center"/>
          </w:tcPr>
          <w:p>
            <w:pPr>
              <w:pStyle w:val="TableContents"/>
              <w:spacing w:before="0" w:after="283"/>
              <w:rPr>
                <w:sz w:val="4"/>
                <w:szCs w:val="4"/>
              </w:rPr>
            </w:pPr>
            <w:r>
              <w:rPr>
                <w:sz w:val="4"/>
                <w:szCs w:val="4"/>
              </w:rPr>
            </w:r>
          </w:p>
        </w:tc>
      </w:tr>
      <w:tr>
        <w:trPr/>
        <w:tc>
          <w:tcPr>
            <w:tcW w:w="1509" w:type="dxa"/>
            <w:gridSpan w:val="3"/>
            <w:tcBorders/>
            <w:shd w:fill="auto" w:val="clear"/>
            <w:vAlign w:val="center"/>
          </w:tcPr>
          <w:p>
            <w:pPr>
              <w:pStyle w:val="TableContents"/>
              <w:spacing w:before="0" w:after="283"/>
              <w:rPr>
                <w:sz w:val="4"/>
                <w:szCs w:val="4"/>
              </w:rPr>
            </w:pPr>
            <w:r>
              <w:rPr>
                <w:sz w:val="4"/>
                <w:szCs w:val="4"/>
              </w:rPr>
            </w:r>
          </w:p>
        </w:tc>
        <w:tc>
          <w:tcPr>
            <w:tcW w:w="8696" w:type="dxa"/>
            <w:gridSpan w:val="3"/>
            <w:tcBorders/>
            <w:shd w:fill="auto" w:val="clear"/>
            <w:vAlign w:val="center"/>
          </w:tcPr>
          <w:p>
            <w:pPr>
              <w:pStyle w:val="TableContents"/>
              <w:spacing w:before="0" w:after="283"/>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OpCo, LP</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r>
      <w:tr>
        <w:trPr/>
        <w:tc>
          <w:tcPr>
            <w:tcW w:w="15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Finance</w:t>
            </w:r>
          </w:p>
        </w:tc>
        <w:tc>
          <w:tcPr>
            <w:tcW w:w="86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Finance, LLC</w:t>
            </w:r>
          </w:p>
        </w:tc>
      </w:tr>
      <w:tr>
        <w:trPr/>
        <w:tc>
          <w:tcPr>
            <w:tcW w:w="15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6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r>
    </w:tbl>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640"/>
        <w:gridCol w:w="387"/>
        <w:gridCol w:w="391"/>
        <w:gridCol w:w="2730"/>
        <w:gridCol w:w="2508"/>
        <w:gridCol w:w="3549"/>
      </w:tblGrid>
      <w:tr>
        <w:trPr/>
        <w:tc>
          <w:tcPr>
            <w:tcW w:w="64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730" w:type="dxa"/>
            <w:tcBorders/>
            <w:shd w:fill="auto" w:val="clear"/>
            <w:vAlign w:val="center"/>
          </w:tcPr>
          <w:p>
            <w:pPr>
              <w:pStyle w:val="TableContents"/>
              <w:spacing w:before="0" w:after="283"/>
              <w:rPr>
                <w:sz w:val="4"/>
                <w:szCs w:val="4"/>
              </w:rPr>
            </w:pPr>
            <w:r>
              <w:rPr>
                <w:sz w:val="4"/>
                <w:szCs w:val="4"/>
              </w:rPr>
            </w:r>
          </w:p>
        </w:tc>
        <w:tc>
          <w:tcPr>
            <w:tcW w:w="2508" w:type="dxa"/>
            <w:tcBorders/>
            <w:shd w:fill="auto" w:val="clear"/>
            <w:vAlign w:val="center"/>
          </w:tcPr>
          <w:p>
            <w:pPr>
              <w:pStyle w:val="TableContents"/>
              <w:spacing w:before="0" w:after="283"/>
              <w:rPr>
                <w:sz w:val="4"/>
                <w:szCs w:val="4"/>
              </w:rPr>
            </w:pPr>
            <w:r>
              <w:rPr>
                <w:sz w:val="4"/>
                <w:szCs w:val="4"/>
              </w:rPr>
            </w:r>
          </w:p>
        </w:tc>
        <w:tc>
          <w:tcPr>
            <w:tcW w:w="3549" w:type="dxa"/>
            <w:tcBorders/>
            <w:shd w:fill="auto" w:val="clear"/>
            <w:vAlign w:val="center"/>
          </w:tcPr>
          <w:p>
            <w:pPr>
              <w:pStyle w:val="TableContents"/>
              <w:spacing w:before="0" w:after="283"/>
              <w:ind w:left="0" w:right="0" w:hanging="180"/>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Term Loan Facility</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spacing w:before="0" w:after="0"/>
              <w:rPr/>
            </w:pPr>
            <w:r>
              <w:rPr/>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Facilities</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spacing w:before="0" w:after="0"/>
              <w:rPr/>
            </w:pPr>
            <w:r>
              <w:rPr/>
            </w:r>
          </w:p>
        </w:tc>
      </w:tr>
      <w:tr>
        <w:trPr/>
        <w:tc>
          <w:tcPr>
            <w:tcW w:w="1418" w:type="dxa"/>
            <w:gridSpan w:val="3"/>
            <w:tcBorders/>
            <w:shd w:fill="auto" w:val="clear"/>
            <w:vAlign w:val="center"/>
          </w:tcPr>
          <w:p>
            <w:pPr>
              <w:pStyle w:val="TableContents"/>
              <w:spacing w:before="0" w:after="283"/>
              <w:rPr>
                <w:sz w:val="4"/>
                <w:szCs w:val="4"/>
              </w:rPr>
            </w:pPr>
            <w:r>
              <w:rPr>
                <w:sz w:val="4"/>
                <w:szCs w:val="4"/>
              </w:rPr>
            </w:r>
          </w:p>
        </w:tc>
        <w:tc>
          <w:tcPr>
            <w:tcW w:w="8787" w:type="dxa"/>
            <w:gridSpan w:val="3"/>
            <w:tcBorders/>
            <w:shd w:fill="auto" w:val="clear"/>
            <w:vAlign w:val="center"/>
          </w:tcPr>
          <w:p>
            <w:pPr>
              <w:pStyle w:val="TableContents"/>
              <w:spacing w:before="0" w:after="283"/>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water from underground geologic formations that is a by-product of natural gas and crude oil production</w:t>
            </w:r>
          </w:p>
          <w:p>
            <w:pPr>
              <w:pStyle w:val="TableContents"/>
              <w:spacing w:before="0" w:after="0"/>
              <w:ind w:left="0" w:right="0" w:hanging="180"/>
              <w:rPr/>
            </w:pPr>
            <w:r>
              <w:rPr/>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 Company, LLC</w:t>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Third Amended and Restated Credit Agreement dated as of May 26, 2017, as amended by the First Amendment to Third Amended and Restated Credit Agreement dated as of September 22, 2017, the Second Amendment to Third Amended and Restated Credit Agreement dated as of June 26, 2019, the Third Amendment to Third Amended and Restated Credit Agreement dated as of December 24, 2019 and the Fourth Amendment to Third Amended and Restated Credit Agreement dated as of December 18, 2020</w:t>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(iii)depreciation and amortization, (iv) adjustments related to MVC shortfall payments, (v) adjustments related to capital reimbursement activity, (vi) unit-based and noncash compensation, (vii) impairments and (viii) other noncash expenses or losses, less other noncash income or gains</w:t>
            </w:r>
          </w:p>
          <w:p>
            <w:pPr>
              <w:pStyle w:val="TableContents"/>
              <w:spacing w:before="0" w:after="0"/>
              <w:ind w:left="0" w:right="0" w:hanging="180"/>
              <w:rPr/>
            </w:pPr>
            <w:r>
              <w:rPr/>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2025 Senior Notes and the 2026 Secured Notes, collectively</w:t>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w:t>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payment received from a counterparty when its volume throughput does not meet its MVC for the applicable period</w:t>
            </w:r>
          </w:p>
          <w:p>
            <w:pPr>
              <w:pStyle w:val="TableContents"/>
              <w:spacing w:before="0" w:after="0"/>
              <w:ind w:left="0" w:right="0" w:hanging="180"/>
              <w:rPr/>
            </w:pPr>
            <w:r>
              <w:rPr/>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Long-Term Incentive Plan</w:t>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SMP Holdings</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Holdings, LLC, also known as SMPH</w:t>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SMPH Term Loan</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Term Loan Agreement, dated as of March 21, 2017, among SMP Holdings, as borrower, the lenders party thereto and Credit Suisse AG, Cayman Islands Branch, as Administrative Agent and Collateral Agent</w:t>
            </w:r>
          </w:p>
          <w:p>
            <w:pPr>
              <w:pStyle w:val="TableContents"/>
              <w:spacing w:before="0" w:after="0"/>
              <w:ind w:left="0" w:right="0" w:hanging="180"/>
              <w:rPr/>
            </w:pPr>
            <w:r>
              <w:rPr/>
            </w:r>
          </w:p>
        </w:tc>
      </w:tr>
      <w:tr>
        <w:trPr/>
        <w:tc>
          <w:tcPr>
            <w:tcW w:w="1418"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78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r>
      <w:tr>
        <w:trPr/>
        <w:tc>
          <w:tcPr>
            <w:tcW w:w="14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r>
    </w:tbl>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669"/>
        <w:gridCol w:w="509"/>
        <w:gridCol w:w="510"/>
        <w:gridCol w:w="2613"/>
        <w:gridCol w:w="2443"/>
        <w:gridCol w:w="3461"/>
      </w:tblGrid>
      <w:tr>
        <w:trPr/>
        <w:tc>
          <w:tcPr>
            <w:tcW w:w="66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3461" w:type="dxa"/>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51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Marketing</w:t>
            </w:r>
          </w:p>
        </w:tc>
        <w:tc>
          <w:tcPr>
            <w:tcW w:w="851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Marketing, LLC</w:t>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Niobrara</w:t>
            </w:r>
          </w:p>
        </w:tc>
        <w:tc>
          <w:tcPr>
            <w:tcW w:w="851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Niobrara, LLC</w:t>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w:t>
            </w:r>
          </w:p>
        </w:tc>
        <w:tc>
          <w:tcPr>
            <w:tcW w:w="851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LLC</w:t>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II</w:t>
            </w:r>
          </w:p>
        </w:tc>
        <w:tc>
          <w:tcPr>
            <w:tcW w:w="851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II, LLC</w:t>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51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51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w:t>
            </w:r>
          </w:p>
        </w:tc>
        <w:tc>
          <w:tcPr>
            <w:tcW w:w="851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 and its subsidiaries</w:t>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w:t>
            </w:r>
          </w:p>
        </w:tc>
        <w:tc>
          <w:tcPr>
            <w:tcW w:w="851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Fourth Amended and Restated Agreement of Limited Partnership of the Partnership dated May 28, 2020</w:t>
            </w:r>
          </w:p>
          <w:p>
            <w:pPr>
              <w:pStyle w:val="TableContents"/>
              <w:spacing w:before="0" w:after="0"/>
              <w:ind w:left="0" w:right="0" w:hanging="180"/>
              <w:rPr/>
            </w:pPr>
            <w:r>
              <w:rPr/>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51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p>
            <w:pPr>
              <w:pStyle w:val="TableContents"/>
              <w:spacing w:before="0" w:after="0"/>
              <w:ind w:left="0" w:right="0" w:hanging="180"/>
              <w:rPr/>
            </w:pPr>
            <w:r>
              <w:rPr/>
            </w:r>
          </w:p>
        </w:tc>
      </w:tr>
      <w:tr>
        <w:trPr/>
        <w:tc>
          <w:tcPr>
            <w:tcW w:w="1688"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51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p>
            <w:pPr>
              <w:pStyle w:val="TableContents"/>
              <w:spacing w:before="0" w:after="0"/>
              <w:ind w:left="0" w:right="0" w:hanging="180"/>
              <w:rPr/>
            </w:pPr>
            <w:r>
              <w:rPr/>
            </w:r>
          </w:p>
        </w:tc>
      </w:tr>
      <w:tr>
        <w:trPr/>
        <w:tc>
          <w:tcPr>
            <w:tcW w:w="16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51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equipment at the surface of a well, used to control the well's pressure; also, the point at which the hydrocarbons and water exit the ground</w:t>
            </w:r>
          </w:p>
          <w:p>
            <w:pPr>
              <w:pStyle w:val="TableContents"/>
              <w:spacing w:before="0" w:after="0"/>
              <w:ind w:left="0" w:right="0" w:hanging="180"/>
              <w:rPr/>
            </w:pPr>
            <w:r>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BALANCE SHEETS</w:t>
      </w:r>
    </w:p>
    <w:tbl>
      <w:tblPr>
        <w:tblW w:w="10205" w:type="dxa"/>
        <w:jc w:val="left"/>
        <w:tblInd w:w="0" w:type="dxa"/>
        <w:tblCellMar>
          <w:top w:w="28" w:type="dxa"/>
          <w:left w:w="28" w:type="dxa"/>
          <w:bottom w:w="28" w:type="dxa"/>
          <w:right w:w="28" w:type="dxa"/>
        </w:tblCellMar>
      </w:tblPr>
      <w:tblGrid>
        <w:gridCol w:w="2694"/>
        <w:gridCol w:w="2264"/>
        <w:gridCol w:w="2282"/>
        <w:gridCol w:w="211"/>
        <w:gridCol w:w="976"/>
        <w:gridCol w:w="109"/>
        <w:gridCol w:w="109"/>
        <w:gridCol w:w="109"/>
        <w:gridCol w:w="109"/>
        <w:gridCol w:w="211"/>
        <w:gridCol w:w="976"/>
        <w:gridCol w:w="155"/>
      </w:tblGrid>
      <w:tr>
        <w:trPr/>
        <w:tc>
          <w:tcPr>
            <w:tcW w:w="2694"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amounts)</w:t>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2,559,964 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issuance costs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environmental remediation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1,676,562 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val="false"/>
                <w:color w:val="000000"/>
                <w:sz w:val="20"/>
              </w:rPr>
              <w:t>Commitments and contingencies (Note</w:t>
            </w:r>
            <w:r>
              <w:rPr>
                <w:color w:val="000000"/>
              </w:rPr>
              <w:t xml:space="preserve"> </w:t>
            </w:r>
            <w:r>
              <w:rPr>
                <w:rFonts w:ascii="Times New Roman;sans-serif" w:hAnsi="Times New Roman;sans-serif"/>
                <w:b w:val="false"/>
                <w:color w:val="000000"/>
                <w:sz w:val="20"/>
              </w:rPr>
              <w:t>14)</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Mezzanine Capital</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 (93,039 units issued and outstanding at March 31, 2023 and December 31, 2022)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 (65,508 units issued and outstanding at March 31, 2023 and December 31, 2022)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limited partner capital (10,354,658 and 10,182,763 units issued and outstanding at March 31,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679,491 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2,559,964 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OPERATIONS</w:t>
      </w:r>
    </w:p>
    <w:tbl>
      <w:tblPr>
        <w:tblW w:w="9610" w:type="dxa"/>
        <w:jc w:val="left"/>
        <w:tblInd w:w="0" w:type="dxa"/>
        <w:tblCellMar>
          <w:top w:w="28" w:type="dxa"/>
          <w:left w:w="28" w:type="dxa"/>
          <w:bottom w:w="28" w:type="dxa"/>
          <w:right w:w="28" w:type="dxa"/>
        </w:tblCellMar>
      </w:tblPr>
      <w:tblGrid>
        <w:gridCol w:w="2020"/>
        <w:gridCol w:w="1775"/>
        <w:gridCol w:w="1785"/>
        <w:gridCol w:w="109"/>
        <w:gridCol w:w="109"/>
        <w:gridCol w:w="196"/>
        <w:gridCol w:w="196"/>
        <w:gridCol w:w="379"/>
        <w:gridCol w:w="1432"/>
        <w:gridCol w:w="196"/>
        <w:gridCol w:w="109"/>
        <w:gridCol w:w="109"/>
        <w:gridCol w:w="109"/>
        <w:gridCol w:w="211"/>
        <w:gridCol w:w="721"/>
        <w:gridCol w:w="154"/>
      </w:tblGrid>
      <w:tr>
        <w:trPr/>
        <w:tc>
          <w:tcPr>
            <w:tcW w:w="202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method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Summit Midstream Partners, LP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deemed contribution from 2022 Preferred Exchange Offer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limited partners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limited partner unit: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limited partner units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PARTNERS' CAPITAL</w:t>
      </w:r>
    </w:p>
    <w:tbl>
      <w:tblPr>
        <w:tblW w:w="10205" w:type="dxa"/>
        <w:jc w:val="left"/>
        <w:tblInd w:w="0" w:type="dxa"/>
        <w:tblCellMar>
          <w:top w:w="28" w:type="dxa"/>
          <w:left w:w="28" w:type="dxa"/>
          <w:bottom w:w="28" w:type="dxa"/>
          <w:right w:w="28" w:type="dxa"/>
        </w:tblCellMar>
      </w:tblPr>
      <w:tblGrid>
        <w:gridCol w:w="1631"/>
        <w:gridCol w:w="1318"/>
        <w:gridCol w:w="1327"/>
        <w:gridCol w:w="109"/>
        <w:gridCol w:w="109"/>
        <w:gridCol w:w="114"/>
        <w:gridCol w:w="114"/>
        <w:gridCol w:w="315"/>
        <w:gridCol w:w="1079"/>
        <w:gridCol w:w="162"/>
        <w:gridCol w:w="109"/>
        <w:gridCol w:w="109"/>
        <w:gridCol w:w="109"/>
        <w:gridCol w:w="382"/>
        <w:gridCol w:w="1498"/>
        <w:gridCol w:w="197"/>
        <w:gridCol w:w="109"/>
        <w:gridCol w:w="109"/>
        <w:gridCol w:w="109"/>
        <w:gridCol w:w="211"/>
        <w:gridCol w:w="826"/>
        <w:gridCol w:w="159"/>
      </w:tblGrid>
      <w:tr>
        <w:trPr/>
        <w:tc>
          <w:tcPr>
            <w:tcW w:w="1631"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6"/>
            <w:tcBorders/>
            <w:shd w:fill="auto" w:val="clear"/>
          </w:tcPr>
          <w:p>
            <w:pPr>
              <w:pStyle w:val="TableContents"/>
              <w:spacing w:before="0" w:after="283"/>
              <w:rPr>
                <w:sz w:val="4"/>
                <w:szCs w:val="4"/>
              </w:rPr>
            </w:pPr>
            <w:r>
              <w:rPr>
                <w:sz w:val="4"/>
                <w:szCs w:val="4"/>
              </w:rPr>
            </w:r>
          </w:p>
        </w:tc>
      </w:tr>
      <w:tr>
        <w:trPr/>
        <w:tc>
          <w:tcPr>
            <w:tcW w:w="4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548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679,491 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764,818 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2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tbl>
      <w:tblPr>
        <w:tblW w:w="10205" w:type="dxa"/>
        <w:jc w:val="left"/>
        <w:tblInd w:w="0" w:type="dxa"/>
        <w:tblCellMar>
          <w:top w:w="28" w:type="dxa"/>
          <w:left w:w="28" w:type="dxa"/>
          <w:bottom w:w="28" w:type="dxa"/>
          <w:right w:w="28" w:type="dxa"/>
        </w:tblCellMar>
      </w:tblPr>
      <w:tblGrid>
        <w:gridCol w:w="1863"/>
        <w:gridCol w:w="1449"/>
        <w:gridCol w:w="1459"/>
        <w:gridCol w:w="109"/>
        <w:gridCol w:w="109"/>
        <w:gridCol w:w="109"/>
        <w:gridCol w:w="109"/>
        <w:gridCol w:w="262"/>
        <w:gridCol w:w="1027"/>
        <w:gridCol w:w="135"/>
        <w:gridCol w:w="109"/>
        <w:gridCol w:w="109"/>
        <w:gridCol w:w="109"/>
        <w:gridCol w:w="317"/>
        <w:gridCol w:w="1244"/>
        <w:gridCol w:w="163"/>
        <w:gridCol w:w="109"/>
        <w:gridCol w:w="109"/>
        <w:gridCol w:w="109"/>
        <w:gridCol w:w="211"/>
        <w:gridCol w:w="826"/>
        <w:gridCol w:w="159"/>
      </w:tblGrid>
      <w:tr>
        <w:trPr/>
        <w:tc>
          <w:tcPr>
            <w:tcW w:w="1863"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3" w:type="dxa"/>
            <w:gridSpan w:val="6"/>
            <w:tcBorders/>
            <w:shd w:fill="auto" w:val="clear"/>
          </w:tcPr>
          <w:p>
            <w:pPr>
              <w:pStyle w:val="TableContents"/>
              <w:spacing w:before="0" w:after="283"/>
              <w:rPr>
                <w:sz w:val="4"/>
                <w:szCs w:val="4"/>
              </w:rPr>
            </w:pPr>
            <w:r>
              <w:rPr>
                <w:sz w:val="4"/>
                <w:szCs w:val="4"/>
              </w:rPr>
            </w:r>
          </w:p>
        </w:tc>
      </w:tr>
      <w:tr>
        <w:trPr/>
        <w:tc>
          <w:tcPr>
            <w:tcW w:w="4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7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169,769 </w:t>
            </w:r>
          </w:p>
        </w:tc>
        <w:tc>
          <w:tcPr>
            <w:tcW w:w="13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734,594 </w:t>
            </w:r>
          </w:p>
        </w:tc>
        <w:tc>
          <w:tcPr>
            <w:tcW w:w="1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904,363 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on 2022 Preferred Exchange Offer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2022 Preferred Exchange Offer, inclusive of a $20.9 million deemed contribution to common unit holders (Note 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(92,587)</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4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w:t>
      </w:r>
    </w:p>
    <w:tbl>
      <w:tblPr>
        <w:tblW w:w="8157" w:type="dxa"/>
        <w:jc w:val="left"/>
        <w:tblInd w:w="0" w:type="dxa"/>
        <w:tblCellMar>
          <w:top w:w="28" w:type="dxa"/>
          <w:left w:w="28" w:type="dxa"/>
          <w:bottom w:w="28" w:type="dxa"/>
          <w:right w:w="28" w:type="dxa"/>
        </w:tblCellMar>
      </w:tblPr>
      <w:tblGrid>
        <w:gridCol w:w="2069"/>
        <w:gridCol w:w="1820"/>
        <w:gridCol w:w="1826"/>
        <w:gridCol w:w="204"/>
        <w:gridCol w:w="750"/>
        <w:gridCol w:w="113"/>
        <w:gridCol w:w="113"/>
        <w:gridCol w:w="113"/>
        <w:gridCol w:w="113"/>
        <w:gridCol w:w="204"/>
        <w:gridCol w:w="672"/>
        <w:gridCol w:w="160"/>
      </w:tblGrid>
      <w:tr>
        <w:trPr/>
        <w:tc>
          <w:tcPr>
            <w:tcW w:w="2069"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182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loss </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reconcile net loss to net cash provided by operating activities:</w:t>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30,679 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and noncash compensation</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investees</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equity method investees</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asset sales, net</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gain</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interest rate swaps</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Long-lived asset impairment</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Changes in operating assets and liabilities:</w:t>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net</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 valorem taxes payable</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environmental remediation, net</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asset sale</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Double E equity method investee</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Permian Transmission Term Loan</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(2,519)</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ABL Facility</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(34,000)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on Subsidiary Series A Preferred Units</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 ORGANIZATION, BUSINESS OPERATIONS AND PRESENTATION AND CONSOLIDATION</w:t>
      </w:r>
    </w:p>
    <w:p>
      <w:pPr>
        <w:pStyle w:val="TextBody"/>
        <w:spacing w:lineRule="auto" w:line="288" w:before="120" w:after="283"/>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Summit Midstream Partners, LP (including its subsidiaries, collectively “SMLP” or the “Partnership”) is a Delaware limited partnership that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pStyle w:val="TextBody"/>
        <w:spacing w:lineRule="auto" w:line="288" w:before="120" w:after="283"/>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Partnership provides natural gas gathering, compression, treating and processing services as well as crude oil and produced 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pStyle w:val="TextBody"/>
        <w:spacing w:lineRule="auto" w:line="288" w:before="120" w:after="283"/>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Partnership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contained in this report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PARTNERSHIP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Partnership’s significant accounting policies since December 31, 2022.</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Accounting standards recently implemented.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ASU No. 2020-4 Reference Rate Reform (“ASU 2020-4”). ASU 2020-4 provides optional expedients and exceptions for applying GAAP to contracts, hedging relationships and other transactions affected by reference rate reform on financial reporting. The amendments in ASU 2020-4 are effective as of March 12, 2020 through December 31, 2022. The Partnership does not expect the provisions of ASU 2020-4 will have a material impact on its consolidated financial statements and disclosures.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New accounting standards not yet implemented.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ASU No. 2020-6 Debt – Debt with Conversion and Other Options (Subtopic 470-20) and Derivatives and Hedging – Contracts in Entity’s Own Equity (Subtopic 815–40)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Partnership does not expect the provisions of ASU 2020-6 will have a material impact on its consolidated financial statements and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spacing w:lineRule="auto" w:line="288" w:before="120" w:after="283"/>
        <w:rPr/>
      </w:pPr>
      <w:r>
        <w:rPr>
          <w:rFonts w:ascii="Times New Roman;sans-serif" w:hAnsi="Times New Roman;sans-serif"/>
          <w:b/>
          <w:i/>
          <w:color w:val="000000"/>
          <w:sz w:val="20"/>
        </w:rPr>
        <w:t xml:space="preserve">Acquisition of Outrigger DJ. </w:t>
      </w:r>
      <w:r>
        <w:rPr>
          <w:rFonts w:ascii="Times New Roman;sans-serif" w:hAnsi="Times New Roman;sans-serif"/>
          <w:b w:val="false"/>
          <w:color w:val="000000"/>
          <w:sz w:val="20"/>
        </w:rPr>
        <w:t>On December 1, 2022, the Partnership completed the acquisition of 100% of the equity interests of Outrigger DJ Midstream LLC (“Outrigger DJ”) from Outrigger Energy II LLC for cash consideration of $165.0 million, subject to customary working capital adjustments. The acquisition of Outrigger DJ constituted a business combination and was accounted for using the acquisition method of accounting. For tax purposes, the acquisition was accounted for as an acquisition of assets. The acquisition significantly increased the Partnership’s gas processing capacity and footprint in the DJ Basin and diversified its customer base.</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 material changes were made during three months ended March 31, 2023 to the provisional purchase accounting measurements initially recorded in December 2022 for the Outrigger DJ acquisition. The provisional measurements are subject to change during the measurement period and such changes could be material. The Partnership continues to assess the fair values of the assets acquired and liabilities assumed. Certain data and assessments necessary to complete the purchase price allocation are still under evaluation, including, but not limited to, the final actualization of accrued liabilities and receivable balances and the valuation of property, plant and equipment and intangible assets. The Partnership will finalize the purchase price allocation during the twelve-month period following the acquisition date, during which time the value of the assets and liabilities may be revised as appropriate.</w:t>
      </w:r>
    </w:p>
    <w:p>
      <w:pPr>
        <w:pStyle w:val="TextBody"/>
        <w:spacing w:lineRule="auto" w:line="288" w:before="120" w:after="283"/>
        <w:rPr/>
      </w:pPr>
      <w:r>
        <w:rPr>
          <w:rFonts w:ascii="Times New Roman;sans-serif" w:hAnsi="Times New Roman;sans-serif"/>
          <w:b/>
          <w:i/>
          <w:color w:val="000000"/>
          <w:sz w:val="20"/>
        </w:rPr>
        <w:t xml:space="preserve">Acquisition of Sterling DJ. </w:t>
      </w:r>
      <w:r>
        <w:rPr>
          <w:rFonts w:ascii="Times New Roman;sans-serif" w:hAnsi="Times New Roman;sans-serif"/>
          <w:b w:val="false"/>
          <w:color w:val="000000"/>
          <w:sz w:val="20"/>
        </w:rPr>
        <w:t>On December 1, 2022, the Partnership completed the acquisition of 100% of the equity interests in each of Sterling Energy Investments LLC, Grasslands Energy Marketing LLC and Centennial Water Pipelines LLC (collectively, “Sterling DJ”) from Sterling Investment Holdings LLC for cash consideration of $140.0 million, subject to customary working capital adjustments. The acquisition of Sterling DJ constituted a business combination and was accounted for using the acquisition method of accounting. For tax purposes, the acquisition was accounted for as an acquisition of assets. The acquisition significantly increased the Partnership’s gas processing capacity and footprint in the DJ Basin and diversified its customer base.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 material changes were made during three months ended March 31, 2023 to the provisional purchase accounting measurements initially recorded in December 2022 for the Sterling DJ acquisition. The provisional measurements are subject to change during the measurement period and such changes could be material. The Partnership continues to assess the fair values of the assets acquired and liabilities assumed. Certain data and assessments necessary to complete the purchase price allocation are still under evaluation, including, but not limited to, the final actualization of accrued liabilities and receivable balances and the valuation of property, plant and equipment and intangible assets. The Partnership will finalize the purchase price allocation during the twelve-month period following the acquisition date, during which time the value of the assets and liabilities may be revised as appropriate.</w:t>
      </w:r>
    </w:p>
    <w:p>
      <w:pPr>
        <w:pStyle w:val="TextBody"/>
        <w:spacing w:lineRule="auto" w:line="288" w:before="120" w:after="283"/>
        <w:rPr/>
      </w:pPr>
      <w:r>
        <w:rPr>
          <w:rFonts w:ascii="Times New Roman;sans-serif" w:hAnsi="Times New Roman;sans-serif"/>
          <w:b/>
          <w:i/>
          <w:color w:val="000000"/>
          <w:sz w:val="20"/>
        </w:rPr>
        <w:t>Divestiture of Lane G&amp;P System.</w:t>
      </w:r>
      <w:r>
        <w:rPr>
          <w:color w:val="000000"/>
        </w:rPr>
        <w:t xml:space="preserve"> </w:t>
      </w:r>
      <w:r>
        <w:rPr>
          <w:rFonts w:ascii="Times New Roman;sans-serif" w:hAnsi="Times New Roman;sans-serif"/>
          <w:b w:val="false"/>
          <w:color w:val="000000"/>
          <w:sz w:val="20"/>
        </w:rPr>
        <w:t>On June 30, 2022, the Partnership completed the sale of Summit Permian, which owns the Lane Gathering and Processing System (“Lane G&amp;P System”), and Permian Finance to Longwood Gathering and Disposal Systems, LP (“Longwood”), a wholly owned subsidiary of Matador ͏Resources Company (“Matador”), for a cash sale price of $75.0 million, subject to customary working capital adjustments. In connection with the transaction, the Partnership released, to a subsidiary of Matador, and Matador agreed to assume, take or-pay firm capacity on the Double E Pipeline.</w:t>
      </w:r>
    </w:p>
    <w:p>
      <w:pPr>
        <w:pStyle w:val="TextBody"/>
        <w:spacing w:lineRule="auto" w:line="288" w:before="120" w:after="283"/>
        <w:rPr/>
      </w:pPr>
      <w:r>
        <w:rPr>
          <w:rFonts w:ascii="Times New Roman;sans-serif" w:hAnsi="Times New Roman;sans-serif"/>
          <w:b/>
          <w:i/>
          <w:color w:val="000000"/>
          <w:sz w:val="20"/>
        </w:rPr>
        <w:t xml:space="preserve">Divestiture of Bison Midstream. </w:t>
      </w:r>
      <w:r>
        <w:rPr>
          <w:rFonts w:ascii="Times New Roman;sans-serif" w:hAnsi="Times New Roman;sans-serif"/>
          <w:b w:val="false"/>
          <w:color w:val="000000"/>
          <w:sz w:val="20"/>
        </w:rPr>
        <w:t>On September 19, 2022, the Partnership completed the sale of Bison Midstream, LLC (“Bison Midstream”), its gas gathering system in Burke and Mountrail Counties, North Dakota to a subsidiary of Steel Reef Infrastructure Corp. (“Steel Reef”), an integrated owner and operator of associated gas capture, gathering and processing assets in North Dakota and Saskatchewan, for cash consideration of $40.0 million.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Pro Forma Information (Unaudited)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condensed results of operations for the three months ended March 31, 2022 present consolidated information as though the acquisition of Sterling DJ and Outrigger DJ, and the divestiture of the Lane G&amp;P System and Bison Midstream had occurred on January 1, 2021. The unaudited supplemental pro forma financial information was derived from the historical consolidated and combined statements of operations of the Partnership, Sterling DJ, and Outrigger DJ and modified to include required conforming adjustments. These unaudited supplemental pro forma results of operations are provided for illustrative purposes only and do not purport to be indicative of the actual results that would have been achieved by the combined entities for the periods presented or that may be achieved in the future. Future results may vary significantly from the results reflected in this unaudited pro forma financial information:</w:t>
      </w:r>
    </w:p>
    <w:tbl>
      <w:tblPr>
        <w:tblW w:w="3187" w:type="dxa"/>
        <w:jc w:val="left"/>
        <w:tblInd w:w="0" w:type="dxa"/>
        <w:tblCellMar>
          <w:top w:w="28" w:type="dxa"/>
          <w:left w:w="28" w:type="dxa"/>
          <w:bottom w:w="28" w:type="dxa"/>
          <w:right w:w="28" w:type="dxa"/>
        </w:tblCellMar>
      </w:tblPr>
      <w:tblGrid>
        <w:gridCol w:w="380"/>
        <w:gridCol w:w="333"/>
        <w:gridCol w:w="336"/>
        <w:gridCol w:w="345"/>
        <w:gridCol w:w="1352"/>
        <w:gridCol w:w="178"/>
        <w:gridCol w:w="109"/>
        <w:gridCol w:w="154"/>
      </w:tblGrid>
      <w:tr>
        <w:trPr/>
        <w:tc>
          <w:tcPr>
            <w:tcW w:w="38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expected to be recognized during the remainder of 2023 and over the remaining contract period related to performance obligations that are unsatisfied and are comprised of estimated minimum volume commitments.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900"/>
        <w:gridCol w:w="791"/>
        <w:gridCol w:w="79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90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4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Revenue by category.</w:t>
      </w:r>
      <w:r>
        <w:rPr>
          <w:color w:val="000000"/>
        </w:rPr>
        <w:t> </w:t>
      </w:r>
      <w:r>
        <w:rPr>
          <w:rFonts w:ascii="Times New Roman;sans-serif" w:hAnsi="Times New Roman;sans-serif"/>
          <w:b w:val="false"/>
          <w:color w:val="000000"/>
          <w:sz w:val="20"/>
        </w:rPr>
        <w:t>In the following tables, revenue is disaggregated by geographic area and major products and services. For more detailed information about reportable segments, see Note 15 – Segment Information.</w:t>
      </w:r>
    </w:p>
    <w:tbl>
      <w:tblPr>
        <w:tblW w:w="10205" w:type="dxa"/>
        <w:jc w:val="left"/>
        <w:tblInd w:w="0" w:type="dxa"/>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25"/>
        <w:gridCol w:w="637"/>
        <w:gridCol w:w="640"/>
        <w:gridCol w:w="474"/>
        <w:gridCol w:w="1620"/>
        <w:gridCol w:w="244"/>
        <w:gridCol w:w="109"/>
        <w:gridCol w:w="109"/>
        <w:gridCol w:w="109"/>
        <w:gridCol w:w="533"/>
        <w:gridCol w:w="1823"/>
        <w:gridCol w:w="275"/>
        <w:gridCol w:w="109"/>
        <w:gridCol w:w="109"/>
        <w:gridCol w:w="109"/>
        <w:gridCol w:w="262"/>
        <w:gridCol w:w="765"/>
        <w:gridCol w:w="134"/>
        <w:gridCol w:w="109"/>
        <w:gridCol w:w="109"/>
        <w:gridCol w:w="109"/>
        <w:gridCol w:w="211"/>
        <w:gridCol w:w="721"/>
        <w:gridCol w:w="160"/>
      </w:tblGrid>
      <w:tr>
        <w:trPr/>
        <w:tc>
          <w:tcPr>
            <w:tcW w:w="72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17,789 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20,071 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Details on the Partnership’s property, plant and equipment follow.</w:t>
      </w:r>
    </w:p>
    <w:tbl>
      <w:tblPr>
        <w:tblW w:w="7893" w:type="dxa"/>
        <w:jc w:val="left"/>
        <w:tblInd w:w="0" w:type="dxa"/>
        <w:tblCellMar>
          <w:top w:w="28" w:type="dxa"/>
          <w:left w:w="28" w:type="dxa"/>
          <w:bottom w:w="28" w:type="dxa"/>
          <w:right w:w="28" w:type="dxa"/>
        </w:tblCellMar>
      </w:tblPr>
      <w:tblGrid>
        <w:gridCol w:w="1712"/>
        <w:gridCol w:w="1502"/>
        <w:gridCol w:w="1511"/>
        <w:gridCol w:w="211"/>
        <w:gridCol w:w="976"/>
        <w:gridCol w:w="109"/>
        <w:gridCol w:w="109"/>
        <w:gridCol w:w="109"/>
        <w:gridCol w:w="109"/>
        <w:gridCol w:w="243"/>
        <w:gridCol w:w="1125"/>
        <w:gridCol w:w="177"/>
      </w:tblGrid>
      <w:tr>
        <w:trPr/>
        <w:tc>
          <w:tcPr>
            <w:tcW w:w="1712"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2,262,330 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2,395,344 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(676,590)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1,718,754 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Partnership follow.</w:t>
      </w:r>
    </w:p>
    <w:tbl>
      <w:tblPr>
        <w:tblW w:w="4765" w:type="dxa"/>
        <w:jc w:val="left"/>
        <w:tblInd w:w="0" w:type="dxa"/>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09"/>
        <w:gridCol w:w="109"/>
        <w:gridCol w:w="109"/>
        <w:gridCol w:w="109"/>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EQUITY METHOD INVESTMENTS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has equity method investments in Double E and Ohio Gathering, the balances of which are included in the Investment in equity method investees caption on the unaudited condensed consolidated balance sheets. Details of the Partnership’s equity method investments follow.</w:t>
      </w:r>
    </w:p>
    <w:tbl>
      <w:tblPr>
        <w:tblW w:w="4509" w:type="dxa"/>
        <w:jc w:val="left"/>
        <w:tblInd w:w="0" w:type="dxa"/>
        <w:tblCellMar>
          <w:top w:w="28" w:type="dxa"/>
          <w:left w:w="28" w:type="dxa"/>
          <w:bottom w:w="28" w:type="dxa"/>
          <w:right w:w="28" w:type="dxa"/>
        </w:tblCellMar>
      </w:tblPr>
      <w:tblGrid>
        <w:gridCol w:w="499"/>
        <w:gridCol w:w="437"/>
        <w:gridCol w:w="443"/>
        <w:gridCol w:w="232"/>
        <w:gridCol w:w="908"/>
        <w:gridCol w:w="119"/>
        <w:gridCol w:w="109"/>
        <w:gridCol w:w="109"/>
        <w:gridCol w:w="109"/>
        <w:gridCol w:w="273"/>
        <w:gridCol w:w="1072"/>
        <w:gridCol w:w="199"/>
      </w:tblGrid>
      <w:tr>
        <w:trPr/>
        <w:tc>
          <w:tcPr>
            <w:tcW w:w="49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281,640 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222,521 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225,037 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506,677 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7. DEFERRED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Partnership’s gas gathering agreements contain provisions that can reduce or delay the cash flows that it expects to receive from MVCs to the extent that a customer's actual throughput volumes are above or below its MVC for the applicable contracted measurement period.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March 31, 2023 and December 31, 2022 are primarily related to contributions in aid of construction which will be recognized as revenue over the life of the contract.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 update of current deferred revenue follows.</w:t>
      </w:r>
    </w:p>
    <w:tbl>
      <w:tblPr>
        <w:tblW w:w="5174" w:type="dxa"/>
        <w:jc w:val="left"/>
        <w:tblInd w:w="0" w:type="dxa"/>
        <w:tblCellMar>
          <w:top w:w="28" w:type="dxa"/>
          <w:left w:w="28" w:type="dxa"/>
          <w:bottom w:w="28" w:type="dxa"/>
          <w:right w:w="28" w:type="dxa"/>
        </w:tblCellMar>
      </w:tblPr>
      <w:tblGrid>
        <w:gridCol w:w="1442"/>
        <w:gridCol w:w="1271"/>
        <w:gridCol w:w="1276"/>
        <w:gridCol w:w="255"/>
        <w:gridCol w:w="744"/>
        <w:gridCol w:w="186"/>
      </w:tblGrid>
      <w:tr>
        <w:trPr/>
        <w:tc>
          <w:tcPr>
            <w:tcW w:w="1442"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2022</w:t>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and other</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March 31, 2023</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 update of noncurrent deferred revenue follows.</w:t>
      </w:r>
    </w:p>
    <w:tbl>
      <w:tblPr>
        <w:tblW w:w="6030" w:type="dxa"/>
        <w:jc w:val="left"/>
        <w:tblInd w:w="0" w:type="dxa"/>
        <w:tblCellMar>
          <w:top w:w="28" w:type="dxa"/>
          <w:left w:w="28" w:type="dxa"/>
          <w:bottom w:w="28" w:type="dxa"/>
          <w:right w:w="28" w:type="dxa"/>
        </w:tblCellMar>
      </w:tblPr>
      <w:tblGrid>
        <w:gridCol w:w="1755"/>
        <w:gridCol w:w="1543"/>
        <w:gridCol w:w="1547"/>
        <w:gridCol w:w="230"/>
        <w:gridCol w:w="787"/>
        <w:gridCol w:w="168"/>
      </w:tblGrid>
      <w:tr>
        <w:trPr/>
        <w:tc>
          <w:tcPr>
            <w:tcW w:w="1755"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2022</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March 31, 2023</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Debt for the Partnership at March 31, 2023 and December 31, 2022, follows:</w:t>
      </w:r>
    </w:p>
    <w:tbl>
      <w:tblPr>
        <w:tblW w:w="10205" w:type="dxa"/>
        <w:jc w:val="left"/>
        <w:tblInd w:w="0" w:type="dxa"/>
        <w:tblCellMar>
          <w:top w:w="28" w:type="dxa"/>
          <w:left w:w="28" w:type="dxa"/>
          <w:bottom w:w="28" w:type="dxa"/>
          <w:right w:w="28" w:type="dxa"/>
        </w:tblCellMar>
      </w:tblPr>
      <w:tblGrid>
        <w:gridCol w:w="2554"/>
        <w:gridCol w:w="2141"/>
        <w:gridCol w:w="2148"/>
        <w:gridCol w:w="226"/>
        <w:gridCol w:w="1051"/>
        <w:gridCol w:w="117"/>
        <w:gridCol w:w="109"/>
        <w:gridCol w:w="109"/>
        <w:gridCol w:w="109"/>
        <w:gridCol w:w="257"/>
        <w:gridCol w:w="1192"/>
        <w:gridCol w:w="192"/>
      </w:tblGrid>
      <w:tr>
        <w:trPr/>
        <w:tc>
          <w:tcPr>
            <w:tcW w:w="2554"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6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843"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1" w:type="dxa"/>
            <w:gridSpan w:val="3"/>
            <w:tcBorders/>
            <w:shd w:fill="auto" w:val="clear"/>
            <w:vAlign w:val="center"/>
          </w:tcPr>
          <w:p>
            <w:pPr>
              <w:pStyle w:val="TableContents"/>
              <w:spacing w:before="0" w:after="283"/>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ABL Facility</w:t>
            </w:r>
            <w:r>
              <w:rPr>
                <w:rFonts w:ascii="Times New Roman;sans-serif" w:hAnsi="Times New Roman;sans-serif"/>
                <w:b w:val="false"/>
                <w:color w:val="000000"/>
                <w:sz w:val="20"/>
              </w:rPr>
              <w:t>: Summit Holdings' asset based credit facility due May 1, 2026</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3"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1" w:type="dxa"/>
            <w:gridSpan w:val="3"/>
            <w:tcBorders/>
            <w:shd w:fill="auto" w:val="clear"/>
            <w:vAlign w:val="center"/>
          </w:tcPr>
          <w:p>
            <w:pPr>
              <w:pStyle w:val="TableContents"/>
              <w:spacing w:before="0" w:after="283"/>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Permian Transmission Term Loan</w:t>
            </w:r>
            <w:r>
              <w:rPr>
                <w:rFonts w:ascii="Times New Roman;sans-serif" w:hAnsi="Times New Roman;sans-serif"/>
                <w:b w:val="false"/>
                <w:color w:val="000000"/>
                <w:sz w:val="20"/>
              </w:rPr>
              <w:t>: Permian Transmission's variable rate senior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secured term loan due January 2028</w:t>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155,353 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3"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1" w:type="dxa"/>
            <w:gridSpan w:val="3"/>
            <w:tcBorders/>
            <w:shd w:fill="auto" w:val="clear"/>
            <w:vAlign w:val="center"/>
          </w:tcPr>
          <w:p>
            <w:pPr>
              <w:pStyle w:val="TableContents"/>
              <w:spacing w:before="0" w:after="283"/>
              <w:rPr>
                <w:sz w:val="4"/>
                <w:szCs w:val="4"/>
              </w:rPr>
            </w:pPr>
            <w:r>
              <w:rPr>
                <w:sz w:val="4"/>
                <w:szCs w:val="4"/>
              </w:rPr>
            </w:r>
          </w:p>
        </w:tc>
      </w:tr>
      <w:tr>
        <w:trPr/>
        <w:tc>
          <w:tcPr>
            <w:tcW w:w="6843"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1" w:type="dxa"/>
            <w:gridSpan w:val="3"/>
            <w:tcBorders/>
            <w:shd w:fill="auto" w:val="clear"/>
            <w:vAlign w:val="center"/>
          </w:tcPr>
          <w:p>
            <w:pPr>
              <w:pStyle w:val="TableContents"/>
              <w:spacing w:before="0" w:after="283"/>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2025 Senior Notes</w:t>
            </w:r>
            <w:r>
              <w:rPr>
                <w:rFonts w:ascii="Times New Roman;sans-serif" w:hAnsi="Times New Roman;sans-serif"/>
                <w:b w:val="false"/>
                <w:color w:val="000000"/>
                <w:sz w:val="20"/>
              </w:rPr>
              <w:t>: Summit Holdings' 5.75% senior unsecured notes due April 15, 2025</w:t>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3"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1" w:type="dxa"/>
            <w:gridSpan w:val="3"/>
            <w:tcBorders/>
            <w:shd w:fill="auto" w:val="clear"/>
            <w:vAlign w:val="center"/>
          </w:tcPr>
          <w:p>
            <w:pPr>
              <w:pStyle w:val="TableContents"/>
              <w:spacing w:before="0" w:after="283"/>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2026 Secured Notes</w:t>
            </w:r>
            <w:r>
              <w:rPr>
                <w:rFonts w:ascii="Times New Roman;sans-serif" w:hAnsi="Times New Roman;sans-serif"/>
                <w:b w:val="false"/>
                <w:color w:val="000000"/>
                <w:sz w:val="20"/>
              </w:rPr>
              <w:t>: Summit Holdings' and Finance Corp's 8.50% senior second lien notes due October 15, 2026</w:t>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debt issuance costs </w:t>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(36,959)</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(39,454)</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1,490,362 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Permian Transmission Credit Facility</w:t>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1,465,555 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1,479,855 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 xml:space="preserve">ABL Facility. </w:t>
      </w:r>
      <w:r>
        <w:rPr>
          <w:rFonts w:ascii="Times New Roman;sans-serif" w:hAnsi="Times New Roman;sans-serif"/>
          <w:b w:val="false"/>
          <w:color w:val="000000"/>
          <w:sz w:val="20"/>
        </w:rPr>
        <w:t>On November 2, 2021, the Partnership, the Partnership’s subsidiary, Summit Holdings, and the subsidiaries of Summit Holdings party thereto entered into a first-lien, 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March 31, 2023, the most recent borrowing base determination of eligible assets totaled $560.0 million, an amount greater than the $400.0 million of aggregate commitments.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 million,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 (ii) 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applicable margin under the adjusted LIBOR borrowings was 3.50%, the interest rate was 8.42% and the available borrowing capacity of the ABL Facility totaled $78.7 million after giving effect to the issuance of $4.3 million in outstanding but undrawn irrevocable standby letters of credit.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March 31, 2023, the First Lien Net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Leverage Ratio was 1.24:1.00 and the Interest Coverage Ratio was 2.37:1.00 As of March 31, 2023, the Partnership was in compliance with the financial covenants of the ABL Facility. </w:t>
      </w:r>
    </w:p>
    <w:p>
      <w:pPr>
        <w:pStyle w:val="TextBody"/>
        <w:spacing w:lineRule="auto" w:line="288" w:before="120" w:after="283"/>
        <w:rPr/>
      </w:pPr>
      <w:r>
        <w:rPr>
          <w:rFonts w:ascii="Times New Roman;sans-serif" w:hAnsi="Times New Roman;sans-serif"/>
          <w:b/>
          <w:i/>
          <w:color w:val="000000"/>
          <w:sz w:val="20"/>
        </w:rPr>
        <w:t>Permian Transmission Credit Facility.</w:t>
      </w:r>
      <w:r>
        <w:rPr>
          <w:color w:val="000000"/>
        </w:rPr>
        <w:t xml:space="preserve"> </w:t>
      </w:r>
      <w:r>
        <w:rPr>
          <w:rFonts w:ascii="Times New Roman;sans-serif" w:hAnsi="Times New Roman;sans-serif"/>
          <w:b w:val="false"/>
          <w:color w:val="000000"/>
          <w:sz w:val="20"/>
        </w:rPr>
        <w:t>On March 8, 2021, the Partnership’s unrestricted subsidiary,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applicable margin under adjusted LIBOR borrowings was 2.375%, the interest rate was 6.76% and the unused portion of the Permian Transmission Credit Facilities totaled $4.5 million, subject to a commitment fee of 0.7% after giving effect to the issuance of $10.5 million in outstanding but undrawn irrevocable standby letters of credit. Summit Permian Transmission, LLC entered into interest rate hedges with notional amounts representing approximately 90% of the Permian Term Loan facility at a fixed LIBOR rate of 1.49%. As of March 31, 2023, the Partnership was in compliance with the financial covenants of the Permian Transmission Credit Facilities. </w:t>
      </w:r>
    </w:p>
    <w:p>
      <w:pPr>
        <w:pStyle w:val="TextBody"/>
        <w:spacing w:lineRule="auto" w:line="288" w:before="120" w:after="283"/>
        <w:rPr/>
      </w:pPr>
      <w:r>
        <w:rPr>
          <w:rFonts w:ascii="Times New Roman;sans-serif" w:hAnsi="Times New Roman;sans-serif"/>
          <w:b/>
          <w:i/>
          <w:color w:val="000000"/>
          <w:sz w:val="20"/>
        </w:rPr>
        <w:t xml:space="preserve">Permian Transmission Term Loan. </w:t>
      </w:r>
      <w:r>
        <w:rPr>
          <w:rFonts w:ascii="Times New Roman;sans-serif" w:hAnsi="Times New Roman;sans-serif"/>
          <w:b w:val="false"/>
          <w:color w:val="000000"/>
          <w:sz w:val="20"/>
        </w:rPr>
        <w:t>As described above, in January 2022, the Permian Term Loan Facility was converted into a Term Loan (the “Permian Transmission Term Loan”). The Permian Transmission Term Loan is due January 2028. As of March 31, 2023, the applicable margin under adjusted LIBOR borrowings was 2.375% and the interest rate was 6.76%. As of March 31, 2023, the Partnership was in compliance with the financial covenants governing the Permian Transmission Term Loan.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Permian Transmission Term Loan, Permian Transmission is required to make mandatory principal repayments. Below is a summary of the remaining mandatory principal repayments as of March 31, 2023: </w:t>
      </w:r>
    </w:p>
    <w:tbl>
      <w:tblPr>
        <w:tblW w:w="10732" w:type="dxa"/>
        <w:jc w:val="left"/>
        <w:tblInd w:w="0" w:type="dxa"/>
        <w:tblCellMar>
          <w:top w:w="28" w:type="dxa"/>
          <w:left w:w="28" w:type="dxa"/>
          <w:bottom w:w="28" w:type="dxa"/>
          <w:right w:w="28" w:type="dxa"/>
        </w:tblCellMar>
      </w:tblPr>
      <w:tblGrid>
        <w:gridCol w:w="472"/>
        <w:gridCol w:w="332"/>
        <w:gridCol w:w="307"/>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7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 xml:space="preserve">In 2021, the Co-Issuers issued $700.0 million of 8.500% Senior Secured Second Lien Notes due 2026 to eligible purchasers pursuant to Rule 144A and Regulation S of the Securities Act, at a price of 98.5% of their face value. Additionally, in November 2022, in connection with the 2022 DJ Acquisitions, the Co-Issuers issued an additional $85.0 million of 2026 Secured Notes at a price of 99.26% of their face value.The Co-Issuers pay interest on the 2026 Secured Notes semi-annually in cash in arrears on April 15 and October 15 of each year, commencing on April 15, 2022, and will be jointly and severally guaranteed, on a senior second-priority secured basis (subject to permitted liens), by the Partnership and each restricted subsidiary of the Partnership (other than the Co-Issuers) that is an obligor under the ABL Agreement, or under the Co-Issuers’ 2025 Senior Notes on the issue date of the 2026 Secured Notes.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2026 Secured Notes are effectively subordinated to any of our or the guarantors’ current and future secured first lien indebtedness, including indebtedness incurred under the ABL Facility, to the extent of the value of the collateral securing such indebtedness, and our and the guarantors’ current and future debt that is secured by liens on assets other than the collateral, to the extent of the value of such assets. The 2026 Secured Notes are structurally subordinated to all indebtedness and other liabilities of our subsidiaries that do not guarantee the 2026 Secured Notes. The 2026 Secured Notes are effectively equal to our and the guarantors’ obligations under any future second lien indebtedness and effectively senior to all of our future junior lien indebtedness and existing and future unsecured indebtedness, including our outstanding senior unsecured notes, to the extent of the value of the collateral, and senior to any of our future subordinated indebtedness. The 2026 Secured Notes will mature on October 15, 2026.</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October 15, 2023, the Co-Issuers may redeem the 2026 Secured Notes, in whole or in part, at a price equal to 100% of their principal amount, plus a make-whole premium, together with accrued and unpaid interest to, but not including the redemption date.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As of March 31, 2023, the Partnership was in compliance with the financial covenants governing its 2026 Secured Notes.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in the first quarter of 2023 with respect to the fiscal year ended 2022, and continuing annually through the fiscal year ended 2025, the Partnership is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Generally, if the Partnership does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Based on the amount of the Partnership’s Excess Cash Flow for the fiscal year ended 2022, the Partnership was not able to make offers to purchase in the designated amount for the fiscal year ended 2022; as a result, the interest rate on the 2026 Secured Notes increased 50 basis points to 9.00% effective with the first payment on April 1,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pStyle w:val="TextBody"/>
        <w:spacing w:lineRule="auto" w:line="288" w:before="120" w:after="283"/>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the Co-Issuers co-issued the 2025 Senior Notes. The Partnership pays interest on the 2025 Senior Notes semi-annually in cash in 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Co-Issuers have the right to redeem all or part of the 2025 Senior Notes at a redemption price of 101.438% (with the redemption price declining ratably each year to 100.00% on April 15, 2023), plus accrued and unpaid interest, if any, to, but not including the redemption date.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Partnership was in compliance with the financial covenants governing its 2025 Senior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9. FINANCIAL INSTRUMENTS</w:t>
      </w:r>
    </w:p>
    <w:p>
      <w:pPr>
        <w:pStyle w:val="TextBody"/>
        <w:spacing w:lineRule="auto" w:line="288" w:before="120" w:after="283"/>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A summary of the estimated fair value of our debt financial instruments follows.</w:t>
      </w:r>
    </w:p>
    <w:tbl>
      <w:tblPr>
        <w:tblW w:w="7349" w:type="dxa"/>
        <w:jc w:val="left"/>
        <w:tblInd w:w="0" w:type="dxa"/>
        <w:tblCellMar>
          <w:top w:w="28" w:type="dxa"/>
          <w:left w:w="28" w:type="dxa"/>
          <w:bottom w:w="28" w:type="dxa"/>
          <w:right w:w="28" w:type="dxa"/>
        </w:tblCellMar>
      </w:tblPr>
      <w:tblGrid>
        <w:gridCol w:w="630"/>
        <w:gridCol w:w="552"/>
        <w:gridCol w:w="5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spacing w:lineRule="auto" w:line="288" w:before="120" w:after="283"/>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applicable unamortized debt issuance costs and debt discounts.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carrying values on the balance sheets of the ABL Facility and Permian Transmission Term Loan represents their fair value due to their floating interest rates. The fair values of the 2026 Secured Notes and 2025 Senior Notes are based on an average of nonbinding broker quotes as of March 31, 2023 and December 31, 2022. The use of different market assumptions or valuation methodologies may have a material effect on their estimated fair value.</w:t>
      </w:r>
    </w:p>
    <w:p>
      <w:pPr>
        <w:pStyle w:val="TextBody"/>
        <w:spacing w:lineRule="auto" w:line="288" w:before="120" w:after="283"/>
        <w:rPr/>
      </w:pPr>
      <w:r>
        <w:rPr>
          <w:rFonts w:ascii="Times New Roman;sans-serif" w:hAnsi="Times New Roman;sans-serif"/>
          <w:b/>
          <w:i/>
          <w:color w:val="000000"/>
          <w:sz w:val="20"/>
        </w:rPr>
        <w:t>Deferred earn-out.</w:t>
      </w:r>
      <w:r>
        <w:rPr>
          <w:color w:val="000000"/>
        </w:rPr>
        <w:t xml:space="preserve"> </w:t>
      </w:r>
      <w:r>
        <w:rPr>
          <w:rFonts w:ascii="Times New Roman;sans-serif" w:hAnsi="Times New Roman;sans-serif"/>
          <w:b w:val="false"/>
          <w:color w:val="000000"/>
          <w:sz w:val="20"/>
        </w:rPr>
        <w:t>As a result of the acquisition of Sterling DJ, the Partnership assumed a deferred earn-out liability, which is remeasured each reporting period. As of March 31, 2023 and December 31, 2022, the estimated fair value of the deferred earn-out liability was $5.4 million and $5.2 million, respectively, and was estimated using a discounted cash flow technique based on estimated future fresh water deliveries and appropriate discount rates. Given the unobservable nature of the inputs, the fair value measurement of the deferred earn-out is deemed to use Level 3 inputs. The deferred earn-out sits within Centennial Water Pipelines LLC, one of the Partnership’s unrestricted subsidiaries.</w:t>
      </w:r>
    </w:p>
    <w:p>
      <w:pPr>
        <w:pStyle w:val="TextBody"/>
        <w:spacing w:lineRule="auto" w:line="288" w:before="120" w:after="283"/>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 xml:space="preserve">In connection with the Permian Transmission Term Loan, formerly the Permian Transmission Credit Facility, the Partnership entered into amortizing interest rate swap agreements. As of March 31, 2023 and December 31, 2022, the outstanding notional amounts of interest rate swaps were $137.6 million and $139.8 million, respectively. These interest rate swaps manage exposure to variability in expected cash flows attributable to interest rate risk. Interest rate swaps convert a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Partnership’s interest rate swap agreements had a fair value of $12.8 million and $15.2 million, respectively, and are recorded within other noncurrent assets within the unaudited condensed consolidated balance sheets. The derivative instruments’ fair value are determined using level 2 inputs from the fair value hierarchy. For the three months ended March 31, 2023, the Company recorded a loss on interest rate swaps of $1.3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10. PARTNERS' CAPITAL AND MEZZANINE CAPITAL</w:t>
      </w:r>
    </w:p>
    <w:p>
      <w:pPr>
        <w:pStyle w:val="TextBody"/>
        <w:spacing w:lineRule="auto" w:line="288" w:before="120" w:after="283"/>
        <w:rPr/>
      </w:pPr>
      <w:r>
        <w:rPr>
          <w:rFonts w:ascii="Times New Roman;sans-serif" w:hAnsi="Times New Roman;sans-serif"/>
          <w:b/>
          <w:i/>
          <w:color w:val="000000"/>
          <w:sz w:val="20"/>
        </w:rPr>
        <w:t>Common Units.</w:t>
      </w:r>
      <w:r>
        <w:rPr>
          <w:color w:val="000000"/>
        </w:rPr>
        <w:t> </w:t>
      </w:r>
      <w:r>
        <w:rPr>
          <w:rFonts w:ascii="Times New Roman;sans-serif" w:hAnsi="Times New Roman;sans-serif"/>
          <w:b w:val="false"/>
          <w:color w:val="000000"/>
          <w:sz w:val="20"/>
        </w:rPr>
        <w:t>An update of the number of issued and outstanding common limited partner units is as follows for the period from December 31, 2022 to March 31, 2023.</w:t>
      </w:r>
    </w:p>
    <w:tbl>
      <w:tblPr>
        <w:tblW w:w="5087" w:type="dxa"/>
        <w:jc w:val="left"/>
        <w:tblInd w:w="0" w:type="dxa"/>
        <w:tblCellMar>
          <w:top w:w="28" w:type="dxa"/>
          <w:left w:w="28" w:type="dxa"/>
          <w:bottom w:w="28" w:type="dxa"/>
          <w:right w:w="28" w:type="dxa"/>
        </w:tblCellMar>
      </w:tblPr>
      <w:tblGrid>
        <w:gridCol w:w="1262"/>
        <w:gridCol w:w="1111"/>
        <w:gridCol w:w="1122"/>
        <w:gridCol w:w="540"/>
        <w:gridCol w:w="541"/>
        <w:gridCol w:w="511"/>
      </w:tblGrid>
      <w:tr>
        <w:trPr/>
        <w:tc>
          <w:tcPr>
            <w:tcW w:w="1262"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2022</w:t>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10,182,763 </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171,895 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March 31,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10,354,658 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Series A Preferred Units.</w:t>
      </w:r>
      <w:r>
        <w:rPr>
          <w:color w:val="000000"/>
        </w:rPr>
        <w:t xml:space="preserve"> </w:t>
      </w:r>
      <w:r>
        <w:rPr>
          <w:rFonts w:ascii="Times New Roman;sans-serif" w:hAnsi="Times New Roman;sans-serif"/>
          <w:b w:val="false"/>
          <w:color w:val="000000"/>
          <w:sz w:val="20"/>
        </w:rPr>
        <w:t xml:space="preserve">As of March 31, 2023, the Partnership had 65,508 Series A Preferred Units outstanding and $24.1 million of accrued and unpaid distributions on its Series A Preferred Units. </w:t>
      </w:r>
    </w:p>
    <w:p>
      <w:pPr>
        <w:pStyle w:val="TextBody"/>
        <w:spacing w:lineRule="auto" w:line="288" w:before="120" w:after="283"/>
        <w:rPr/>
      </w:pPr>
      <w:r>
        <w:rPr>
          <w:rFonts w:ascii="Times New Roman;sans-serif" w:hAnsi="Times New Roman;sans-serif"/>
          <w:b/>
          <w:i/>
          <w:color w:val="000000"/>
          <w:sz w:val="20"/>
        </w:rPr>
        <w:t xml:space="preserve">Series A Preferred Unit Exchange Offers. </w:t>
      </w:r>
      <w:r>
        <w:rPr>
          <w:rFonts w:ascii="Times New Roman;sans-serif" w:hAnsi="Times New Roman;sans-serif"/>
          <w:b w:val="false"/>
          <w:color w:val="000000"/>
          <w:sz w:val="20"/>
        </w:rPr>
        <w:t xml:space="preserve">In January 2022, the Partnership completed an offer to exchange its Series A Preferred Units for newly issued common units (the “2022 Preferred Exchange Offer”), whereby it issued 2,853,875 SMLP common units, net of units withheld for withholding taxes, in exchange for 77,939 Series A Preferred Units. As a result of the transaction, the Partnership recognized a deemed contribution of $20.9 million from the Series A Preferred Unit holders to the common unit holders. </w:t>
      </w:r>
    </w:p>
    <w:p>
      <w:pPr>
        <w:pStyle w:val="TextBody"/>
        <w:spacing w:lineRule="auto" w:line="288" w:before="120" w:after="283"/>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The Partnership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our common units includes adjustments for PIK distributions and redemption accretion.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Partnership had 93,039 Subsidiary Series A Preferred Units issued and outstanding.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March 31, 2023, the redemption amount would be $121.2 million when considering the applicable multiple of invested capital metric and make-whole amount provisions contained in the Subsidiary Series A Preferred Unit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our Subsidiary Series A Preferred Unit balance from January 1, 2023 to March 31, 2023, net of $2.1 million and $2.2 million of unamortized issuance costs at March 31, 2023 and December 31, 2022, respectively:</w:t>
      </w:r>
    </w:p>
    <w:tbl>
      <w:tblPr>
        <w:tblW w:w="8211" w:type="dxa"/>
        <w:jc w:val="left"/>
        <w:tblInd w:w="0" w:type="dxa"/>
        <w:tblCellMar>
          <w:top w:w="28" w:type="dxa"/>
          <w:left w:w="28" w:type="dxa"/>
          <w:bottom w:w="28" w:type="dxa"/>
          <w:right w:w="28" w:type="dxa"/>
        </w:tblCellMar>
      </w:tblPr>
      <w:tblGrid>
        <w:gridCol w:w="2540"/>
        <w:gridCol w:w="2236"/>
        <w:gridCol w:w="2244"/>
        <w:gridCol w:w="211"/>
        <w:gridCol w:w="826"/>
        <w:gridCol w:w="154"/>
      </w:tblGrid>
      <w:tr>
        <w:trPr/>
        <w:tc>
          <w:tcPr>
            <w:tcW w:w="2540" w:type="dxa"/>
            <w:tcBorders/>
            <w:shd w:fill="auto" w:val="clear"/>
            <w:vAlign w:val="center"/>
          </w:tcPr>
          <w:p>
            <w:pPr>
              <w:pStyle w:val="TableContents"/>
              <w:spacing w:before="0" w:after="283"/>
              <w:rPr>
                <w:sz w:val="4"/>
                <w:szCs w:val="4"/>
              </w:rPr>
            </w:pPr>
            <w:r>
              <w:rPr>
                <w:sz w:val="4"/>
                <w:szCs w:val="4"/>
              </w:rPr>
            </w:r>
          </w:p>
        </w:tc>
        <w:tc>
          <w:tcPr>
            <w:tcW w:w="2236"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a $1.6 million distribution payable as of March 31, 2023)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Cash Distribution Policy.</w:t>
      </w:r>
      <w:r>
        <w:rPr>
          <w:color w:val="000000"/>
        </w:rPr>
        <w:t> </w:t>
      </w:r>
      <w:r>
        <w:rPr>
          <w:rFonts w:ascii="Times New Roman;sans-serif" w:hAnsi="Times New Roman;sans-serif"/>
          <w:b w:val="false"/>
          <w:color w:val="000000"/>
          <w:sz w:val="20"/>
        </w:rPr>
        <w:t>The Partnership suspended its cash distributions to holders of its common units, commencing with respect to the quarter ended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There were no distributions paid during the three months ended March 31, 2023 or during the twelve months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11. EARNINGS PER UNIT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EPU.</w:t>
      </w:r>
    </w:p>
    <w:tbl>
      <w:tblPr>
        <w:tblW w:w="9508" w:type="dxa"/>
        <w:jc w:val="left"/>
        <w:tblInd w:w="0" w:type="dxa"/>
        <w:tblCellMar>
          <w:top w:w="28" w:type="dxa"/>
          <w:left w:w="28" w:type="dxa"/>
          <w:bottom w:w="28" w:type="dxa"/>
          <w:right w:w="28" w:type="dxa"/>
        </w:tblCellMar>
      </w:tblPr>
      <w:tblGrid>
        <w:gridCol w:w="2186"/>
        <w:gridCol w:w="1926"/>
        <w:gridCol w:w="1932"/>
        <w:gridCol w:w="253"/>
        <w:gridCol w:w="956"/>
        <w:gridCol w:w="131"/>
        <w:gridCol w:w="131"/>
        <w:gridCol w:w="131"/>
        <w:gridCol w:w="131"/>
        <w:gridCol w:w="253"/>
        <w:gridCol w:w="866"/>
        <w:gridCol w:w="131"/>
        <w:gridCol w:w="109"/>
        <w:gridCol w:w="109"/>
        <w:gridCol w:w="109"/>
        <w:gridCol w:w="154"/>
      </w:tblGrid>
      <w:tr>
        <w:trPr/>
        <w:tc>
          <w:tcPr>
            <w:tcW w:w="2186"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c>
          <w:tcPr>
            <w:tcW w:w="481" w:type="dxa"/>
            <w:gridSpan w:val="4"/>
            <w:tcBorders/>
            <w:shd w:fill="auto" w:val="clea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 for basic and diluted EPU:</w:t>
            </w:r>
          </w:p>
        </w:tc>
        <w:tc>
          <w:tcPr>
            <w:tcW w:w="13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net loss among limited partner interests:</w:t>
            </w:r>
          </w:p>
        </w:tc>
        <w:tc>
          <w:tcPr>
            <w:tcW w:w="1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Subsidiary Series A Preferred Units</w:t>
            </w:r>
          </w:p>
        </w:tc>
        <w:tc>
          <w:tcPr>
            <w:tcW w:w="12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Summit Midstream Partners, LP</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Series A Preferred Units</w:t>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Deemed capital contribution from 2022 Preferred Exchange Offer</w:t>
            </w:r>
          </w:p>
        </w:tc>
        <w:tc>
          <w:tcPr>
            <w:tcW w:w="12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limited partners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 for basic and diluted EPU:</w:t>
            </w:r>
          </w:p>
        </w:tc>
        <w:tc>
          <w:tcPr>
            <w:tcW w:w="13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basic</w:t>
            </w:r>
          </w:p>
        </w:tc>
        <w:tc>
          <w:tcPr>
            <w:tcW w:w="12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nonvested phantom units</w:t>
            </w:r>
          </w:p>
        </w:tc>
        <w:tc>
          <w:tcPr>
            <w:tcW w:w="12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diluted</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limited partner unit:</w:t>
            </w:r>
          </w:p>
        </w:tc>
        <w:tc>
          <w:tcPr>
            <w:tcW w:w="1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basic</w:t>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diluted</w:t>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anti-dilutive phantom units excluded from the calculation of diluted EPU</w:t>
            </w:r>
          </w:p>
        </w:tc>
        <w:tc>
          <w:tcPr>
            <w:tcW w:w="12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12. SUPPLEMENTAL CASH FLOW INFORMATION</w:t>
      </w:r>
    </w:p>
    <w:tbl>
      <w:tblPr>
        <w:tblW w:w="9176" w:type="dxa"/>
        <w:jc w:val="left"/>
        <w:tblInd w:w="0" w:type="dxa"/>
        <w:tblCellMar>
          <w:top w:w="28" w:type="dxa"/>
          <w:left w:w="28" w:type="dxa"/>
          <w:bottom w:w="28" w:type="dxa"/>
          <w:right w:w="28" w:type="dxa"/>
        </w:tblCellMar>
      </w:tblPr>
      <w:tblGrid>
        <w:gridCol w:w="2440"/>
        <w:gridCol w:w="2142"/>
        <w:gridCol w:w="2153"/>
        <w:gridCol w:w="219"/>
        <w:gridCol w:w="641"/>
        <w:gridCol w:w="113"/>
        <w:gridCol w:w="113"/>
        <w:gridCol w:w="113"/>
        <w:gridCol w:w="113"/>
        <w:gridCol w:w="219"/>
        <w:gridCol w:w="750"/>
        <w:gridCol w:w="160"/>
      </w:tblGrid>
      <w:tr>
        <w:trPr/>
        <w:tc>
          <w:tcPr>
            <w:tcW w:w="2440"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9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 net of issuance cost amortization</w:t>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Preferred Exchange Offer</w:t>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13. UNIT-BASED AND NONCASH COMPENSATION</w:t>
      </w:r>
    </w:p>
    <w:p>
      <w:pPr>
        <w:pStyle w:val="TextBody"/>
        <w:spacing w:lineRule="auto" w:line="288" w:before="120" w:after="283"/>
        <w:rPr/>
      </w:pPr>
      <w:r>
        <w:rPr>
          <w:rFonts w:ascii="Times New Roman;sans-serif" w:hAnsi="Times New Roman;sans-serif"/>
          <w:b/>
          <w:i/>
          <w:color w:val="000000"/>
          <w:sz w:val="20"/>
        </w:rPr>
        <w:t>SMLP Long-Term Incentive Plan.</w:t>
      </w:r>
      <w:r>
        <w:rPr>
          <w:color w:val="000000"/>
        </w:rPr>
        <w:t> </w:t>
      </w:r>
      <w:r>
        <w:rPr>
          <w:rFonts w:ascii="Times New Roman;sans-serif" w:hAnsi="Times New Roman;sans-serif"/>
          <w:b w:val="false"/>
          <w:color w:val="000000"/>
          <w:sz w:val="20"/>
        </w:rPr>
        <w:t>The Partnership’s Long-Term Incentive Plan (“SMLP LTIP”) provides for equity awards to eligible officers, employees, consultants and directors of the Partnership, thereby linking the recipients’ compensation directly to SMLP’s performance. Significant items to note: </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For the three-month period ended March 31, 2023, the Partnership granted 212,893 time-based phantom units and associated distribution equivalent rights to employees in connection with the Partnership’s annual incentive compensation award cycle. These awards had a grant date fair value of $16.00 per common unit and vest ratably over a 3-year period.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For the three-month period ended March 31, 2023, the Partnership granted 110,478 performance-based phantom units and associated distribution equivalent rights to certain members of management in connection with the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Partnership’s annual incentive compensation award cycle. The grant date fair value of these awards total $2.2 million.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For the three-month period ended March 31, 2023, the Partnership issued 38,100 common units to the Partnership’s six independent directors in connection with their annual compensation plan. These awards had a grant date fair value of $16.00 per common unit and vested immediately.</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As of March 31, 2023, approximately 0.5 million common units remained available for future issuance under the SMLP LTIP, which includes the impact of 0.7 million granted but unvested phantom units.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spacing w:lineRule="auto" w:line="288" w:before="120" w:after="283"/>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Partnership believes that it is in material compliance with applicable environmental regulations, the risk of 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Partnership has recognized (i) a current liability for remediation effort expenditures expected to be incurred within the next 12 months and (ii) a noncurrent liability for estimated remediation expenditures expected to be incurred subsequent to March 31, 2024. Each of these amounts represent the Partnership’s best estimate for costs expected to be incurred. Neither of these amounts have been discounted to their present value.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 update of the Partnership’s undiscounted accrued environmental remediation is as follows and is primarily related to the 2015 Blacktail Release and other environmental remediation activities, as detailed below.</w:t>
      </w:r>
    </w:p>
    <w:tbl>
      <w:tblPr>
        <w:tblW w:w="6089" w:type="dxa"/>
        <w:jc w:val="left"/>
        <w:tblInd w:w="0" w:type="dxa"/>
        <w:tblCellMar>
          <w:top w:w="28" w:type="dxa"/>
          <w:left w:w="28" w:type="dxa"/>
          <w:bottom w:w="28" w:type="dxa"/>
          <w:right w:w="28" w:type="dxa"/>
        </w:tblCellMar>
      </w:tblPr>
      <w:tblGrid>
        <w:gridCol w:w="1777"/>
        <w:gridCol w:w="1562"/>
        <w:gridCol w:w="1565"/>
        <w:gridCol w:w="255"/>
        <w:gridCol w:w="744"/>
        <w:gridCol w:w="186"/>
      </w:tblGrid>
      <w:tr>
        <w:trPr/>
        <w:tc>
          <w:tcPr>
            <w:tcW w:w="1777"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2022</w:t>
            </w:r>
          </w:p>
        </w:tc>
        <w:tc>
          <w:tcPr>
            <w:tcW w:w="2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March 31, 2023</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March 31, 2023 and December 31, 2022, the accrued loss liability for the 2015 Blacktail Release was $28.3 million and are recorded within Other noncurrent liabilities and Accrued settlement payable within the unaudited condensed consolidated balance sheets.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Key terms of the Global Settlement included (i) payment of penalties and fines totaling $36.3 million, consisting of $1.25 million in natural resource damages payable to federal and state governments, a $25.0 million payable to the federal government over 5 years, and a $10.0 million payable to state governments over six years, with interest applied to unpaid amounts accruing at a fixed rate of 3.25%, and of which $6.7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subsidiary for (a) one charge of negligent discharge of a harmful quantity of oil and (b) one charge of knowing failure to immediately report a discharge of oil; and (v) organizational probation for a minimum period of three years from sentencing,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criminal proceedings under the Plea Agreement, the U.S. District Court received two claims for restitution, including claims for diminution in property value and the cost of additional environmental testing. The prosecution notified the U.S District Court that the government declined to support the claims, citing “insufficient evidence to support the claims.” Defendant subsidiary of the Partnership has responded that restitution is not applicable in this matter because claimants did not provide any supporting evidence for their claims that showed any harm, and because the plea agreement in this matter does not permit restitution sought by the claimants. On August 4, 2022, the U.S. District Court denied the claims.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rPr>
        <w:t>Subsidiaries of the Partnership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have also received a show cause notice from the EPA requesting us to “show cause” why SDO should not issue a Notice of Proposed Debarment to the Defendant subsidiary and certain affiliates under 2 C.F.R. § 180.800(d), to which we have responded.</w:t>
      </w:r>
      <w:r>
        <w:rPr>
          <w:color w:val="000000"/>
        </w:rPr>
        <w:t xml:space="preserve"> </w:t>
      </w:r>
    </w:p>
    <w:p>
      <w:pPr>
        <w:pStyle w:val="TextBody"/>
        <w:spacing w:lineRule="auto" w:line="288" w:before="120" w:after="283"/>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Partnership is involved in various litigation and administrative proceedings arising in the ordinary course of business. In the opinion of management, any liabilities that may result from these claims or those arising in the ordinary course of business would not individually or in the aggregate have a material adverse effect on the Partnership's financial position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Partnership’s reportable segments are:</w:t>
      </w:r>
    </w:p>
    <w:p>
      <w:pPr>
        <w:pStyle w:val="TextBody"/>
        <w:spacing w:lineRule="auto" w:line="288" w:before="120" w:after="283"/>
        <w:ind w:left="0" w:right="0" w:hanging="540"/>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Includes the Partnership’s wholly owned midstream assets located in the Williston Basin and the DJ Basin. In September 2022, the Partnership completed the sale of Bison Midstream and its gas gathering system in Burke and Mountrail Counties, North Dakota to a subsidiary of Steel Reef. Additionally, in December 2022 the Partnership completed the acquisitions of Sterling DJ and Outrigger DJ and their related midstream infrastructure. For additional information regarding these acquisitions and divestitures, see Note 3 - Acquisitions and Divestitures.</w:t>
      </w:r>
    </w:p>
    <w:p>
      <w:pPr>
        <w:pStyle w:val="TextBody"/>
        <w:spacing w:lineRule="auto" w:line="288" w:before="120" w:after="283"/>
        <w:ind w:left="0" w:right="0" w:hanging="540"/>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Partnership’s equity method investment in Double E and its wholly owned Lane G&amp;P System, which was sold on June 30, 2022 to Matador. For additional information regarding the sale of the Lane G&amp;P System, see Note 3 - Acquisitions and Divestitures.</w:t>
      </w:r>
    </w:p>
    <w:p>
      <w:pPr>
        <w:pStyle w:val="TextBody"/>
        <w:spacing w:lineRule="auto" w:line="288" w:before="120" w:after="283"/>
        <w:ind w:left="0" w:right="0" w:hanging="540"/>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Includes the Partnership’s wholly owned midstream assets located in the Utica and Marcellus shale plays and the equity method investment in Ohio Gathering that is focused on the Utica Shale.</w:t>
      </w:r>
    </w:p>
    <w:p>
      <w:pPr>
        <w:pStyle w:val="TextBody"/>
        <w:spacing w:lineRule="auto" w:line="288" w:before="120" w:after="283"/>
        <w:ind w:left="0" w:right="0" w:hanging="540"/>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Partnership’s wholly owned midstream assets located in the Piceance Basin.</w:t>
      </w:r>
    </w:p>
    <w:p>
      <w:pPr>
        <w:pStyle w:val="TextBody"/>
        <w:spacing w:lineRule="auto" w:line="288" w:before="120" w:after="283"/>
        <w:ind w:left="0" w:right="0" w:hanging="540"/>
        <w:rPr/>
      </w:pPr>
      <w:r>
        <w:rPr>
          <w:color w:val="000000"/>
        </w:rPr>
        <w:t>•</w:t>
      </w:r>
      <w:r>
        <w:rPr>
          <w:rFonts w:ascii="Times New Roman;sans-serif" w:hAnsi="Times New Roman;sans-serif"/>
          <w:b/>
          <w:color w:val="000000"/>
          <w:sz w:val="20"/>
        </w:rPr>
        <w:t xml:space="preserve">Barnett </w:t>
      </w:r>
      <w:r>
        <w:rPr>
          <w:color w:val="000000"/>
        </w:rPr>
        <w:t xml:space="preserve">– </w:t>
      </w:r>
      <w:r>
        <w:rPr>
          <w:rFonts w:ascii="Times New Roman;sans-serif" w:hAnsi="Times New Roman;sans-serif"/>
          <w:b w:val="false"/>
          <w:color w:val="000000"/>
          <w:sz w:val="20"/>
        </w:rPr>
        <w:t xml:space="preserve">Includes the Partnership’s wholly owned midstream assets located in the Barnett Shale.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(i) are not specifically attributable to a reportable segment; (ii) are not individually reportable; or (iii) have not been allocated to a reportable segment for the purpose of evaluating their performance, including certain general and administrative expense items and transaction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6191" w:type="dxa"/>
        <w:jc w:val="left"/>
        <w:tblInd w:w="0" w:type="dxa"/>
        <w:tblCellMar>
          <w:top w:w="28" w:type="dxa"/>
          <w:left w:w="28" w:type="dxa"/>
          <w:bottom w:w="28" w:type="dxa"/>
          <w:right w:w="28" w:type="dxa"/>
        </w:tblCellMar>
      </w:tblPr>
      <w:tblGrid>
        <w:gridCol w:w="957"/>
        <w:gridCol w:w="842"/>
        <w:gridCol w:w="856"/>
        <w:gridCol w:w="234"/>
        <w:gridCol w:w="1085"/>
        <w:gridCol w:w="121"/>
        <w:gridCol w:w="109"/>
        <w:gridCol w:w="109"/>
        <w:gridCol w:w="109"/>
        <w:gridCol w:w="278"/>
        <w:gridCol w:w="1288"/>
        <w:gridCol w:w="203"/>
      </w:tblGrid>
      <w:tr>
        <w:trPr/>
        <w:tc>
          <w:tcPr>
            <w:tcW w:w="957"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884,652 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886,629 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298,906 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591,215 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591,091 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475,719 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292,280 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2,532,732 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2,547,818 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2,559,964 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Segment adjusted EBITDA by reportable segment follows.</w:t>
      </w:r>
    </w:p>
    <w:tbl>
      <w:tblPr>
        <w:tblW w:w="7214" w:type="dxa"/>
        <w:jc w:val="left"/>
        <w:tblInd w:w="0" w:type="dxa"/>
        <w:tblCellMar>
          <w:top w:w="28" w:type="dxa"/>
          <w:left w:w="28" w:type="dxa"/>
          <w:bottom w:w="28" w:type="dxa"/>
          <w:right w:w="28" w:type="dxa"/>
        </w:tblCellMar>
      </w:tblPr>
      <w:tblGrid>
        <w:gridCol w:w="1428"/>
        <w:gridCol w:w="1255"/>
        <w:gridCol w:w="1262"/>
        <w:gridCol w:w="244"/>
        <w:gridCol w:w="835"/>
        <w:gridCol w:w="126"/>
        <w:gridCol w:w="126"/>
        <w:gridCol w:w="126"/>
        <w:gridCol w:w="126"/>
        <w:gridCol w:w="244"/>
        <w:gridCol w:w="835"/>
        <w:gridCol w:w="126"/>
        <w:gridCol w:w="109"/>
        <w:gridCol w:w="109"/>
        <w:gridCol w:w="109"/>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or loss before income taxes and income from equity method investees to total of reportable segments' measures of profit follows.</w:t>
      </w:r>
    </w:p>
    <w:tbl>
      <w:tblPr>
        <w:tblW w:w="10205" w:type="dxa"/>
        <w:jc w:val="left"/>
        <w:tblInd w:w="0" w:type="dxa"/>
        <w:tblCellMar>
          <w:top w:w="28" w:type="dxa"/>
          <w:left w:w="28" w:type="dxa"/>
          <w:bottom w:w="28" w:type="dxa"/>
          <w:right w:w="28" w:type="dxa"/>
        </w:tblCellMar>
      </w:tblPr>
      <w:tblGrid>
        <w:gridCol w:w="2515"/>
        <w:gridCol w:w="2211"/>
        <w:gridCol w:w="2222"/>
        <w:gridCol w:w="236"/>
        <w:gridCol w:w="888"/>
        <w:gridCol w:w="121"/>
        <w:gridCol w:w="121"/>
        <w:gridCol w:w="121"/>
        <w:gridCol w:w="121"/>
        <w:gridCol w:w="236"/>
        <w:gridCol w:w="806"/>
        <w:gridCol w:w="121"/>
        <w:gridCol w:w="109"/>
        <w:gridCol w:w="109"/>
        <w:gridCol w:w="109"/>
        <w:gridCol w:w="159"/>
      </w:tblGrid>
      <w:tr>
        <w:trPr/>
        <w:tc>
          <w:tcPr>
            <w:tcW w:w="2515"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6" w:type="dxa"/>
            <w:gridSpan w:val="4"/>
            <w:tcBorders/>
            <w:shd w:fill="auto" w:val="clear"/>
          </w:tcPr>
          <w:p>
            <w:pPr>
              <w:pStyle w:val="TableContents"/>
              <w:spacing w:before="0" w:after="283"/>
              <w:rPr>
                <w:sz w:val="4"/>
                <w:szCs w:val="4"/>
              </w:rPr>
            </w:pPr>
            <w:r>
              <w:rPr>
                <w:sz w:val="4"/>
                <w:szCs w:val="4"/>
              </w:rPr>
            </w:r>
          </w:p>
        </w:tc>
      </w:tr>
      <w:tr>
        <w:trPr/>
        <w:tc>
          <w:tcPr>
            <w:tcW w:w="694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income (loss) before income taxes and income from equity method</w:t>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color w:val="000000"/>
                <w:sz w:val="20"/>
              </w:rPr>
              <w:t>investees to total of reportable segments' measures of profit:</w:t>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23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w:t>
            </w:r>
          </w:p>
        </w:tc>
        <w:tc>
          <w:tcPr>
            <w:tcW w:w="11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11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equity method investees</w:t>
            </w:r>
          </w:p>
        </w:tc>
        <w:tc>
          <w:tcPr>
            <w:tcW w:w="11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1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Unit-based and noncash compensation</w:t>
            </w:r>
          </w:p>
        </w:tc>
        <w:tc>
          <w:tcPr>
            <w:tcW w:w="11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1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1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________</w:t>
      </w:r>
    </w:p>
    <w:p>
      <w:pPr>
        <w:pStyle w:val="TextBody"/>
        <w:spacing w:lineRule="auto" w:line="288" w:before="120" w:after="283"/>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the amortization expense associated with our favorable gas gathering contracts as reported in other revenues.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2022.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2022 (the “2022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a value-driven limited partnership focused on developing, owning and operating midstream energy infrastructure assets that are strategically located in unconventional resource basins, primarily shale formations, in the continental United States.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Piceance segment and (iv) additional gathering fees that are tied to the performance of certain commodity price indexes which are then added to the fixed gathering rates.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 Commodity prices have increased and remain at higher levels primarily due to recent production cuts by OPEC+ and Russia’s invasion of Ukraine which began in February 2022, which mitigates the risk of cancelled or delayed drilling and/or completion activities.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Three Months Ended March 31, 2023 and 2022" section included herein.</w:t>
      </w:r>
    </w:p>
    <w:tbl>
      <w:tblPr>
        <w:tblW w:w="7104" w:type="dxa"/>
        <w:jc w:val="left"/>
        <w:tblInd w:w="0" w:type="dxa"/>
        <w:tblCellMar>
          <w:top w:w="28" w:type="dxa"/>
          <w:left w:w="28" w:type="dxa"/>
          <w:bottom w:w="28" w:type="dxa"/>
          <w:right w:w="28" w:type="dxa"/>
        </w:tblCellMar>
      </w:tblPr>
      <w:tblGrid>
        <w:gridCol w:w="1499"/>
        <w:gridCol w:w="1308"/>
        <w:gridCol w:w="1332"/>
        <w:gridCol w:w="211"/>
        <w:gridCol w:w="796"/>
        <w:gridCol w:w="109"/>
        <w:gridCol w:w="109"/>
        <w:gridCol w:w="109"/>
        <w:gridCol w:w="109"/>
        <w:gridCol w:w="211"/>
        <w:gridCol w:w="721"/>
        <w:gridCol w:w="109"/>
        <w:gridCol w:w="109"/>
        <w:gridCol w:w="109"/>
        <w:gridCol w:w="109"/>
        <w:gridCol w:w="154"/>
      </w:tblGrid>
      <w:tr>
        <w:trPr/>
        <w:tc>
          <w:tcPr>
            <w:tcW w:w="149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Capital expenditures </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ABL Facility</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Permian Transmission Term Loan</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spacing w:lineRule="auto" w:line="288" w:before="120" w:after="283"/>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See "Liquidity and Capital Resources" herein to the unaudited condensed consolidated financial statements for additional information on capital expenditures.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Ongoing impact of the current Russia-Ukraine conflict and the international sanctions against Russia on commodity prices; </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Natural gas, NGL and crude oil supply and demand dynamics;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Production from U.S. shale plays;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Capital markets availability and cost of capital;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Inflation and shifts in operating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2022 Annual Report.</w:t>
      </w:r>
    </w:p>
    <w:p>
      <w:pPr>
        <w:pStyle w:val="TextBody"/>
        <w:spacing w:lineRule="auto" w:line="288" w:before="120" w:after="283"/>
        <w:rPr/>
      </w:pPr>
      <w:r>
        <w:rPr>
          <w:rFonts w:ascii="Times New Roman;sans-serif" w:hAnsi="Times New Roman;sans-serif"/>
          <w:b/>
          <w:i/>
          <w:color w:val="000000"/>
          <w:sz w:val="20"/>
        </w:rPr>
        <w:t>Strategic DJ Acquisitions</w:t>
      </w:r>
      <w:r>
        <w:rPr>
          <w:rFonts w:ascii="Times New Roman;sans-serif" w:hAnsi="Times New Roman;sans-serif"/>
          <w:b w:val="false"/>
          <w:color w:val="000000"/>
          <w:sz w:val="20"/>
        </w:rPr>
        <w:t>. On December 1, 2022, we completed the 2022 DJ Acquisitions for total cash consideration of $305.0 million, subject to post-closing adjustments. As a result of the 2022 DJ Acquisitions, we acquired natural gas gathering and processing systems, a crude oil gathering system, freshwater rights, and a subsurface freshwater delivery system in the DJ Basin. The acquired assets of Outrigger DJ and Sterling DJ are located in Weld, Morgan, and Logan Counties, Colorado and Cheyenne County, Nebraska. In 2023, we will spend time and resources integrating the 2022 DJ Acquisitions into our existing DJ Basin assets and expect to attain capital and operating synergies in the future.</w:t>
      </w:r>
    </w:p>
    <w:p>
      <w:pPr>
        <w:pStyle w:val="TextBody"/>
        <w:spacing w:lineRule="auto" w:line="288" w:before="120" w:after="283"/>
        <w:rPr/>
      </w:pPr>
      <w:r>
        <w:rPr>
          <w:rFonts w:ascii="Times New Roman;sans-serif" w:hAnsi="Times New Roman;sans-serif"/>
          <w:b/>
          <w:i/>
          <w:color w:val="000000"/>
          <w:sz w:val="20"/>
        </w:rPr>
        <w:t>Cost structure optimization and portfolio management</w:t>
      </w:r>
      <w:r>
        <w:rPr>
          <w:rFonts w:ascii="Times New Roman;sans-serif" w:hAnsi="Times New Roman;sans-serif"/>
          <w:b w:val="false"/>
          <w:color w:val="000000"/>
          <w:sz w:val="20"/>
        </w:rPr>
        <w:t xml:space="preserve">. The Partnership intends to improve its capital structure in the future by reducing its indebtedness with free cash flow, and when appropriate, it may pursue opportunistic transactions with the objective of increasing long term unitholder value. This may include opportunistic acquisitions (such as the 2022 DJ Acquisitions), divestitures (such as the disposition of the Lane G&amp;P System and of Bison Midstream), re-allocation of capital to new or existing areas, and development of joint ventures involving our existing midstream assets or new investment opportunities. We believe that our internally generated cash flow, our ABL Facility, the Permian Term Loan Facility, and access to debt (such as the Additional 2026 Secured Notes) or equity will be adequate to finance our strategic initiatives. To attain our overall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corporate strategic objectives, we may conduct an asset divestiture, or divestitures, at a transaction valuation that is less than the net book value of the divested asset.</w:t>
      </w:r>
    </w:p>
    <w:p>
      <w:pPr>
        <w:pStyle w:val="TextBody"/>
        <w:spacing w:lineRule="auto" w:line="288" w:before="120" w:after="283"/>
        <w:rPr/>
      </w:pPr>
      <w:r>
        <w:rPr>
          <w:rFonts w:ascii="Times New Roman;sans-serif" w:hAnsi="Times New Roman;sans-serif"/>
          <w:b/>
          <w:i/>
          <w:color w:val="000000"/>
          <w:sz w:val="20"/>
        </w:rPr>
        <w:t xml:space="preserve">Ongoing impact of the current Russia-Ukraine conflict and the international sanctions against Russia on commodity prices. </w:t>
      </w:r>
      <w:r>
        <w:rPr>
          <w:rFonts w:ascii="Times New Roman;sans-serif" w:hAnsi="Times New Roman;sans-serif"/>
          <w:b w:val="false"/>
          <w:color w:val="000000"/>
          <w:sz w:val="20"/>
        </w:rPr>
        <w:t>Although the Partnership does not operate in Ukraine, Russia or other parts of Europe, there are certain impacts arising from Russia’s invasion of Ukraine that could have a potential effect on the Partnership, including, but not limited to, volatility in currencies and commodity prices, higher inflation, cost and supply chain pressures and availability and disruptions in banking systems and capital markets. As of the date of filing, there have been no material impacts on the Partnership.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Based on recently updated production forecasts and 2023 development plans from our customers, we currently expect that 2023 activity will be higher than 2022 and be at an activity level near our historical periods prior to COVID-19.</w:t>
      </w:r>
    </w:p>
    <w:p>
      <w:pPr>
        <w:pStyle w:val="TextBody"/>
        <w:spacing w:lineRule="auto" w:line="288" w:before="120" w:after="283"/>
        <w:rPr/>
      </w:pPr>
      <w:r>
        <w:rPr>
          <w:rFonts w:ascii="Times New Roman;sans-serif" w:hAnsi="Times New Roman;sans-serif"/>
          <w:b/>
          <w:i/>
          <w:color w:val="000000"/>
          <w:sz w:val="20"/>
        </w:rPr>
        <w:t xml:space="preserve">Impact of recent increases in interest rates. </w:t>
      </w:r>
      <w:r>
        <w:rPr>
          <w:rFonts w:ascii="Times New Roman;sans-serif" w:hAnsi="Times New Roman;sans-serif"/>
          <w:b w:val="false"/>
          <w:color w:val="000000"/>
          <w:sz w:val="20"/>
        </w:rPr>
        <w:t>Increases in interest rates could adversely affect our future ability to obtain financing or materially increase the cost of existing and any additional financing. Since March 2022, the Federal Reserve has raised its target range for the federal funds rate ten times, to a current target range of 5.00-5.25%. The Federal Reserve may pause such rate hikes or increase its target range further. As of March 31, 2023, we had approximately $1.0 billion principal of fixed-rate debt, $317.0 million outstanding under our variable rate ABL Facility and $152.8 million outstanding under the variable rate Permian Transmission Term Loan (see Note 8 - Debt). As of March 31, 2023, we had $137.6 million of interest rate exposure hedged to offset the impact of changes in interest rates on our Permian Transmission Term Loan.</w:t>
      </w:r>
    </w:p>
    <w:p>
      <w:pPr>
        <w:pStyle w:val="TextBody"/>
        <w:spacing w:lineRule="auto" w:line="288" w:before="120" w:after="283"/>
        <w:rPr/>
      </w:pPr>
      <w:r>
        <w:rPr>
          <w:rFonts w:ascii="Times New Roman;sans-serif" w:hAnsi="Times New Roman;sans-serif"/>
          <w:b/>
          <w:i/>
          <w:color w:val="000000"/>
          <w:sz w:val="20"/>
        </w:rPr>
        <w:t xml:space="preserve">The Inflation Reduction Act of 2022 could accelerate the transition to a low carbon economy and will impose new costs on our operations. </w:t>
      </w:r>
      <w:r>
        <w:rPr>
          <w:rFonts w:ascii="Times New Roman;sans-serif" w:hAnsi="Times New Roman;sans-serif"/>
          <w:b w:val="false"/>
          <w:color w:val="000000"/>
          <w:sz w:val="20"/>
        </w:rPr>
        <w:t xml:space="preserve">On August 16, 2022, the Inflation Reduction Act of 2022 (“IRA 2022”) was signed into law pursuant to the budget reconciliation process. The IRA 2022 contains hundreds of billions of dollars in incentives for the development of renewable energy, clean hydrogen, clean fuels, electric vehicles and supporting infrastructure and carbon capture and sequestration, among other provisions. These incentives could further accelerate the transition of the U.S. economy away from the use of fossil fuels towards lower- or zero-carbon emissions alternatives, which could decrease demand for the oil and gas and consequently materially and adversely affect our business and results of operations. We do not currently believe this legislation will have a material impact on our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How We Evaluate Our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15 - Segment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 uses a variety of financial and operational metrics to analyze our consolidated and segment performance. We view these metrics as important factors in evaluating our profitability. These metrics include: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throughput volume;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revenues;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operation and maintenance expenses;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capital expenditures;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segment adjusted EBITDA.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review these metrics on a regular basis for consistency and trend analysis. There have been no changes in the composition or characteristics of these metrics during the three months ended March 31, 2023.</w:t>
      </w:r>
    </w:p>
    <w:p>
      <w:pPr>
        <w:pStyle w:val="TextBody"/>
        <w:spacing w:lineRule="auto" w:line="288" w:before="120" w:after="283"/>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2022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Consolidated Overview for the Three Months Ended March 31, 2023 and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financial and operating data.</w:t>
      </w:r>
    </w:p>
    <w:tbl>
      <w:tblPr>
        <w:tblW w:w="8289" w:type="dxa"/>
        <w:jc w:val="left"/>
        <w:tblInd w:w="0" w:type="dxa"/>
        <w:tblCellMar>
          <w:top w:w="28" w:type="dxa"/>
          <w:left w:w="28" w:type="dxa"/>
          <w:bottom w:w="28" w:type="dxa"/>
          <w:right w:w="28" w:type="dxa"/>
        </w:tblCellMar>
      </w:tblPr>
      <w:tblGrid>
        <w:gridCol w:w="1927"/>
        <w:gridCol w:w="1694"/>
        <w:gridCol w:w="1703"/>
        <w:gridCol w:w="211"/>
        <w:gridCol w:w="796"/>
        <w:gridCol w:w="109"/>
        <w:gridCol w:w="109"/>
        <w:gridCol w:w="109"/>
        <w:gridCol w:w="109"/>
        <w:gridCol w:w="211"/>
        <w:gridCol w:w="721"/>
        <w:gridCol w:w="109"/>
        <w:gridCol w:w="109"/>
        <w:gridCol w:w="109"/>
        <w:gridCol w:w="109"/>
        <w:gridCol w:w="154"/>
      </w:tblGrid>
      <w:tr>
        <w:trPr/>
        <w:tc>
          <w:tcPr>
            <w:tcW w:w="1927"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method investment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spacing w:lineRule="auto" w:line="288" w:before="120" w:after="283"/>
        <w:ind w:left="0" w:right="0" w:hanging="360"/>
        <w:rPr/>
      </w:pPr>
      <w:r>
        <w:rPr>
          <w:rFonts w:ascii="Times New Roman;sans-serif" w:hAnsi="Times New Roman;sans-serif"/>
          <w:b w:val="false"/>
          <w:color w:val="000000"/>
          <w:sz w:val="15"/>
        </w:rPr>
        <w:t>(1)</w:t>
      </w:r>
      <w:r>
        <w:rPr>
          <w:rFonts w:ascii="Times New Roman;sans-serif" w:hAnsi="Times New Roman;sans-serif"/>
          <w:b w:val="false"/>
          <w:color w:val="000000"/>
          <w:sz w:val="18"/>
        </w:rPr>
        <w:t>Excludes volume throughput for Ohio Gathering and Double E. For additional information, see the Northeast and Permian sections herein under the caption “Segment Overview for the Three Months Ended March 31, 2023 and 2022”.</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i/>
          <w:color w:val="000000"/>
          <w:sz w:val="20"/>
        </w:rPr>
        <w:t xml:space="preserve">Volumes – Gas. </w:t>
      </w:r>
      <w:r>
        <w:rPr>
          <w:rFonts w:ascii="Times New Roman;sans-serif" w:hAnsi="Times New Roman;sans-serif"/>
          <w:b w:val="false"/>
          <w:color w:val="000000"/>
          <w:sz w:val="20"/>
        </w:rPr>
        <w:t>Natural gas throughput volumes decreased</w:t>
      </w:r>
      <w:r>
        <w:rPr>
          <w:color w:val="FF0000"/>
        </w:rPr>
        <w:t> </w:t>
      </w:r>
      <w:r>
        <w:rPr>
          <w:rFonts w:ascii="Times New Roman;sans-serif" w:hAnsi="Times New Roman;sans-serif"/>
          <w:b w:val="false"/>
          <w:color w:val="000000"/>
          <w:sz w:val="20"/>
        </w:rPr>
        <w:t>121 MMcf/d for the three months ended March 31, 2023 compared to the three months ended March 31, 2022, primarily reflecting:</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volume throughput decrease of 150 MMcf/d for the Northeast segment.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volume throughput decrease of 25 MMcf/d for the Piceance segment.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volume throughput decrease of 27 MMcf/d for the Permian segment.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volume throughput increase of 79 MMcf/d for the Rockies segment.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volume throughput increase of 2 MMcf/d for the Barnett segment.</w:t>
      </w:r>
    </w:p>
    <w:p>
      <w:pPr>
        <w:pStyle w:val="TextBody"/>
        <w:spacing w:lineRule="auto" w:line="288" w:before="120" w:after="283"/>
        <w:rPr/>
      </w:pPr>
      <w:r>
        <w:rPr>
          <w:rFonts w:ascii="Times New Roman;sans-serif" w:hAnsi="Times New Roman;sans-serif"/>
          <w:b/>
          <w:i/>
          <w:color w:val="000000"/>
          <w:sz w:val="20"/>
        </w:rPr>
        <w:t xml:space="preserve">Volumes – Liquids. </w:t>
      </w:r>
      <w:r>
        <w:rPr>
          <w:rFonts w:ascii="Times New Roman;sans-serif" w:hAnsi="Times New Roman;sans-serif"/>
          <w:b w:val="false"/>
          <w:color w:val="000000"/>
          <w:sz w:val="20"/>
        </w:rPr>
        <w:t>Crude oil and produced water throughput volumes at the Rockies segment increased for the three months ended March 31, 2023, compared to the three months ended March 31, 2022, primarily as a result of 53 new well connections that came online subsequent to March 31, 2022, offset by natural production declines and weather related downtime.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Three Months Ended March 31, 2023 and 2022" section herein.</w:t>
      </w:r>
    </w:p>
    <w:p>
      <w:pPr>
        <w:pStyle w:val="TextBody"/>
        <w:spacing w:lineRule="auto" w:line="288" w:before="120" w:after="283"/>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increased $16.4 million during the three months ended March 31, 2023 compared to the prior year period, comprised of a $26.7 million increase</w:t>
      </w:r>
      <w:r>
        <w:rPr>
          <w:color w:val="FF0000"/>
        </w:rPr>
        <w:t> </w:t>
      </w:r>
      <w:r>
        <w:rPr>
          <w:rFonts w:ascii="Times New Roman;sans-serif" w:hAnsi="Times New Roman;sans-serif"/>
          <w:b w:val="false"/>
          <w:color w:val="000000"/>
          <w:sz w:val="20"/>
        </w:rPr>
        <w:t xml:space="preserve">in natural gas, NGLs and condensate sales, offset by a $6.6 million decrease in gathering services and related fees and a $3.7 million decrease in Other Revenue. </w:t>
      </w:r>
    </w:p>
    <w:p>
      <w:pPr>
        <w:pStyle w:val="TextBody"/>
        <w:spacing w:lineRule="auto" w:line="288" w:before="120" w:after="283"/>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$6.6 million compared to the three months ended March 31, 2022, primarily reflecting: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 $1.0 million decrease in the Piceance, primarily due to decreased volume throughput and the expiration of a customer’s minimum volume commitment;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 $1.9 million decrease in the Northeast, primarily due to decreased volume throughput;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$2.5 million decrease in the Rockies, primarily due to the sale of Bison Midstream in September 2022.</w:t>
      </w:r>
    </w:p>
    <w:p>
      <w:pPr>
        <w:pStyle w:val="TextBody"/>
        <w:spacing w:lineRule="auto" w:line="288" w:before="120" w:after="283"/>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$26.7 million compared to the three months ended March 31, 2022, primarily reflecting: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$33.7 million increase in revenues in the Rockies, primarily as a result of the 2022 DJ Acquisitions in December 2022; offset by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$6.9 million decrease in revenues from the Permian as a result of the disposition of the Lane G&amp;P System in June 2022.</w:t>
      </w:r>
    </w:p>
    <w:p>
      <w:pPr>
        <w:pStyle w:val="TextBody"/>
        <w:spacing w:lineRule="auto" w:line="288" w:before="120" w:after="283"/>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increased $13.4 million during the three months ended March 31, 2023 compared to the three months ended March 31, 2022.</w:t>
      </w:r>
    </w:p>
    <w:p>
      <w:pPr>
        <w:pStyle w:val="TextBody"/>
        <w:spacing w:lineRule="auto" w:line="288" w:before="120" w:after="283"/>
        <w:rPr/>
      </w:pPr>
      <w:r>
        <w:rPr>
          <w:rFonts w:ascii="Times New Roman;sans-serif" w:hAnsi="Times New Roman;sans-serif"/>
          <w:b w:val="false"/>
          <w:color w:val="000000"/>
          <w:sz w:val="20"/>
          <w:u w:val="single"/>
        </w:rPr>
        <w:t>Cost of Natural Gas and NGLs</w:t>
      </w:r>
      <w:r>
        <w:rPr>
          <w:rFonts w:ascii="Times New Roman;sans-serif" w:hAnsi="Times New Roman;sans-serif"/>
          <w:b w:val="false"/>
          <w:color w:val="000000"/>
          <w:sz w:val="20"/>
        </w:rPr>
        <w:t>. Cost of natural gas and NGLs increased $8.6 million for the three months ended March 31, 2023 compared to the three months ended March 31, 2022, primarily driven by the acquisition of Sterling DJ in December 2022.</w:t>
      </w:r>
    </w:p>
    <w:p>
      <w:pPr>
        <w:pStyle w:val="TextBody"/>
        <w:spacing w:lineRule="auto" w:line="288" w:before="120" w:after="283"/>
        <w:rPr/>
      </w:pPr>
      <w:r>
        <w:rPr>
          <w:rFonts w:ascii="Times New Roman;sans-serif" w:hAnsi="Times New Roman;sans-serif"/>
          <w:b w:val="false"/>
          <w:color w:val="000000"/>
          <w:sz w:val="20"/>
          <w:u w:val="single"/>
        </w:rPr>
        <w:t>Operation and Maintenance</w:t>
      </w:r>
      <w:r>
        <w:rPr>
          <w:rFonts w:ascii="Times New Roman;sans-serif" w:hAnsi="Times New Roman;sans-serif"/>
          <w:b w:val="false"/>
          <w:color w:val="000000"/>
          <w:sz w:val="20"/>
        </w:rPr>
        <w:t>. Operation and maintenance expense increased $6.9 million for the three months ended March 31, 2023 compared to the three months ended March 31, 2022 primarily as a result of the acquisitions of Sterling DJ and Outrigger DJ in December 2022, partially offset by the 2022 dispositions of the Lane G&amp;P System in June 2022 and Bison Midstream in September 2022.</w:t>
      </w:r>
    </w:p>
    <w:p>
      <w:pPr>
        <w:pStyle w:val="TextBody"/>
        <w:spacing w:lineRule="auto" w:line="288" w:before="120" w:after="283"/>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 decreased $3.0 million for the three months ended March 31, 2023 compared to the three months ended March 31, 2022 primarily due to $2.4 million of employee severance costs incurred during the three months ended March 31, 2022.</w:t>
      </w:r>
    </w:p>
    <w:p>
      <w:pPr>
        <w:pStyle w:val="TextBody"/>
        <w:spacing w:lineRule="auto" w:line="288" w:before="120" w:after="283"/>
        <w:rPr/>
      </w:pPr>
      <w:r>
        <w:rPr>
          <w:rFonts w:ascii="Times New Roman;sans-serif" w:hAnsi="Times New Roman;sans-serif"/>
          <w:b w:val="false"/>
          <w:color w:val="000000"/>
          <w:sz w:val="20"/>
          <w:u w:val="single"/>
        </w:rPr>
        <w:t>Acquisition Integration Costs</w:t>
      </w:r>
      <w:r>
        <w:rPr>
          <w:rFonts w:ascii="Times New Roman;sans-serif" w:hAnsi="Times New Roman;sans-serif"/>
          <w:b w:val="false"/>
          <w:color w:val="000000"/>
          <w:sz w:val="20"/>
        </w:rPr>
        <w:t>. Acquisition integration costs increased $1.5 million for the three months ended March 31, 2023, compared to the three months ended March 31, 2022 as a result of our December 2022 acquisitions of Sterling DJ and Outrigger DJ.</w:t>
      </w:r>
    </w:p>
    <w:p>
      <w:pPr>
        <w:pStyle w:val="TextBody"/>
        <w:spacing w:lineRule="auto" w:line="288" w:before="120" w:after="283"/>
        <w:rPr/>
      </w:pPr>
      <w:r>
        <w:rPr>
          <w:rFonts w:ascii="Times New Roman;sans-serif" w:hAnsi="Times New Roman;sans-serif"/>
          <w:b w:val="false"/>
          <w:color w:val="000000"/>
          <w:sz w:val="20"/>
          <w:u w:val="single"/>
        </w:rPr>
        <w:t>Depreciation and Amortization</w:t>
      </w:r>
      <w:r>
        <w:rPr>
          <w:rFonts w:ascii="Times New Roman;sans-serif" w:hAnsi="Times New Roman;sans-serif"/>
          <w:b w:val="false"/>
          <w:color w:val="000000"/>
          <w:sz w:val="20"/>
        </w:rPr>
        <w:t>. Depreciation and amortization expense decreased $0.6 million for the three months ended March 31, 2023 compared to the three months ended March 31, 2022.</w:t>
      </w:r>
    </w:p>
    <w:p>
      <w:pPr>
        <w:pStyle w:val="TextBody"/>
        <w:spacing w:lineRule="auto" w:line="288" w:before="120" w:after="283"/>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xml:space="preserve">. The increase in interest expense for the three month period ended March 31, 2023, compared to three months ended March 31, 2022, primarily resulted from higher interest costs from the issuance of the additional principal amounts of the 2026 Secured Notes, borrowings on the Permian Transmission Term Loan, higher amortization expense of debt issuance costs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and an increase of 50 basis points on the interest rate of our 2026 Secured Notes. Interest expense does not include the impact of gains or losses from our interest rate swaps entered into for the Permian Transmission Credit Facility.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Segment Overview for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i/>
          <w:color w:val="000000"/>
          <w:sz w:val="20"/>
        </w:rPr>
        <w:t>Northeast.</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8820" w:type="dxa"/>
        <w:jc w:val="left"/>
        <w:tblInd w:w="0" w:type="dxa"/>
        <w:tblCellMar>
          <w:top w:w="28" w:type="dxa"/>
          <w:left w:w="28" w:type="dxa"/>
          <w:bottom w:w="28" w:type="dxa"/>
          <w:right w:w="28" w:type="dxa"/>
        </w:tblCellMar>
      </w:tblPr>
      <w:tblGrid>
        <w:gridCol w:w="1623"/>
        <w:gridCol w:w="1429"/>
        <w:gridCol w:w="1432"/>
        <w:gridCol w:w="266"/>
        <w:gridCol w:w="266"/>
        <w:gridCol w:w="266"/>
        <w:gridCol w:w="266"/>
        <w:gridCol w:w="266"/>
        <w:gridCol w:w="266"/>
        <w:gridCol w:w="266"/>
        <w:gridCol w:w="266"/>
        <w:gridCol w:w="266"/>
        <w:gridCol w:w="109"/>
        <w:gridCol w:w="109"/>
        <w:gridCol w:w="109"/>
        <w:gridCol w:w="305"/>
        <w:gridCol w:w="305"/>
        <w:gridCol w:w="306"/>
        <w:gridCol w:w="109"/>
        <w:gridCol w:w="109"/>
        <w:gridCol w:w="109"/>
        <w:gridCol w:w="109"/>
        <w:gridCol w:w="109"/>
        <w:gridCol w:w="154"/>
      </w:tblGrid>
      <w:tr>
        <w:trPr/>
        <w:tc>
          <w:tcPr>
            <w:tcW w:w="1623"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c>
          <w:tcPr>
            <w:tcW w:w="699" w:type="dxa"/>
            <w:gridSpan w:val="6"/>
            <w:tcBorders/>
            <w:shd w:fill="auto" w:val="clea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Volume throughput for the Northeast, excluding Ohio Gathering, decreased 20% compared to the three months ended March 31, 2022, primarily due to natural production declines as well as frac-protect activities during the three months ended March 31, 2023 which decreased average daily throughput by approximately 20 MMcf/d for the three months ended March 31, 2023, partially offset by 18 well connections that came online subsequent to March 31, 2022.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Ohio Gathering system increased 6% compared to the three months ended March 31, 2022, primarily as a result of 38 new well connections that came online subsequent to March 31, 2022, partially offset by natural production declines and approximately 50 MMcf/d of volume shut-in for frac-protect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8550" w:type="dxa"/>
        <w:jc w:val="left"/>
        <w:tblInd w:w="0" w:type="dxa"/>
        <w:tblCellMar>
          <w:top w:w="28" w:type="dxa"/>
          <w:left w:w="28" w:type="dxa"/>
          <w:bottom w:w="28" w:type="dxa"/>
          <w:right w:w="28" w:type="dxa"/>
        </w:tblCellMar>
      </w:tblPr>
      <w:tblGrid>
        <w:gridCol w:w="1520"/>
        <w:gridCol w:w="1335"/>
        <w:gridCol w:w="1344"/>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109"/>
        <w:gridCol w:w="109"/>
        <w:gridCol w:w="154"/>
      </w:tblGrid>
      <w:tr>
        <w:trPr/>
        <w:tc>
          <w:tcPr>
            <w:tcW w:w="1520"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c>
          <w:tcPr>
            <w:tcW w:w="699" w:type="dxa"/>
            <w:gridSpan w:val="6"/>
            <w:tcBorders/>
            <w:shd w:fill="auto" w:val="clea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related to capital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activity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Ohio Gathering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spacing w:lineRule="auto" w:line="288" w:before="120" w:after="283"/>
        <w:rPr/>
      </w:pPr>
      <w:r>
        <w:rPr>
          <w:rFonts w:ascii="Times New Roman;sans-serif" w:hAnsi="Times New Roman;sans-serif"/>
          <w:b w:val="false"/>
          <w:color w:val="000000"/>
          <w:sz w:val="20"/>
          <w:u w:val="single"/>
        </w:rPr>
        <w:t>Three months ended March 31, 2023</w:t>
      </w:r>
      <w:r>
        <w:rPr>
          <w:rFonts w:ascii="Times New Roman;sans-serif" w:hAnsi="Times New Roman;sans-serif"/>
          <w:b w:val="false"/>
          <w:color w:val="000000"/>
          <w:sz w:val="20"/>
        </w:rPr>
        <w:t>. Segment adjusted EBITDA decreased</w:t>
      </w:r>
      <w:r>
        <w:rPr>
          <w:color w:val="FF0000"/>
        </w:rPr>
        <w:t> </w:t>
      </w:r>
      <w:r>
        <w:rPr>
          <w:rFonts w:ascii="Times New Roman;sans-serif" w:hAnsi="Times New Roman;sans-serif"/>
          <w:b w:val="false"/>
          <w:color w:val="000000"/>
          <w:sz w:val="20"/>
        </w:rPr>
        <w:t>$2.2 million, compared to the three months ended March 31, 2022 primarily as a result of a $1.9 million decrease in revenue from gathering services and related fees as a result of lower volume throughput discussed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i/>
          <w:color w:val="000000"/>
          <w:sz w:val="20"/>
        </w:rPr>
        <w:t>Rockies.</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9271" w:type="dxa"/>
        <w:jc w:val="left"/>
        <w:tblInd w:w="0" w:type="dxa"/>
        <w:tblCellMar>
          <w:top w:w="28" w:type="dxa"/>
          <w:left w:w="28" w:type="dxa"/>
          <w:bottom w:w="28" w:type="dxa"/>
          <w:right w:w="28" w:type="dxa"/>
        </w:tblCellMar>
      </w:tblPr>
      <w:tblGrid>
        <w:gridCol w:w="1786"/>
        <w:gridCol w:w="1572"/>
        <w:gridCol w:w="1577"/>
        <w:gridCol w:w="266"/>
        <w:gridCol w:w="266"/>
        <w:gridCol w:w="266"/>
        <w:gridCol w:w="266"/>
        <w:gridCol w:w="266"/>
        <w:gridCol w:w="266"/>
        <w:gridCol w:w="266"/>
        <w:gridCol w:w="266"/>
        <w:gridCol w:w="266"/>
        <w:gridCol w:w="109"/>
        <w:gridCol w:w="109"/>
        <w:gridCol w:w="109"/>
        <w:gridCol w:w="305"/>
        <w:gridCol w:w="305"/>
        <w:gridCol w:w="306"/>
        <w:gridCol w:w="109"/>
        <w:gridCol w:w="109"/>
        <w:gridCol w:w="109"/>
        <w:gridCol w:w="109"/>
        <w:gridCol w:w="109"/>
        <w:gridCol w:w="154"/>
      </w:tblGrid>
      <w:tr>
        <w:trPr/>
        <w:tc>
          <w:tcPr>
            <w:tcW w:w="1786"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c>
          <w:tcPr>
            <w:tcW w:w="699" w:type="dxa"/>
            <w:gridSpan w:val="6"/>
            <w:tcBorders/>
            <w:shd w:fill="auto" w:val="clea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increased</w:t>
      </w:r>
      <w:r>
        <w:rPr>
          <w:color w:val="FF0000"/>
        </w:rPr>
        <w:t> </w:t>
      </w:r>
      <w:r>
        <w:rPr>
          <w:rFonts w:ascii="Times New Roman;sans-serif" w:hAnsi="Times New Roman;sans-serif"/>
          <w:b w:val="false"/>
          <w:color w:val="000000"/>
          <w:sz w:val="20"/>
        </w:rPr>
        <w:t>272% compared to the three months ended March 31, 2022, primarily reflecting the 2022 DJ Acquisitions in December 2022 and 35 new well connections that came online subsequent to March 31, 2022, partially offset by the sale of Bison Midstream in September 2022. Aggregate average daily throughput for the three months ended March 31, 2022 includes 11 MMcf/d related to Bison Midstream assets, which have been sold.</w:t>
      </w:r>
    </w:p>
    <w:p>
      <w:pPr>
        <w:pStyle w:val="TextBody"/>
        <w:spacing w:lineRule="auto" w:line="288" w:before="120" w:after="283"/>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xml:space="preserve">. Liquids volume throughput increased 14% compared to the three months ended March 31, 2022, primarily associated with 53 new well connections that came online subsequent to March 31, 2022, including 23 which came online in the three months ended March 31, 2023.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7868" w:type="dxa"/>
        <w:jc w:val="left"/>
        <w:tblInd w:w="0" w:type="dxa"/>
        <w:tblCellMar>
          <w:top w:w="28" w:type="dxa"/>
          <w:left w:w="28" w:type="dxa"/>
          <w:bottom w:w="28" w:type="dxa"/>
          <w:right w:w="28" w:type="dxa"/>
        </w:tblCellMar>
      </w:tblPr>
      <w:tblGrid>
        <w:gridCol w:w="1205"/>
        <w:gridCol w:w="1059"/>
        <w:gridCol w:w="1065"/>
        <w:gridCol w:w="211"/>
        <w:gridCol w:w="721"/>
        <w:gridCol w:w="109"/>
        <w:gridCol w:w="203"/>
        <w:gridCol w:w="203"/>
        <w:gridCol w:w="109"/>
        <w:gridCol w:w="211"/>
        <w:gridCol w:w="721"/>
        <w:gridCol w:w="109"/>
        <w:gridCol w:w="109"/>
        <w:gridCol w:w="109"/>
        <w:gridCol w:w="109"/>
        <w:gridCol w:w="305"/>
        <w:gridCol w:w="305"/>
        <w:gridCol w:w="306"/>
        <w:gridCol w:w="109"/>
        <w:gridCol w:w="109"/>
        <w:gridCol w:w="109"/>
        <w:gridCol w:w="109"/>
        <w:gridCol w:w="109"/>
        <w:gridCol w:w="154"/>
      </w:tblGrid>
      <w:tr>
        <w:trPr/>
        <w:tc>
          <w:tcPr>
            <w:tcW w:w="120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c>
          <w:tcPr>
            <w:tcW w:w="699" w:type="dxa"/>
            <w:gridSpan w:val="6"/>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activity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u w:val="single"/>
        </w:rPr>
        <w:t>Three months ended March 31, 2023</w:t>
      </w:r>
      <w:r>
        <w:rPr>
          <w:rFonts w:ascii="Times New Roman;sans-serif" w:hAnsi="Times New Roman;sans-serif"/>
          <w:b w:val="false"/>
          <w:color w:val="000000"/>
          <w:sz w:val="20"/>
        </w:rPr>
        <w:t>. Segment adjusted EBITDA increased $7.3 million, compared to the three months ended March 31, 2022 primarily due to the 2022 DJ Acquisitions in December 2022, partially offset by the sale of Bison Midstream in September 2022.</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i/>
          <w:color w:val="000000"/>
          <w:sz w:val="20"/>
        </w:rPr>
        <w:t>Permian.</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8326" w:type="dxa"/>
        <w:jc w:val="left"/>
        <w:tblInd w:w="0" w:type="dxa"/>
        <w:tblCellMar>
          <w:top w:w="28" w:type="dxa"/>
          <w:left w:w="28" w:type="dxa"/>
          <w:bottom w:w="28" w:type="dxa"/>
          <w:right w:w="28" w:type="dxa"/>
        </w:tblCellMar>
      </w:tblPr>
      <w:tblGrid>
        <w:gridCol w:w="1444"/>
        <w:gridCol w:w="1272"/>
        <w:gridCol w:w="1274"/>
        <w:gridCol w:w="266"/>
        <w:gridCol w:w="266"/>
        <w:gridCol w:w="266"/>
        <w:gridCol w:w="266"/>
        <w:gridCol w:w="266"/>
        <w:gridCol w:w="266"/>
        <w:gridCol w:w="266"/>
        <w:gridCol w:w="266"/>
        <w:gridCol w:w="266"/>
        <w:gridCol w:w="109"/>
        <w:gridCol w:w="109"/>
        <w:gridCol w:w="109"/>
        <w:gridCol w:w="305"/>
        <w:gridCol w:w="305"/>
        <w:gridCol w:w="306"/>
        <w:gridCol w:w="109"/>
        <w:gridCol w:w="109"/>
        <w:gridCol w:w="109"/>
        <w:gridCol w:w="109"/>
        <w:gridCol w:w="109"/>
        <w:gridCol w:w="154"/>
      </w:tblGrid>
      <w:tr>
        <w:trPr/>
        <w:tc>
          <w:tcPr>
            <w:tcW w:w="1444"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c>
          <w:tcPr>
            <w:tcW w:w="699" w:type="dxa"/>
            <w:gridSpan w:val="6"/>
            <w:tcBorders/>
            <w:shd w:fill="auto" w:val="clea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June 30, 2022, we completed the sale of our Lane G&amp;P System.</w:t>
      </w:r>
    </w:p>
    <w:p>
      <w:pPr>
        <w:pStyle w:val="TextBody"/>
        <w:spacing w:lineRule="auto" w:line="288" w:before="120" w:after="283"/>
        <w:rPr/>
      </w:pPr>
      <w:r>
        <w:rPr>
          <w:rFonts w:ascii="Times New Roman;sans-serif" w:hAnsi="Times New Roman;sans-serif"/>
          <w:b w:val="false"/>
          <w:color w:val="000000"/>
          <w:sz w:val="20"/>
          <w:highlight w:val="white"/>
        </w:rPr>
        <w:t xml:space="preserve">Volume throughput for Double E increased 41% for the three months ended March 31, 2023 </w:t>
      </w:r>
      <w:r>
        <w:rPr>
          <w:rFonts w:ascii="Times New Roman;sans-serif" w:hAnsi="Times New Roman;sans-serif"/>
          <w:b w:val="false"/>
          <w:color w:val="000000"/>
          <w:sz w:val="20"/>
        </w:rPr>
        <w:t>compared to the three months ended March 31, 2022, as a result of increased shipments on the Double E Pipeline</w:t>
      </w:r>
      <w:r>
        <w:rPr>
          <w:rFonts w:ascii="Times New Roman;sans-serif" w:hAnsi="Times New Roman;sans-serif"/>
          <w:b w:val="false"/>
          <w:color w:val="000000"/>
          <w:sz w:val="20"/>
          <w:highlight w:val="white"/>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MVC quantities that Double E’s shippers have contracted to with firm transportation service agreements and related negotiated rate agreements.</w:t>
      </w:r>
    </w:p>
    <w:tbl>
      <w:tblPr>
        <w:tblW w:w="6914" w:type="dxa"/>
        <w:jc w:val="left"/>
        <w:tblInd w:w="0" w:type="dxa"/>
        <w:tblCellMar>
          <w:top w:w="28" w:type="dxa"/>
          <w:left w:w="28" w:type="dxa"/>
          <w:bottom w:w="28" w:type="dxa"/>
          <w:right w:w="28" w:type="dxa"/>
        </w:tblCellMar>
      </w:tblPr>
      <w:tblGrid>
        <w:gridCol w:w="744"/>
        <w:gridCol w:w="654"/>
        <w:gridCol w:w="657"/>
        <w:gridCol w:w="1419"/>
        <w:gridCol w:w="1419"/>
        <w:gridCol w:w="2021"/>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MMBTU/day)</w:t>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MVC quantities for the year ended December 31,</w:t>
            </w:r>
          </w:p>
        </w:tc>
      </w:tr>
      <w:tr>
        <w:trPr/>
        <w:tc>
          <w:tcPr>
            <w:tcW w:w="2055"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28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831,096 </w:t>
            </w:r>
          </w:p>
        </w:tc>
        <w:tc>
          <w:tcPr>
            <w:tcW w:w="20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2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986,803 </w:t>
            </w:r>
          </w:p>
        </w:tc>
        <w:tc>
          <w:tcPr>
            <w:tcW w:w="20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2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20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2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20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2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20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2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20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2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20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2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20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2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879,452 </w:t>
            </w:r>
          </w:p>
        </w:tc>
        <w:tc>
          <w:tcPr>
            <w:tcW w:w="20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8045" w:type="dxa"/>
        <w:jc w:val="left"/>
        <w:tblInd w:w="0" w:type="dxa"/>
        <w:tblCellMar>
          <w:top w:w="28" w:type="dxa"/>
          <w:left w:w="28" w:type="dxa"/>
          <w:bottom w:w="28" w:type="dxa"/>
          <w:right w:w="28" w:type="dxa"/>
        </w:tblCellMar>
      </w:tblPr>
      <w:tblGrid>
        <w:gridCol w:w="1341"/>
        <w:gridCol w:w="1178"/>
        <w:gridCol w:w="1185"/>
        <w:gridCol w:w="230"/>
        <w:gridCol w:w="672"/>
        <w:gridCol w:w="119"/>
        <w:gridCol w:w="119"/>
        <w:gridCol w:w="119"/>
        <w:gridCol w:w="119"/>
        <w:gridCol w:w="230"/>
        <w:gridCol w:w="672"/>
        <w:gridCol w:w="119"/>
        <w:gridCol w:w="109"/>
        <w:gridCol w:w="109"/>
        <w:gridCol w:w="109"/>
        <w:gridCol w:w="305"/>
        <w:gridCol w:w="305"/>
        <w:gridCol w:w="306"/>
        <w:gridCol w:w="109"/>
        <w:gridCol w:w="109"/>
        <w:gridCol w:w="109"/>
        <w:gridCol w:w="109"/>
        <w:gridCol w:w="109"/>
        <w:gridCol w:w="154"/>
      </w:tblGrid>
      <w:tr>
        <w:trPr/>
        <w:tc>
          <w:tcPr>
            <w:tcW w:w="1341"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c>
          <w:tcPr>
            <w:tcW w:w="699" w:type="dxa"/>
            <w:gridSpan w:val="6"/>
            <w:tcBorders/>
            <w:shd w:fill="auto" w:val="clea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3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spacing w:lineRule="auto" w:line="288" w:before="120" w:after="283"/>
        <w:rPr/>
      </w:pPr>
      <w:r>
        <w:rPr>
          <w:rFonts w:ascii="Times New Roman;sans-serif" w:hAnsi="Times New Roman;sans-serif"/>
          <w:b w:val="false"/>
          <w:color w:val="000000"/>
          <w:sz w:val="20"/>
          <w:u w:val="single"/>
        </w:rPr>
        <w:t>Three months ended March 31, 2023</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$0.9 million compared to the three months ended March 31, 2022, primarily as a result of an increase in proportional adjusted EBITDA from our equity method investment in Double 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Piceance.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8236" w:type="dxa"/>
        <w:jc w:val="left"/>
        <w:tblInd w:w="0" w:type="dxa"/>
        <w:tblCellMar>
          <w:top w:w="28" w:type="dxa"/>
          <w:left w:w="28" w:type="dxa"/>
          <w:bottom w:w="28" w:type="dxa"/>
          <w:right w:w="28" w:type="dxa"/>
        </w:tblCellMar>
      </w:tblPr>
      <w:tblGrid>
        <w:gridCol w:w="1412"/>
        <w:gridCol w:w="1242"/>
        <w:gridCol w:w="1246"/>
        <w:gridCol w:w="266"/>
        <w:gridCol w:w="266"/>
        <w:gridCol w:w="266"/>
        <w:gridCol w:w="266"/>
        <w:gridCol w:w="266"/>
        <w:gridCol w:w="266"/>
        <w:gridCol w:w="266"/>
        <w:gridCol w:w="266"/>
        <w:gridCol w:w="266"/>
        <w:gridCol w:w="109"/>
        <w:gridCol w:w="109"/>
        <w:gridCol w:w="109"/>
        <w:gridCol w:w="305"/>
        <w:gridCol w:w="305"/>
        <w:gridCol w:w="306"/>
        <w:gridCol w:w="109"/>
        <w:gridCol w:w="109"/>
        <w:gridCol w:w="109"/>
        <w:gridCol w:w="109"/>
        <w:gridCol w:w="109"/>
        <w:gridCol w:w="154"/>
      </w:tblGrid>
      <w:tr>
        <w:trPr/>
        <w:tc>
          <w:tcPr>
            <w:tcW w:w="141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c>
          <w:tcPr>
            <w:tcW w:w="699" w:type="dxa"/>
            <w:gridSpan w:val="6"/>
            <w:tcBorders/>
            <w:shd w:fill="auto" w:val="clea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decreased 8% compared to the three months ended March 31, 2022, as a result of natural production decline, partially offset by 8 new well connections that came online in March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8821" w:type="dxa"/>
        <w:jc w:val="left"/>
        <w:tblInd w:w="0" w:type="dxa"/>
        <w:tblCellMar>
          <w:top w:w="28" w:type="dxa"/>
          <w:left w:w="28" w:type="dxa"/>
          <w:bottom w:w="28" w:type="dxa"/>
          <w:right w:w="28" w:type="dxa"/>
        </w:tblCellMar>
      </w:tblPr>
      <w:tblGrid>
        <w:gridCol w:w="1618"/>
        <w:gridCol w:w="1422"/>
        <w:gridCol w:w="1430"/>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109"/>
        <w:gridCol w:w="109"/>
        <w:gridCol w:w="154"/>
      </w:tblGrid>
      <w:tr>
        <w:trPr/>
        <w:tc>
          <w:tcPr>
            <w:tcW w:w="1618"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c>
          <w:tcPr>
            <w:tcW w:w="699" w:type="dxa"/>
            <w:gridSpan w:val="6"/>
            <w:tcBorders/>
            <w:shd w:fill="auto" w:val="clea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spacing w:lineRule="auto" w:line="288" w:before="120" w:after="283"/>
        <w:rPr/>
      </w:pPr>
      <w:r>
        <w:rPr>
          <w:rFonts w:ascii="Times New Roman;sans-serif" w:hAnsi="Times New Roman;sans-serif"/>
          <w:b w:val="false"/>
          <w:color w:val="000000"/>
          <w:sz w:val="20"/>
          <w:u w:val="single"/>
        </w:rPr>
        <w:t>Three months ended March 31, 2023</w:t>
      </w:r>
      <w:r>
        <w:rPr>
          <w:rFonts w:ascii="Times New Roman;sans-serif" w:hAnsi="Times New Roman;sans-serif"/>
          <w:b w:val="false"/>
          <w:color w:val="000000"/>
          <w:sz w:val="20"/>
        </w:rPr>
        <w:t>. Segment adjusted EBITDA decreased $1.8 million, compared to the three months ended March 31, 2022, primarily reflecting a decrease in volume throughput as a result of natural production declines and reduction in a certain customer’s minimum volume commitment that expired in 2022, partially offset by 8 new well connections that came online in March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i/>
          <w:color w:val="000000"/>
          <w:sz w:val="20"/>
        </w:rPr>
        <w:t>Barnett.</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Barnett reportable segment follows.</w:t>
      </w:r>
    </w:p>
    <w:tbl>
      <w:tblPr>
        <w:tblW w:w="7395" w:type="dxa"/>
        <w:jc w:val="left"/>
        <w:tblInd w:w="0" w:type="dxa"/>
        <w:tblCellMar>
          <w:top w:w="28" w:type="dxa"/>
          <w:left w:w="28" w:type="dxa"/>
          <w:bottom w:w="28" w:type="dxa"/>
          <w:right w:w="28" w:type="dxa"/>
        </w:tblCellMar>
      </w:tblPr>
      <w:tblGrid>
        <w:gridCol w:w="1107"/>
        <w:gridCol w:w="975"/>
        <w:gridCol w:w="977"/>
        <w:gridCol w:w="266"/>
        <w:gridCol w:w="266"/>
        <w:gridCol w:w="266"/>
        <w:gridCol w:w="266"/>
        <w:gridCol w:w="266"/>
        <w:gridCol w:w="266"/>
        <w:gridCol w:w="266"/>
        <w:gridCol w:w="266"/>
        <w:gridCol w:w="266"/>
        <w:gridCol w:w="109"/>
        <w:gridCol w:w="109"/>
        <w:gridCol w:w="109"/>
        <w:gridCol w:w="305"/>
        <w:gridCol w:w="305"/>
        <w:gridCol w:w="306"/>
        <w:gridCol w:w="109"/>
        <w:gridCol w:w="109"/>
        <w:gridCol w:w="109"/>
        <w:gridCol w:w="109"/>
        <w:gridCol w:w="109"/>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c>
          <w:tcPr>
            <w:tcW w:w="699" w:type="dxa"/>
            <w:gridSpan w:val="6"/>
            <w:tcBorders/>
            <w:shd w:fill="auto" w:val="clea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increased 1% compared to the three months ended March 31, 2022, primarily as a result of 12 wells that came online subsequent to March 31, 2022, partially offset by natural production declines and approximately 6 MMcf/d of volume shut-in for frac-protect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Barnett reportable segment follows.</w:t>
      </w:r>
    </w:p>
    <w:tbl>
      <w:tblPr>
        <w:tblW w:w="7666" w:type="dxa"/>
        <w:jc w:val="left"/>
        <w:tblInd w:w="0" w:type="dxa"/>
        <w:tblCellMar>
          <w:top w:w="28" w:type="dxa"/>
          <w:left w:w="28" w:type="dxa"/>
          <w:bottom w:w="28" w:type="dxa"/>
          <w:right w:w="28" w:type="dxa"/>
        </w:tblCellMar>
      </w:tblPr>
      <w:tblGrid>
        <w:gridCol w:w="1205"/>
        <w:gridCol w:w="1059"/>
        <w:gridCol w:w="1065"/>
        <w:gridCol w:w="219"/>
        <w:gridCol w:w="751"/>
        <w:gridCol w:w="113"/>
        <w:gridCol w:w="113"/>
        <w:gridCol w:w="113"/>
        <w:gridCol w:w="113"/>
        <w:gridCol w:w="219"/>
        <w:gridCol w:w="641"/>
        <w:gridCol w:w="113"/>
        <w:gridCol w:w="109"/>
        <w:gridCol w:w="109"/>
        <w:gridCol w:w="109"/>
        <w:gridCol w:w="305"/>
        <w:gridCol w:w="305"/>
        <w:gridCol w:w="306"/>
        <w:gridCol w:w="109"/>
        <w:gridCol w:w="109"/>
        <w:gridCol w:w="109"/>
        <w:gridCol w:w="109"/>
        <w:gridCol w:w="109"/>
        <w:gridCol w:w="154"/>
      </w:tblGrid>
      <w:tr>
        <w:trPr/>
        <w:tc>
          <w:tcPr>
            <w:tcW w:w="120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8"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c>
          <w:tcPr>
            <w:tcW w:w="699" w:type="dxa"/>
            <w:gridSpan w:val="6"/>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activity</w:t>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spacing w:lineRule="auto" w:line="288" w:before="120" w:after="283"/>
        <w:ind w:left="0" w:right="0" w:hanging="360"/>
        <w:rPr/>
      </w:pPr>
      <w:r>
        <w:rPr>
          <w:rFonts w:ascii="Times New Roman;sans-serif" w:hAnsi="Times New Roman;sans-serif"/>
          <w:b w:val="false"/>
          <w:color w:val="000000"/>
          <w:sz w:val="15"/>
        </w:rPr>
        <w:t>(1)</w:t>
      </w:r>
      <w:r>
        <w:rPr>
          <w:rFonts w:ascii="Times New Roman;sans-serif" w:hAnsi="Times New Roman;sans-serif"/>
          <w:b w:val="false"/>
          <w:color w:val="000000"/>
          <w:sz w:val="18"/>
        </w:rPr>
        <w:t>Includes the amortization expense associated with our favorable gas gathering contracts as reported in Other revenues.</w:t>
      </w:r>
    </w:p>
    <w:p>
      <w:pPr>
        <w:pStyle w:val="TextBody"/>
        <w:spacing w:lineRule="auto" w:line="288" w:before="120" w:after="283"/>
        <w:rPr/>
      </w:pPr>
      <w:r>
        <w:rPr>
          <w:rFonts w:ascii="Times New Roman;sans-serif" w:hAnsi="Times New Roman;sans-serif"/>
          <w:b w:val="false"/>
          <w:color w:val="000000"/>
          <w:sz w:val="20"/>
          <w:u w:val="single"/>
        </w:rPr>
        <w:t>Three months ended March 31, 2023</w:t>
      </w:r>
      <w:r>
        <w:rPr>
          <w:rFonts w:ascii="Times New Roman;sans-serif" w:hAnsi="Times New Roman;sans-serif"/>
          <w:b w:val="false"/>
          <w:color w:val="000000"/>
          <w:sz w:val="20"/>
        </w:rPr>
        <w:t>. Segment adjusted EBITDA decreased $2.3 million, compared to the three months ended March 31, 2022, primarily as a result of $1.7 million of commercial settlements that benefited the segment’s financial results in the first quarter of 2022 and did not occur for the remainder of 2022 or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Corporate and Other Overview for the Three Months Ended March 31, 2023 and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and interest expense.</w:t>
      </w:r>
    </w:p>
    <w:tbl>
      <w:tblPr>
        <w:tblW w:w="6694" w:type="dxa"/>
        <w:jc w:val="left"/>
        <w:tblInd w:w="0" w:type="dxa"/>
        <w:tblCellMar>
          <w:top w:w="28" w:type="dxa"/>
          <w:left w:w="28" w:type="dxa"/>
          <w:bottom w:w="28" w:type="dxa"/>
          <w:right w:w="28" w:type="dxa"/>
        </w:tblCellMar>
      </w:tblPr>
      <w:tblGrid>
        <w:gridCol w:w="853"/>
        <w:gridCol w:w="748"/>
        <w:gridCol w:w="753"/>
        <w:gridCol w:w="275"/>
        <w:gridCol w:w="530"/>
        <w:gridCol w:w="142"/>
        <w:gridCol w:w="142"/>
        <w:gridCol w:w="142"/>
        <w:gridCol w:w="142"/>
        <w:gridCol w:w="275"/>
        <w:gridCol w:w="608"/>
        <w:gridCol w:w="142"/>
        <w:gridCol w:w="109"/>
        <w:gridCol w:w="109"/>
        <w:gridCol w:w="109"/>
        <w:gridCol w:w="305"/>
        <w:gridCol w:w="305"/>
        <w:gridCol w:w="306"/>
        <w:gridCol w:w="109"/>
        <w:gridCol w:w="109"/>
        <w:gridCol w:w="109"/>
        <w:gridCol w:w="109"/>
        <w:gridCol w:w="109"/>
        <w:gridCol w:w="154"/>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c>
          <w:tcPr>
            <w:tcW w:w="699" w:type="dxa"/>
            <w:gridSpan w:val="6"/>
            <w:tcBorders/>
            <w:shd w:fill="auto" w:val="clea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5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spacing w:lineRule="auto" w:line="288" w:before="120" w:after="283"/>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 decreased by $2.6 million, compared to the three months ended March 31, 2022, primarily related to $2.4 million of employee severance costs incurred during the three months ended March 31, 2022.</w:t>
      </w:r>
    </w:p>
    <w:p>
      <w:pPr>
        <w:pStyle w:val="TextBody"/>
        <w:spacing w:lineRule="auto" w:line="288" w:before="120" w:after="283"/>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The increase in interest expense for the three months ended March 31, 2023, compared to three months ended March 31, 2022, primarily resulted from higher interest costs from the issuance of the additional principal amounts of the 2026 Secured Notes and borrowings on the Permian Transmission Term Loan, higher amortization expense of debt issuance costs and an increase of 50 basis points on the interest rate of our 2026 Secured Notes. Interest expense does not include the impact of gains or losses from our interest rate swaps entered into for the Permian Transmission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Liquidity and Capital Resources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external financing sources, including our ABL Facility, and the issuance of debt, equity and preferred equity securities, and proceeds from potential asset divestitures to fund our capital expenditures. We believe that our ABL Facility and Permian Transmission Credit Facility, together with internally generated cash flows and access to debt or equity capital markets, will be adequate to finance our operations for the next twelve months without adversely impacting our liquidity.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March 31, 2023, our material off-balance sheet arrangements and transactions include (i) letters of credit outstanding against our ABL Facility aggregating to $4.3 million, and (ii) letters of credit outstanding against our Permian Transmission Credit Facility aggregating to $10.5 million. There are no other transactions, arrangements or other relationships with unconsolidated entities or other persons that are reasonably likely to materially affect our liquidity or availability of our capital resources.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i/>
          <w:color w:val="000000"/>
          <w:sz w:val="20"/>
        </w:rPr>
        <w:t>Indebtedness Compliance as of March 31, 2023.</w:t>
      </w:r>
      <w:r>
        <w:rPr>
          <w:color w:val="000000"/>
        </w:rPr>
        <w:t xml:space="preserve"> </w:t>
      </w:r>
      <w:r>
        <w:rPr>
          <w:rFonts w:ascii="Times New Roman;sans-serif" w:hAnsi="Times New Roman;sans-serif"/>
          <w:b w:val="false"/>
          <w:color w:val="000000"/>
          <w:sz w:val="20"/>
        </w:rPr>
        <w:t xml:space="preserve">As of March 31, 2023, we were in compliance with all covenants contained in the Senior Notes, the ABL Facility and the Permian Transmission Credit Facility. 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March 31, 2023, the First Lien Net Leverage Ratio and Interest Coverage Ratio was 1.24:1.00 and 2.37:1.00, respectively.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Credit Agreements and Financing Activities</w:t>
      </w:r>
    </w:p>
    <w:p>
      <w:pPr>
        <w:pStyle w:val="TextBody"/>
        <w:spacing w:lineRule="auto" w:line="288" w:before="120" w:after="283"/>
        <w:rPr/>
      </w:pPr>
      <w:r>
        <w:rPr>
          <w:rFonts w:ascii="Times New Roman;sans-serif" w:hAnsi="Times New Roman;sans-serif"/>
          <w:b/>
          <w:i/>
          <w:color w:val="000000"/>
          <w:sz w:val="20"/>
        </w:rPr>
        <w:t>ABL Facility.</w:t>
      </w:r>
      <w:r>
        <w:rPr>
          <w:color w:val="000000"/>
        </w:rPr>
        <w:t xml:space="preserve"> </w:t>
      </w:r>
      <w:r>
        <w:rPr>
          <w:rFonts w:ascii="Times New Roman;sans-serif" w:hAnsi="Times New Roman;sans-serif"/>
          <w:b w:val="false"/>
          <w:color w:val="000000"/>
          <w:sz w:val="20"/>
        </w:rPr>
        <w:t xml:space="preserve">As of March 31, 2023, we had a $400.0 million revolving ABL Facility with a maturity date of May 1, 2026. As of March 31, 2023, the outstanding balance of the ABL Facility was $317.0 million and the available borrowing capacity totaled $78.7 million after giving effect to the issuance thereunder of $4.3 million of outstanding but undrawn irrevocable standby letters of credit. </w:t>
      </w:r>
    </w:p>
    <w:p>
      <w:pPr>
        <w:pStyle w:val="TextBody"/>
        <w:spacing w:lineRule="auto" w:line="288" w:before="120" w:after="283"/>
        <w:rPr/>
      </w:pPr>
      <w:r>
        <w:rPr>
          <w:rFonts w:ascii="Times New Roman;sans-serif" w:hAnsi="Times New Roman;sans-serif"/>
          <w:b/>
          <w:i/>
          <w:color w:val="000000"/>
          <w:sz w:val="20"/>
        </w:rPr>
        <w:t>2025 Senior Notes</w:t>
      </w:r>
      <w:r>
        <w:rPr>
          <w:rFonts w:ascii="Times New Roman;sans-serif" w:hAnsi="Times New Roman;sans-serif"/>
          <w:b w:val="false"/>
          <w:color w:val="000000"/>
          <w:sz w:val="20"/>
        </w:rPr>
        <w:t>. In February 2017, the Co-Issuers co-issued $500.0 million of 5.75% senior unsecured notes maturing April 15, 2025 (the “2025 Senior Notes”). As of March 31, 2023, the outstanding balance of the 2025 Senior Notes was $259.5 million. The 2025 Senior Notes are senior, unsecured obligations and rank equally in right of payment with all of our existing and future senior obligations. The 2025 Senior Notes are effectively subordinated in right of payment to all of our secured indebtedness, to the extent of the collateral securing such indebtedness. As of March 31, 2023, the Co-Issuers could redeem all or part of the 2025 Senior Notes at a redemption price of 101.438% (and such redemption price has subsequently declined to 100.000% on April 15, 2023), plus accrued and unpaid interest, if any, to, but not including, the redemption date.</w:t>
      </w:r>
    </w:p>
    <w:p>
      <w:pPr>
        <w:pStyle w:val="TextBody"/>
        <w:spacing w:lineRule="auto" w:line="288" w:before="120" w:after="283"/>
        <w:rPr/>
      </w:pPr>
      <w:r>
        <w:rPr>
          <w:rFonts w:ascii="Times New Roman;sans-serif" w:hAnsi="Times New Roman;sans-serif"/>
          <w:b/>
          <w:i/>
          <w:color w:val="000000"/>
          <w:sz w:val="20"/>
        </w:rPr>
        <w:t>2026 Secured Notes</w:t>
      </w:r>
      <w:r>
        <w:rPr>
          <w:rFonts w:ascii="Times New Roman;sans-serif" w:hAnsi="Times New Roman;sans-serif"/>
          <w:b w:val="false"/>
          <w:color w:val="000000"/>
          <w:sz w:val="20"/>
        </w:rPr>
        <w:t>. In November 2021, we issued $700.0 million of the 2026 Secured Notes, at a price of 98.5% of face value. Additionally, in November 2022, in connection with the 2022 DJ Acquisitions, we issued an additional $85.0 million of 2026 Secured Notes at a price of 99.26% of their face value. The Co-Issuers pay interest on the 2026 Secured Notes semi-annually on April 15 and October 15 of each year, and the 2026 Secured Notes are jointly and severally guaranteed, on a senior second-priority secured basis (subject to permitted liens), by us and each of our restricted subsidiaries that is an obligor under the ABL Facility, or under the 2025 Senior Notes on the issue date of the 2026 Secured Notes. As of March 31, 2023, the outstanding balance of the 2026 Secured Notes was $785.0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ended 2025, we are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Generally, if we do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the extent we make an offer to purchase, and the offer is not fully accepted by the holders of the 2026 Secured Notes, we may use any remaining amount not accepted for any purpose not prohibited by the 2026 Secured Notes Indenture, or the ABL Facility. Based on the amount of our Excess Cash Flow for the fiscal year ended 2022, we were not able to make offers to purchase in the designated amount for the fiscal year ended 2022; as a result, the interest rate on the 2026 Secured Notes increased 50 basis points to 9.00% effective with the first payment on April 1, 2023, resulting in increased annual interest expense of approximately $3.9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and cash equivalents were as follows:</w:t>
      </w:r>
    </w:p>
    <w:tbl>
      <w:tblPr>
        <w:tblW w:w="7089" w:type="dxa"/>
        <w:jc w:val="left"/>
        <w:tblInd w:w="0" w:type="dxa"/>
        <w:tblCellMar>
          <w:top w:w="28" w:type="dxa"/>
          <w:left w:w="28" w:type="dxa"/>
          <w:bottom w:w="28" w:type="dxa"/>
          <w:right w:w="28" w:type="dxa"/>
        </w:tblCellMar>
      </w:tblPr>
      <w:tblGrid>
        <w:gridCol w:w="1677"/>
        <w:gridCol w:w="1477"/>
        <w:gridCol w:w="1481"/>
        <w:gridCol w:w="211"/>
        <w:gridCol w:w="721"/>
        <w:gridCol w:w="109"/>
        <w:gridCol w:w="109"/>
        <w:gridCol w:w="109"/>
        <w:gridCol w:w="109"/>
        <w:gridCol w:w="211"/>
        <w:gridCol w:w="721"/>
        <w:gridCol w:w="154"/>
      </w:tblGrid>
      <w:tr>
        <w:trPr/>
        <w:tc>
          <w:tcPr>
            <w:tcW w:w="1677"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three months ended March 31, 2023 primarily reflected: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a loss of $14.2 million plus positive adjustments of $43.7 million for non-cash operating items. </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$20.1 million increase in working capital accounts.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three months ended March 31, 2022 primarily reflected: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$12.5 million increase in working capital accounts;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positive adjustments of $33.6 million for non-cash items.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three months ended March 31, 2023 primarily reflected: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$16.4 million of cash outflows for capital expenditures;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$3.5 million of cash investments in the Double E Project. </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three months ended March 31, 2022 primarily reflected: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$8.4 million for cash investments in the Double E Project;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$8.7 million of cash outflows for capital expenditures; offset by</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$1.9 million of cash proceeds from the sale of compressors.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three months ended March 31, 2023 primarily reflected: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$13.0 million of cash outflow for repayments on the ABL Facility, </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$2.5 million of cash outflow for repayments on the Permian Transmission Term Loan.</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three months ended March 31, 2022 primarily reflected: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$34.0 million of cash outflow for repayments on the ABL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Capital Requirements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Overall.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cash paid for capital expenditures totaled $16.4 million which included $4.2 million of maintenance capital expenditures. For the three months ended March 31, 2023, there were no contributions to Ohio Gathering and we contributed $3.5 million to Double 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external financing sources, including commercial bank borrowings and the issuance of debt, equity and preferred equity securities, and proceeds from potential asset divestitures to fund our capital expenditures. We believe that our internally generated cash flows, our ABL Facility and the Permian Transmission Credit Facility, and access to debt or equity capital markets, will be adequate to finance our operations for the next twelve months without adversely impacting our liquidity.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estimate that our 2023 capital program will range from $45.0 million to $65.0 million, including between $10.0 million and $15.0 million of maintenance capital expenditures. We estimate that our 2023 investment in our Double E equity method investee will be approximately $5.0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Excess Cash Flow Offers to Purchase.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2025, we are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Generally, if we do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Based on the amount of our Excess Cash Flow for the fiscal year ended 2022, we did not make offers to purchase the designated amount for the fiscal year ended 2022; and as a result, the interest rate on the 2026 Secured Notes increased 50 basis points to 9.00% effective with the first payment on April 1, 2023, resulting in increased annual interest expense of approximately $3.9 million. To the extent we makes an offer to purchase, and the offer is not fully accepted by the holders of the 2026 Secured Notes, we may use any remaining amount not accepted for any purpose not prohibited by the 2026 Secured Notes Indenture or the ABL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Credit and Counterparty Concentration Risks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there were no material changes to the off-balance sheet obligations disclosed in our 2022 Annual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Summarized Financial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supplemental summarized financial information below reflects SMLP's separate accounts, the combined accounts of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June 30, 2022, we completed the sale of all the equity interests in Summit Permian and Permian Finance to a third party. Additionally, on September 19, 2022, we completed the sale of Bison Midstream to a third party. In connection with these dispositions, the status of Bison Midstream, Summit Permian and Permian Finance as guarantor subsidiaries, was modified prior to the occurrence of each respective disposition.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December 1, 2022, we completed the acquisition of Outrigger DJ for cash consideration of $165.0 million, subject to post-closing adjustments, and Sterling DJ for cash consideration of $140.0 million, subject to post-closing adjustments. In connection with the acquisitions, Summit DJ - O, LLC (formerly Outrigger DJ Midstream, LLC), Summit DJ - O Operating, LLC (formerly Outrigger DJ Operating, LLC), Summit DJ - S, LLC (formerly Sterling Energy Investments, LLC), Grasslands Energy Marketing, LLC and Centennial Water Pipelines, LLC became newly acquired entities. With the exception of Centennial Water Pipeline, LLC, all acquired entities guarantee our obligations under the 2025 Senior Notes and 2026 Secured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summarized financial information below presents the activities and balances of Bison Midstream, Summit Permian and Summit Finance as guarantor subsidiaries for all summarized income statement periods and balance sheet dates presented in which they were owned by the Partnership. Bison Midstream, Summit Permian and Permian Finance were not included in the Partnership’s balance sheet as of December 31,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list of each of SMLP’s subsidiaries that is a guarantor, issuer or co-issuer of our registered securities subject to the reporting requirements in Release 33-10762 is filed as Exhibit 22.1 to this report.</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i/>
          <w:color w:val="000000"/>
          <w:sz w:val="20"/>
        </w:rPr>
        <w:t>Summarized Balance Sheet Information</w:t>
      </w:r>
      <w:r>
        <w:rPr>
          <w:rFonts w:ascii="Times New Roman;sans-serif" w:hAnsi="Times New Roman;sans-serif"/>
          <w:b w:val="false"/>
          <w:color w:val="000000"/>
          <w:sz w:val="20"/>
        </w:rPr>
        <w:t>. Summarized balance sheet information as of March 31, 2023 and December 31, 2022 follows.</w:t>
      </w:r>
    </w:p>
    <w:tbl>
      <w:tblPr>
        <w:tblW w:w="4367" w:type="dxa"/>
        <w:jc w:val="left"/>
        <w:tblInd w:w="0" w:type="dxa"/>
        <w:tblCellMar>
          <w:top w:w="28" w:type="dxa"/>
          <w:left w:w="28" w:type="dxa"/>
          <w:bottom w:w="28" w:type="dxa"/>
          <w:right w:w="28" w:type="dxa"/>
        </w:tblCellMar>
      </w:tblPr>
      <w:tblGrid>
        <w:gridCol w:w="670"/>
        <w:gridCol w:w="591"/>
        <w:gridCol w:w="598"/>
        <w:gridCol w:w="211"/>
        <w:gridCol w:w="616"/>
        <w:gridCol w:w="109"/>
        <w:gridCol w:w="109"/>
        <w:gridCol w:w="109"/>
        <w:gridCol w:w="109"/>
        <w:gridCol w:w="220"/>
        <w:gridCol w:w="864"/>
        <w:gridCol w:w="161"/>
      </w:tblGrid>
      <w:tr>
        <w:trPr/>
        <w:tc>
          <w:tcPr>
            <w:tcW w:w="67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2,118,019 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1,400,180 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472" w:type="dxa"/>
        <w:jc w:val="left"/>
        <w:tblInd w:w="0" w:type="dxa"/>
        <w:tblCellMar>
          <w:top w:w="28" w:type="dxa"/>
          <w:left w:w="28" w:type="dxa"/>
          <w:bottom w:w="28" w:type="dxa"/>
          <w:right w:w="28" w:type="dxa"/>
        </w:tblCellMar>
      </w:tblPr>
      <w:tblGrid>
        <w:gridCol w:w="670"/>
        <w:gridCol w:w="591"/>
        <w:gridCol w:w="598"/>
        <w:gridCol w:w="211"/>
        <w:gridCol w:w="721"/>
        <w:gridCol w:w="109"/>
        <w:gridCol w:w="109"/>
        <w:gridCol w:w="109"/>
        <w:gridCol w:w="109"/>
        <w:gridCol w:w="242"/>
        <w:gridCol w:w="827"/>
        <w:gridCol w:w="176"/>
      </w:tblGrid>
      <w:tr>
        <w:trPr/>
        <w:tc>
          <w:tcPr>
            <w:tcW w:w="67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2,130,052 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1,410,370 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Summarized Statements of Operations Information.</w:t>
      </w:r>
      <w:r>
        <w:rPr>
          <w:color w:val="000000"/>
        </w:rPr>
        <w:t> </w:t>
      </w:r>
      <w:r>
        <w:rPr>
          <w:rFonts w:ascii="Times New Roman;sans-serif" w:hAnsi="Times New Roman;sans-serif"/>
          <w:b w:val="false"/>
          <w:color w:val="000000"/>
          <w:sz w:val="20"/>
        </w:rPr>
        <w:t>For the purposes of the following summarized statements of operations, we allocate a portion of general and administrative expenses recognized at the SMLP parent to the Obligor Group to reflect what those entities' results would have been had they operated on a stand-alone basis. Summarized statements of operations for the three months ended March 31, 2023 and for the year ended December 31, 2022 follow.</w:t>
      </w:r>
    </w:p>
    <w:tbl>
      <w:tblPr>
        <w:tblW w:w="8027" w:type="dxa"/>
        <w:jc w:val="left"/>
        <w:tblInd w:w="0" w:type="dxa"/>
        <w:tblCellMar>
          <w:top w:w="28" w:type="dxa"/>
          <w:left w:w="28" w:type="dxa"/>
          <w:bottom w:w="28" w:type="dxa"/>
          <w:right w:w="28" w:type="dxa"/>
        </w:tblCellMar>
      </w:tblPr>
      <w:tblGrid>
        <w:gridCol w:w="2023"/>
        <w:gridCol w:w="1782"/>
        <w:gridCol w:w="1789"/>
        <w:gridCol w:w="211"/>
        <w:gridCol w:w="541"/>
        <w:gridCol w:w="109"/>
        <w:gridCol w:w="109"/>
        <w:gridCol w:w="109"/>
        <w:gridCol w:w="109"/>
        <w:gridCol w:w="220"/>
        <w:gridCol w:w="864"/>
        <w:gridCol w:w="161"/>
      </w:tblGrid>
      <w:tr>
        <w:trPr/>
        <w:tc>
          <w:tcPr>
            <w:tcW w:w="2023"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(12,926)</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303" w:type="dxa"/>
        <w:jc w:val="left"/>
        <w:tblInd w:w="0" w:type="dxa"/>
        <w:tblCellMar>
          <w:top w:w="28" w:type="dxa"/>
          <w:left w:w="28" w:type="dxa"/>
          <w:bottom w:w="28" w:type="dxa"/>
          <w:right w:w="28" w:type="dxa"/>
        </w:tblCellMar>
      </w:tblPr>
      <w:tblGrid>
        <w:gridCol w:w="2023"/>
        <w:gridCol w:w="1782"/>
        <w:gridCol w:w="1789"/>
        <w:gridCol w:w="211"/>
        <w:gridCol w:w="796"/>
        <w:gridCol w:w="109"/>
        <w:gridCol w:w="109"/>
        <w:gridCol w:w="109"/>
        <w:gridCol w:w="109"/>
        <w:gridCol w:w="211"/>
        <w:gridCol w:w="901"/>
        <w:gridCol w:w="154"/>
      </w:tblGrid>
      <w:tr>
        <w:trPr/>
        <w:tc>
          <w:tcPr>
            <w:tcW w:w="2023"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Critical Accounting Estimates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our decision whether to pay, or our ability to grow, our cash distributions;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fresh water deliveries, and produced water volumes produced within proximity of our assets;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current and potential future impact of the COVID-19 pandemic on our business, results of operations, financial position or cash flows;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ability to attract and retain key management personnel;</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weather conditions and terrain in certain areas in which we operate;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physical and financial risks associated with climate change;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processing and freshwater facilities;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tax status;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effects of litigation;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interest rates;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general economic conditions;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certain factors discussed elsewhere in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units, preferred units and senior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Information About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interest rate risk exposure, which is largely related to our indebtedness, has not changed materially since December 31, 2022. As of March 31, 2023, we had approximately $1.0 billion principal of fixed-rate debt, $317.0 million outstanding under our variable rate ABL Facility and $152.8 million outstanding under the variable rate Permian Transmission Term Loan (see Note 8 - Debt). As of March 31, 2023, we had $137.6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additional information, see the "Interest Rate Risk" section included in Item 7A. Quantitative and Qualitative Disclosures About Market Risk of the 2022 Annual Report and updates to our risk factors included herein.</w:t>
      </w: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Commodity Price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2022. For additional information, see the "Commodity Price Risk" section included in Item 7A. Quantitative and Qualitative Disclosures About Market Risk of the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March 31, 2023 and (ii) no change in internal control over financial reporting occurred during the quarter ended March 31, 2023,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spacing w:lineRule="auto" w:line="288" w:before="120" w:after="283"/>
        <w:rPr/>
      </w:pPr>
      <w:r>
        <w:rPr>
          <w:rFonts w:ascii="Times New Roman;sans-serif" w:hAnsi="Times New Roman;sans-serif"/>
          <w:b/>
          <w:i/>
          <w:color w:val="000000"/>
          <w:sz w:val="20"/>
        </w:rPr>
        <w:t>Fiberspar Corporation.</w:t>
      </w:r>
      <w:r>
        <w:rPr>
          <w:color w:val="000000"/>
        </w:rPr>
        <w:t xml:space="preserve"> </w:t>
      </w:r>
      <w:r>
        <w:rPr>
          <w:rFonts w:ascii="Times New Roman;sans-serif" w:hAnsi="Times New Roman;sans-serif"/>
          <w:b w:val="false"/>
          <w:color w:val="000000"/>
          <w:sz w:val="20"/>
        </w:rPr>
        <w:t>On May 3, 2022, Fiberspar Corporation filed a petition in state court alleging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It is currently set for trial in July 2023, but the parties have filed a joint motion for a continuance seeking a trial date in or after October 2023. We are unable to predict the final outcome of this matter.</w:t>
      </w:r>
    </w:p>
    <w:p>
      <w:pPr>
        <w:pStyle w:val="TextBody"/>
        <w:spacing w:lineRule="auto" w:line="288" w:before="120" w:after="283"/>
        <w:rPr/>
      </w:pP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 xml:space="preserve">On August 4, 2021, the Partnership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$21.25 million, with the federal portion of penalties payable over up to five years and the state portion of penalties payable over up to six years, with interest accruing at a fixed rate of 3.25%;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which will include payment in full of certain components of the fines and penalty amounts; and (iv) compliance with the remedial measures in the Consent Decree.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This settlement resulted in losses amounting to $36.3 million and will be paid over six years, of which we have paid $8.0 million as of March 31, 2023.</w:t>
      </w:r>
    </w:p>
    <w:p>
      <w:pPr>
        <w:pStyle w:val="TextBody"/>
        <w:spacing w:lineRule="auto" w:line="288" w:before="120" w:after="283"/>
        <w:rPr/>
      </w:pPr>
      <w:r>
        <w:rPr>
          <w:rFonts w:ascii="Times New Roman;sans-serif" w:hAnsi="Times New Roman;sans-serif"/>
          <w:b/>
          <w:i/>
          <w:color w:val="000000"/>
          <w:sz w:val="20"/>
        </w:rPr>
        <w:t>Verdad Resources.</w:t>
      </w:r>
      <w:r>
        <w:rPr>
          <w:color w:val="000000"/>
        </w:rPr>
        <w:t xml:space="preserve"> </w:t>
      </w:r>
      <w:r>
        <w:rPr>
          <w:rFonts w:ascii="Times New Roman;sans-serif" w:hAnsi="Times New Roman;sans-serif"/>
          <w:b w:val="false"/>
          <w:color w:val="000000"/>
          <w:sz w:val="20"/>
        </w:rPr>
        <w:t>Verdad Resources LLC (“Verdad”) filed a complaint in Colorado state court for the district of Weld County against Sterling Energy Investments LLC (“Sterling”), Golden Resources, Inc., and Grasslands Energy Marketing LLC (“Grasslands”) on October 20, 2022, and amended on December 6, 2022 to exclude Golden Resources, Inc. as a defendant. In connection with the 2022 DJ Acquisitions, Sterling and Grasslands became subsidiaries of the Partnership. Verdad claims that Sterling did not have the right to assess marketing fees passed through from Grasslands’ purchase and resale of residue natural gas and natural gas liquids from Sterling. The relief requested by Verdad includes approximately $3.6 million in damages plus pre-judgment interest as well as declaratory relief and recovery of costs. We are unable to predict the final outcome of this matter.</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i/>
          <w:color w:val="000000"/>
          <w:sz w:val="20"/>
        </w:rPr>
        <w:t>Highpoint Operating Corporation.</w:t>
      </w:r>
      <w:r>
        <w:rPr>
          <w:color w:val="000000"/>
        </w:rPr>
        <w:t xml:space="preserve"> </w:t>
      </w:r>
      <w:r>
        <w:rPr>
          <w:rFonts w:ascii="Times New Roman;sans-serif" w:hAnsi="Times New Roman;sans-serif"/>
          <w:b w:val="false"/>
          <w:color w:val="000000"/>
          <w:sz w:val="20"/>
        </w:rPr>
        <w:t>Sterling and Highpoint Operating Corporation (“Highpoint”) are parties to a gas gathering agreement (the “Highpoint Agreement”). Sterling sued Highpoint in Colorado state court for the district of Denver County on June 15, 2020, alleging that Highpoint breached the Highpoint Agreement and seeking damages. Highpoint asserted counterclaims alleging that Sterling breached the Highpoint Agreement. In October 2021, after a bench trial, the court found against Sterling and in favor of Highpoint’s counterclaims. The court awarded Highpoint $2.4 million in damages. In December 2021, Sterling posted an appeal bond and filed its Notice of Appeal. In February 2022, the Colorado Court of Appeals granted Sterling’s Motion to Stay Execution of Judgment. On March 7, 2023, Summit DJ-S and Highpoint entered into a Confidential Settlement and Release Agreement that fully resolved all claims between the parties. On March 27, 2023, Highpoint filed a Notice of Satisfaction of Merits Judgment and Costs Award and the matter is now closed.</w:t>
      </w:r>
    </w:p>
    <w:p>
      <w:pPr>
        <w:pStyle w:val="TextBody"/>
        <w:spacing w:lineRule="auto" w:line="288" w:before="120" w:after="120"/>
        <w:rPr/>
      </w:pPr>
      <w:r>
        <w:rPr>
          <w:rFonts w:ascii="Times New Roman;sans-serif" w:hAnsi="Times New Roman;sans-serif"/>
          <w:b/>
          <w:i/>
          <w:color w:val="000000"/>
          <w:sz w:val="20"/>
        </w:rPr>
        <w:t>Sage Natural Resources.</w:t>
      </w:r>
      <w:r>
        <w:rPr>
          <w:color w:val="000000"/>
        </w:rPr>
        <w:t xml:space="preserve"> </w:t>
      </w:r>
      <w:r>
        <w:rPr>
          <w:rFonts w:ascii="Times New Roman;sans-serif" w:hAnsi="Times New Roman;sans-serif"/>
          <w:b w:val="false"/>
          <w:color w:val="000000"/>
          <w:sz w:val="20"/>
        </w:rPr>
        <w:t>In July 2022, the Partnership’s subsidiary DFW Midstream Services LLC filed a petition in the District Court of Dallas County, Texas seeking payment of almost $1.0 million in electric power costs for gathering services provided to Sage Natural Resources, LLC in 2021-2022. Sage has denied the amounts are owed and has filed counterclaims seeking damages and other relief for DFW’s alleged breaches of the gathering agreement. A non-jury trial is currently scheduled for February 2024, and we are unable to predict the final outcome of this matter.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factors contained in the Item 1A. Risk Factors of the 2022 Annual Report are incorporated herein by reference except to the extent they address risks arising from or relating to the failure of events described therein to occur, which events have since occurred.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4"/>
        </w:rPr>
        <w:t>Item 5. Other Information</w:t>
      </w:r>
      <w:r>
        <w:rPr>
          <w:rFonts w:ascii="Times New Roman;sans-serif" w:hAnsi="Times New Roman;sans-serif"/>
          <w:b/>
          <w:i/>
          <w:color w:val="000000"/>
          <w:sz w:val="24"/>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6. Exhibits.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f44b77c1cc4344debfc4d1346ac5748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63"/>
        <w:gridCol w:w="318"/>
        <w:gridCol w:w="321"/>
        <w:gridCol w:w="109"/>
        <w:gridCol w:w="109"/>
        <w:gridCol w:w="109"/>
        <w:gridCol w:w="2599"/>
        <w:gridCol w:w="2589"/>
        <w:gridCol w:w="3688"/>
      </w:tblGrid>
      <w:tr>
        <w:trPr/>
        <w:tc>
          <w:tcPr>
            <w:tcW w:w="36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9" w:type="dxa"/>
            <w:tcBorders/>
            <w:shd w:fill="auto" w:val="clear"/>
            <w:vAlign w:val="center"/>
          </w:tcPr>
          <w:p>
            <w:pPr>
              <w:pStyle w:val="TableContents"/>
              <w:spacing w:before="0" w:after="283"/>
              <w:rPr>
                <w:sz w:val="4"/>
                <w:szCs w:val="4"/>
              </w:rPr>
            </w:pPr>
            <w:r>
              <w:rPr>
                <w:sz w:val="4"/>
                <w:szCs w:val="4"/>
              </w:rPr>
            </w:r>
          </w:p>
        </w:tc>
        <w:tc>
          <w:tcPr>
            <w:tcW w:w="2589" w:type="dxa"/>
            <w:tcBorders/>
            <w:shd w:fill="auto" w:val="clear"/>
            <w:vAlign w:val="center"/>
          </w:tcPr>
          <w:p>
            <w:pPr>
              <w:pStyle w:val="TableContents"/>
              <w:spacing w:before="0" w:after="283"/>
              <w:rPr>
                <w:sz w:val="4"/>
                <w:szCs w:val="4"/>
              </w:rPr>
            </w:pPr>
            <w:r>
              <w:rPr>
                <w:sz w:val="4"/>
                <w:szCs w:val="4"/>
              </w:rPr>
            </w:r>
          </w:p>
        </w:tc>
        <w:tc>
          <w:tcPr>
            <w:tcW w:w="3688" w:type="dxa"/>
            <w:tcBorders/>
            <w:shd w:fill="auto" w:val="clear"/>
            <w:vAlign w:val="center"/>
          </w:tcPr>
          <w:p>
            <w:pPr>
              <w:pStyle w:val="TableContents"/>
              <w:spacing w:before="0" w:after="283"/>
              <w:rPr>
                <w:sz w:val="4"/>
                <w:szCs w:val="4"/>
              </w:rPr>
            </w:pPr>
            <w:r>
              <w:rPr>
                <w:sz w:val="4"/>
                <w:szCs w:val="4"/>
              </w:rPr>
            </w:r>
          </w:p>
        </w:tc>
      </w:tr>
      <w:tr>
        <w:trPr/>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Fourth Amended and Restated Agreement of Limited Partnership of Summit Midstream Partners, LP, dated May 28, 2020 (Incorporated herein by reference to Exhibit 3.1 to SMLP’s Current Report on Form 8-K dated June 2, 2020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First Amendment to Fourth Amended and Restated Agreement of Limited Partnership of Summit Midstream Partners, LP, dated February 23, 2023 (Incorporated herein by reference to Exhibit 3.2 to SMLP's Annual Report on Form 10-K filed March 1, 2023 (Commission File No. 001-35666))</w:t>
              </w:r>
            </w:hyperlink>
          </w:p>
        </w:tc>
      </w:tr>
      <w:tr>
        <w:trPr/>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Second Amended and Restated Limited Liability Company Agreement of Summit Midstream GP, LLC, dated May 28, 2020 (Incorporated herein by reference to Exhibit 3.2 to SMLP's Current Report on Form 8-K filed June 2, 2020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Certificate of Limited Partnership of Summit Midstream Partners, LP (Incorporated herein by reference to Exhibit 3.1 to SMLP's Form S-1 Registration Statement dated August 21, 2012 (Commission File No. 333-183466))</w:t>
              </w:r>
            </w:hyperlink>
          </w:p>
        </w:tc>
      </w:tr>
      <w:tr>
        <w:trPr/>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Certificate of Formation of Summit Midstream GP, LLC (Incorporated herein by reference to Exhibit 3.4 to SMLP's Form S-1 Registration Statement dated August 21, 2012 (Commission File No. 333-183466))</w:t>
              </w:r>
            </w:hyperlink>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r:id="rId12">
              <w:r>
                <w:rPr>
                  <w:rStyle w:val="InternetLink"/>
                  <w:rFonts w:ascii="Times New Roman;sans-serif" w:hAnsi="Times New Roman;sans-serif"/>
                  <w:b w:val="false"/>
                  <w:color w:val="0000FF"/>
                  <w:sz w:val="20"/>
                  <w:u w:val="single"/>
                </w:rPr>
                <w:t>22.1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Summit Midstream Partners, LP Subsidiary Issuers and Guarantors of Registered Securities (Incorporated herein by reference to Exhibit 22.1 to SMLP's Annual Report on Form 10-K filed March 1, 2023 (Commission File No. 001-35666))</w:t>
              </w:r>
            </w:hyperlink>
          </w:p>
        </w:tc>
      </w:tr>
      <w:tr>
        <w:trPr/>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smpl-20230331x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smpl-20230331xex311.htm">
              <w:r>
                <w:rPr>
                  <w:rStyle w:val="InternetLink"/>
                  <w:rFonts w:ascii="Times New Roman;sans-serif" w:hAnsi="Times New Roman;sans-serif"/>
                  <w:b w:val="false"/>
                  <w:color w:val="0000FF"/>
                  <w:sz w:val="20"/>
                  <w:u w:val="single"/>
                </w:rPr>
                <w:t>Rule 13a-14(a)/15d-14(a) Certification, executed by Heath Deneke, President, Chief Executive Officer and Director</w:t>
              </w:r>
            </w:hyperlink>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smpl-20230331xex312.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smpl-20230331xex312.htm">
              <w:r>
                <w:rPr>
                  <w:rStyle w:val="InternetLink"/>
                  <w:rFonts w:ascii="Times New Roman;sans-serif" w:hAnsi="Times New Roman;sans-serif"/>
                  <w:b w:val="false"/>
                  <w:color w:val="0000FF"/>
                  <w:sz w:val="20"/>
                  <w:u w:val="single"/>
                </w:rPr>
                <w:t>Rule 13a-14(a)/15d-14(a) Certification, executed by William J. Mault, Executive Vice President and Chief Financial Officer</w:t>
              </w:r>
            </w:hyperlink>
          </w:p>
        </w:tc>
      </w:tr>
      <w:tr>
        <w:trPr/>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smpl-20230331xe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smpl-20230331xex321.htm">
              <w:r>
                <w:rPr>
                  <w:rStyle w:val="InternetLink"/>
                  <w:rFonts w:ascii="Times New Roman;sans-serif" w:hAnsi="Times New Roman;sans-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120" w:after="283"/>
        <w:rPr/>
      </w:pPr>
      <w:hyperlink w:anchor="if44b77c1cc4344debfc4d1346ac5748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359" w:type="dxa"/>
        <w:jc w:val="left"/>
        <w:tblInd w:w="0" w:type="dxa"/>
        <w:tblCellMar>
          <w:top w:w="28" w:type="dxa"/>
          <w:left w:w="28" w:type="dxa"/>
          <w:bottom w:w="28" w:type="dxa"/>
          <w:right w:w="28" w:type="dxa"/>
        </w:tblCellMar>
      </w:tblPr>
      <w:tblGrid>
        <w:gridCol w:w="417"/>
        <w:gridCol w:w="368"/>
        <w:gridCol w:w="370"/>
        <w:gridCol w:w="2397"/>
        <w:gridCol w:w="2397"/>
        <w:gridCol w:w="3410"/>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By: Summit Midstream GP, LLC (its General Partner)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2023</w:t>
            </w:r>
          </w:p>
        </w:tc>
        <w:tc>
          <w:tcPr>
            <w:tcW w:w="8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10205" w:type="dxa"/>
        <w:jc w:val="left"/>
        <w:tblInd w:w="0" w:type="dxa"/>
        <w:tblCellMar>
          <w:top w:w="28" w:type="dxa"/>
          <w:left w:w="28" w:type="dxa"/>
          <w:bottom w:w="28" w:type="dxa"/>
          <w:right w:w="28" w:type="dxa"/>
        </w:tblCellMar>
      </w:tblPr>
      <w:tblGrid>
        <w:gridCol w:w="204"/>
        <w:gridCol w:w="179"/>
        <w:gridCol w:w="181"/>
        <w:gridCol w:w="317"/>
        <w:gridCol w:w="317"/>
        <w:gridCol w:w="319"/>
        <w:gridCol w:w="109"/>
        <w:gridCol w:w="109"/>
        <w:gridCol w:w="109"/>
        <w:gridCol w:w="2497"/>
        <w:gridCol w:w="2418"/>
        <w:gridCol w:w="3446"/>
      </w:tblGrid>
      <w:tr>
        <w:trPr/>
        <w:tc>
          <w:tcPr>
            <w:tcW w:w="20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7"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3446" w:type="dxa"/>
            <w:tcBorders/>
            <w:shd w:fill="auto" w:val="clear"/>
            <w:vAlign w:val="center"/>
          </w:tcPr>
          <w:p>
            <w:pPr>
              <w:pStyle w:val="TableContents"/>
              <w:spacing w:before="0" w:after="283"/>
              <w:rPr>
                <w:sz w:val="4"/>
                <w:szCs w:val="4"/>
              </w:rPr>
            </w:pPr>
            <w:r>
              <w:rPr>
                <w:sz w:val="4"/>
                <w:szCs w:val="4"/>
              </w:rPr>
            </w:r>
          </w:p>
        </w:tc>
      </w:tr>
      <w:tr>
        <w:trPr/>
        <w:tc>
          <w:tcPr>
            <w:tcW w:w="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of Summit Midstream GP, LLC (the general partner of Summit Midstream Partners, LP)</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050"/>
                <wp:effectExtent l="0" t="0" r="0" b="0"/>
                <wp:wrapNone/>
                <wp:docPr id="49" name="Frame49"/>
                <a:graphic xmlns:a="http://schemas.openxmlformats.org/drawingml/2006/main">
                  <a:graphicData uri="http://schemas.microsoft.com/office/word/2010/wordprocessingShape">
                    <wps:wsp>
                      <wps:cNvSpPr txBox="1"/>
                      <wps:spPr>
                        <a:xfrm>
                          <a:off x="0" y="0"/>
                          <a:ext cx="6480175" cy="273050"/>
                        </a:xfrm>
                        <a:prstGeom prst="rect"/>
                      </wps:spPr>
                      <wps:txbx>
                        <w:txbxContent>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spacing w:lineRule="auto" w:line="288" w:before="160" w:after="283"/>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120" w:after="283"/>
        <w:rPr/>
      </w:pPr>
      <w:r>
        <w:rPr/>
      </w:r>
    </w:p>
    <w:p>
      <w:pPr>
        <w:pStyle w:val="TextBody"/>
        <w:spacing w:before="120" w:after="283"/>
        <w:rPr/>
      </w:pPr>
      <w:r>
        <w:rPr/>
      </w:r>
    </w:p>
    <w:tbl>
      <w:tblPr>
        <w:tblW w:w="10205" w:type="dxa"/>
        <w:jc w:val="left"/>
        <w:tblInd w:w="0" w:type="dxa"/>
        <w:tblCellMar>
          <w:top w:w="28" w:type="dxa"/>
          <w:left w:w="28" w:type="dxa"/>
          <w:bottom w:w="28" w:type="dxa"/>
          <w:right w:w="28" w:type="dxa"/>
        </w:tblCellMar>
      </w:tblPr>
      <w:tblGrid>
        <w:gridCol w:w="203"/>
        <w:gridCol w:w="179"/>
        <w:gridCol w:w="181"/>
        <w:gridCol w:w="311"/>
        <w:gridCol w:w="311"/>
        <w:gridCol w:w="313"/>
        <w:gridCol w:w="109"/>
        <w:gridCol w:w="109"/>
        <w:gridCol w:w="109"/>
        <w:gridCol w:w="2519"/>
        <w:gridCol w:w="2427"/>
        <w:gridCol w:w="3434"/>
      </w:tblGrid>
      <w:tr>
        <w:trPr/>
        <w:tc>
          <w:tcPr>
            <w:tcW w:w="20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9"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3434" w:type="dxa"/>
            <w:tcBorders/>
            <w:shd w:fill="auto" w:val="clear"/>
            <w:vAlign w:val="center"/>
          </w:tcPr>
          <w:p>
            <w:pPr>
              <w:pStyle w:val="TableContents"/>
              <w:spacing w:before="0" w:after="283"/>
              <w:rPr>
                <w:sz w:val="4"/>
                <w:szCs w:val="4"/>
              </w:rPr>
            </w:pPr>
            <w:r>
              <w:rPr>
                <w:sz w:val="4"/>
                <w:szCs w:val="4"/>
              </w:rPr>
            </w:r>
          </w:p>
        </w:tc>
      </w:tr>
      <w:tr>
        <w:trPr/>
        <w:tc>
          <w:tcPr>
            <w:tcW w:w="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of Summit Midstream GP, LLC (the general partner of Summit Midstream Partners, LP)</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050"/>
                <wp:effectExtent l="0" t="0" r="0" b="0"/>
                <wp:wrapNone/>
                <wp:docPr id="50" name="Frame50"/>
                <a:graphic xmlns:a="http://schemas.openxmlformats.org/drawingml/2006/main">
                  <a:graphicData uri="http://schemas.microsoft.com/office/word/2010/wordprocessingShape">
                    <wps:wsp>
                      <wps:cNvSpPr txBox="1"/>
                      <wps:spPr>
                        <a:xfrm>
                          <a:off x="0" y="0"/>
                          <a:ext cx="6480175" cy="273050"/>
                        </a:xfrm>
                        <a:prstGeom prst="rect"/>
                      </wps:spPr>
                      <wps:txbx>
                        <w:txbxContent>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Partners, LP (the “Registrant”) for the quarterly period ended March 31, 2023,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pStyle w:val="TextBody"/>
        <w:spacing w:lineRule="auto" w:line="288" w:before="200" w:after="283"/>
        <w:ind w:left="0" w:right="0" w:hanging="900"/>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900"/>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8192" w:type="dxa"/>
        <w:jc w:val="left"/>
        <w:tblInd w:w="0" w:type="dxa"/>
        <w:tblCellMar>
          <w:top w:w="28" w:type="dxa"/>
          <w:left w:w="28" w:type="dxa"/>
          <w:bottom w:w="28" w:type="dxa"/>
          <w:right w:w="28" w:type="dxa"/>
        </w:tblCellMar>
      </w:tblPr>
      <w:tblGrid>
        <w:gridCol w:w="249"/>
        <w:gridCol w:w="220"/>
        <w:gridCol w:w="221"/>
        <w:gridCol w:w="176"/>
        <w:gridCol w:w="176"/>
        <w:gridCol w:w="176"/>
        <w:gridCol w:w="2038"/>
        <w:gridCol w:w="2038"/>
        <w:gridCol w:w="2898"/>
      </w:tblGrid>
      <w:tr>
        <w:trPr/>
        <w:tc>
          <w:tcPr>
            <w:tcW w:w="24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038" w:type="dxa"/>
            <w:tcBorders/>
            <w:shd w:fill="auto" w:val="clear"/>
            <w:vAlign w:val="center"/>
          </w:tcPr>
          <w:p>
            <w:pPr>
              <w:pStyle w:val="TableContents"/>
              <w:spacing w:before="0" w:after="283"/>
              <w:rPr>
                <w:sz w:val="4"/>
                <w:szCs w:val="4"/>
              </w:rPr>
            </w:pPr>
            <w:r>
              <w:rPr>
                <w:sz w:val="4"/>
                <w:szCs w:val="4"/>
              </w:rPr>
            </w:r>
          </w:p>
        </w:tc>
        <w:tc>
          <w:tcPr>
            <w:tcW w:w="2038" w:type="dxa"/>
            <w:tcBorders/>
            <w:shd w:fill="auto" w:val="clear"/>
            <w:vAlign w:val="center"/>
          </w:tcPr>
          <w:p>
            <w:pPr>
              <w:pStyle w:val="TableContents"/>
              <w:spacing w:before="0" w:after="283"/>
              <w:rPr>
                <w:sz w:val="4"/>
                <w:szCs w:val="4"/>
              </w:rPr>
            </w:pPr>
            <w:r>
              <w:rPr>
                <w:sz w:val="4"/>
                <w:szCs w:val="4"/>
              </w:rPr>
            </w:r>
          </w:p>
        </w:tc>
        <w:tc>
          <w:tcPr>
            <w:tcW w:w="2898" w:type="dxa"/>
            <w:tcBorders/>
            <w:shd w:fill="auto" w:val="clear"/>
            <w:vAlign w:val="center"/>
          </w:tcPr>
          <w:p>
            <w:pPr>
              <w:pStyle w:val="TableContents"/>
              <w:spacing w:before="0" w:after="283"/>
              <w:rPr>
                <w:sz w:val="4"/>
                <w:szCs w:val="4"/>
              </w:rPr>
            </w:pPr>
            <w:r>
              <w:rPr>
                <w:sz w:val="4"/>
                <w:szCs w:val="4"/>
              </w:rPr>
            </w:r>
          </w:p>
        </w:tc>
      </w:tr>
      <w:tr>
        <w:trPr/>
        <w:tc>
          <w:tcPr>
            <w:tcW w:w="8192"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 of Summit Midstream GP, LLC</w:t>
              <w:br/>
              <w:t>(the general partner of Summit Midstream Partners, LP)</w:t>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5, 2023</w:t>
            </w:r>
          </w:p>
        </w:tc>
      </w:tr>
    </w:tbl>
    <w:tbl>
      <w:tblPr>
        <w:tblW w:w="8738" w:type="dxa"/>
        <w:jc w:val="center"/>
        <w:tblInd w:w="0" w:type="dxa"/>
        <w:tblCellMar>
          <w:top w:w="28" w:type="dxa"/>
          <w:left w:w="28" w:type="dxa"/>
          <w:bottom w:w="28" w:type="dxa"/>
          <w:right w:w="28" w:type="dxa"/>
        </w:tblCellMar>
      </w:tblPr>
      <w:tblGrid>
        <w:gridCol w:w="249"/>
        <w:gridCol w:w="220"/>
        <w:gridCol w:w="221"/>
        <w:gridCol w:w="193"/>
        <w:gridCol w:w="193"/>
        <w:gridCol w:w="193"/>
        <w:gridCol w:w="2180"/>
        <w:gridCol w:w="2180"/>
        <w:gridCol w:w="3109"/>
      </w:tblGrid>
      <w:tr>
        <w:trPr/>
        <w:tc>
          <w:tcPr>
            <w:tcW w:w="24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3109" w:type="dxa"/>
            <w:tcBorders/>
            <w:shd w:fill="auto" w:val="clear"/>
            <w:vAlign w:val="center"/>
          </w:tcPr>
          <w:p>
            <w:pPr>
              <w:pStyle w:val="TableContents"/>
              <w:spacing w:before="0" w:after="283"/>
              <w:rPr>
                <w:sz w:val="4"/>
                <w:szCs w:val="4"/>
              </w:rPr>
            </w:pPr>
            <w:r>
              <w:rPr>
                <w:sz w:val="4"/>
                <w:szCs w:val="4"/>
              </w:rPr>
            </w:r>
          </w:p>
        </w:tc>
      </w:tr>
      <w:tr>
        <w:trPr/>
        <w:tc>
          <w:tcPr>
            <w:tcW w:w="8738"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 of Summit Midstream GP, LLC</w:t>
              <w:br/>
              <w:t>(the general partner of Summit Midstream Partners, LP)</w:t>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5, 2023</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050"/>
                <wp:effectExtent l="0" t="0" r="0" b="0"/>
                <wp:wrapNone/>
                <wp:docPr id="51" name="Frame51"/>
                <a:graphic xmlns:a="http://schemas.openxmlformats.org/drawingml/2006/main">
                  <a:graphicData uri="http://schemas.microsoft.com/office/word/2010/wordprocessingShape">
                    <wps:wsp>
                      <wps:cNvSpPr txBox="1"/>
                      <wps:spPr>
                        <a:xfrm>
                          <a:off x="0" y="0"/>
                          <a:ext cx="6480175" cy="273050"/>
                        </a:xfrm>
                        <a:prstGeom prst="rect"/>
                      </wps:spPr>
                      <wps:txbx>
                        <w:txbxContent>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9922/000119312520158609/d933187dex31.htm" TargetMode="External"/><Relationship Id="rId3" Type="http://schemas.openxmlformats.org/officeDocument/2006/relationships/hyperlink" Target="https://www.sec.gov/Archives/edgar/data/1549922/000119312520158609/d933187dex31.htm" TargetMode="External"/><Relationship Id="rId4" Type="http://schemas.openxmlformats.org/officeDocument/2006/relationships/hyperlink" Target="https://www.sec.gov/Archives/edgar/data/1549922/000154992223000006/smlp-firstamendtofourthame.htm" TargetMode="External"/><Relationship Id="rId5" Type="http://schemas.openxmlformats.org/officeDocument/2006/relationships/hyperlink" Target="https://www.sec.gov/Archives/edgar/data/1549922/000154992223000006/smlp-firstamendtofourthame.htm" TargetMode="External"/><Relationship Id="rId6" Type="http://schemas.openxmlformats.org/officeDocument/2006/relationships/hyperlink" Target="https://www.sec.gov/Archives/edgar/data/1549922/000119312520158609/d933187dex32.htm" TargetMode="External"/><Relationship Id="rId7" Type="http://schemas.openxmlformats.org/officeDocument/2006/relationships/hyperlink" Target="https://www.sec.gov/Archives/edgar/data/1549922/000119312520158609/d933187dex32.htm" TargetMode="External"/><Relationship Id="rId8" Type="http://schemas.openxmlformats.org/officeDocument/2006/relationships/hyperlink" Target="https://www.sec.gov/Archives/edgar/data/1549922/000104746912008450/a2209444zex-3_1.htm" TargetMode="External"/><Relationship Id="rId9" Type="http://schemas.openxmlformats.org/officeDocument/2006/relationships/hyperlink" Target="https://www.sec.gov/Archives/edgar/data/1549922/000104746912008450/a2209444zex-3_1.htm" TargetMode="External"/><Relationship Id="rId10" Type="http://schemas.openxmlformats.org/officeDocument/2006/relationships/hyperlink" Target="https://www.sec.gov/Archives/edgar/data/1549922/000104746912008450/a2209444zex-3_4.htm" TargetMode="External"/><Relationship Id="rId11" Type="http://schemas.openxmlformats.org/officeDocument/2006/relationships/hyperlink" Target="https://www.sec.gov/Archives/edgar/data/1549922/000104746912008450/a2209444zex-3_4.htm" TargetMode="External"/><Relationship Id="rId12" Type="http://schemas.openxmlformats.org/officeDocument/2006/relationships/hyperlink" Target="https://www.sec.gov/Archives/edgar/data/1549922/000156459020023634/smlp-ex221_116.htm" TargetMode="External"/><Relationship Id="rId13" Type="http://schemas.openxmlformats.org/officeDocument/2006/relationships/hyperlink" Target="https://www.sec.gov/Archives/edgar/data/1549922/000154992223000006/exhibit-221subsidiaryiss.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21950</Words>
  <CharactersWithSpaces>142935</CharactersWithSpaces>
  <Paragraphs>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