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pPr>
      <w:r>
        <w:rPr>
          <w:rFonts w:ascii="Times New Roman;serif" w:hAnsi="Times New Roman;serif"/>
          <w:b w:val="false"/>
          <w:color w:val="000000"/>
          <w:sz w:val="20"/>
        </w:rPr>
        <w:t>Date of Report (Date of earliest event reported):</w:t>
      </w:r>
      <w:r>
        <w:rPr>
          <w:color w:val="000000"/>
        </w:rPr>
        <w:t> </w:t>
      </w:r>
      <w:r>
        <w:rPr>
          <w:rFonts w:ascii="Times New Roman;serif" w:hAnsi="Times New Roman;serif"/>
          <w:b/>
          <w:color w:val="000000"/>
          <w:sz w:val="20"/>
        </w:rPr>
        <w:t>August 10, 2026</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Summit Midstream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9" w:type="dxa"/>
        <w:jc w:val="center"/>
        <w:tblInd w:w="0" w:type="dxa"/>
        <w:tblLayout w:type="fixed"/>
        <w:tblCellMar>
          <w:top w:w="28" w:type="dxa"/>
          <w:left w:w="28" w:type="dxa"/>
          <w:bottom w:w="28" w:type="dxa"/>
          <w:right w:w="28" w:type="dxa"/>
        </w:tblCellMar>
      </w:tblPr>
      <w:tblGrid>
        <w:gridCol w:w="812"/>
        <w:gridCol w:w="713"/>
        <w:gridCol w:w="724"/>
        <w:gridCol w:w="109"/>
        <w:gridCol w:w="109"/>
        <w:gridCol w:w="109"/>
        <w:gridCol w:w="394"/>
        <w:gridCol w:w="394"/>
        <w:gridCol w:w="398"/>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99-3056990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00" w:after="283"/>
        <w:jc w:val="center"/>
        <w:rPr/>
      </w:pPr>
      <w:r>
        <w:rPr>
          <w:rFonts w:ascii="Times New Roman;serif" w:hAnsi="Times New Roman;serif"/>
          <w:b/>
          <w:color w:val="000000"/>
          <w:sz w:val="20"/>
        </w:rPr>
        <w:t>910 Louisiana Street,</w:t>
      </w:r>
      <w:r>
        <w:rPr>
          <w:color w:val="000000"/>
        </w:rPr>
        <w:t> </w:t>
      </w:r>
      <w:r>
        <w:rPr>
          <w:rFonts w:ascii="Times New Roman;serif" w:hAnsi="Times New Roman;serif"/>
          <w:b/>
          <w:color w:val="000000"/>
          <w:sz w:val="20"/>
        </w:rPr>
        <w:t>Suite 4200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TX 77002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 (Zip Code)</w:t>
      </w:r>
    </w:p>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w:t>
      </w:r>
      <w:r>
        <w:rPr>
          <w:rFonts w:ascii="Times New Roman;serif" w:hAnsi="Times New Roman;serif"/>
          <w:b/>
          <w:color w:val="000000"/>
          <w:sz w:val="20"/>
        </w:rPr>
        <w:t>(832) 413-4770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Securities Act:</w:t>
      </w:r>
    </w:p>
    <w:tbl>
      <w:tblPr>
        <w:tblW w:w="6102" w:type="dxa"/>
        <w:jc w:val="left"/>
        <w:tblInd w:w="0" w:type="dxa"/>
        <w:tblLayout w:type="fixed"/>
        <w:tblCellMar>
          <w:top w:w="28" w:type="dxa"/>
          <w:left w:w="28" w:type="dxa"/>
          <w:bottom w:w="28" w:type="dxa"/>
          <w:right w:w="28" w:type="dxa"/>
        </w:tblCellMar>
      </w:tblPr>
      <w:tblGrid>
        <w:gridCol w:w="497"/>
        <w:gridCol w:w="438"/>
        <w:gridCol w:w="444"/>
        <w:gridCol w:w="484"/>
        <w:gridCol w:w="484"/>
        <w:gridCol w:w="486"/>
        <w:gridCol w:w="956"/>
        <w:gridCol w:w="956"/>
        <w:gridCol w:w="1357"/>
      </w:tblGrid>
      <w:tr>
        <w:trPr/>
        <w:tc>
          <w:tcPr>
            <w:tcW w:w="4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3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SMC</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2754" w:type="dxa"/>
        <w:jc w:val="left"/>
        <w:tblInd w:w="0" w:type="dxa"/>
        <w:tblLayout w:type="fixed"/>
        <w:tblCellMar>
          <w:top w:w="28" w:type="dxa"/>
          <w:left w:w="28" w:type="dxa"/>
          <w:bottom w:w="28" w:type="dxa"/>
          <w:right w:w="28" w:type="dxa"/>
        </w:tblCellMar>
      </w:tblPr>
      <w:tblGrid>
        <w:gridCol w:w="124"/>
        <w:gridCol w:w="109"/>
        <w:gridCol w:w="109"/>
        <w:gridCol w:w="679"/>
        <w:gridCol w:w="679"/>
        <w:gridCol w:w="6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6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10, 2026, Summit Midstream Corporation (NYSE: SMC), a Delaware corporation issued a press release announcing its results of operations for the three months ended June 30, 2026. A copy of the press release is furnished as Exhibit 99.1 to this Current Report on Form 8-K.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Item 2.02 shall not be deemed “filed” for purposes of the Securities Exchange Act of 1934, as amended (the “Exchange Act”), and shall not be deemed incorporated by reference in any filing with the Securities and Exchange Commission, whether or not filed under the Securities Act of 1933, as amended, or the Exchange Act, regardless of any general incorporation language in such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pPr>
      <w:r>
        <w:rPr>
          <w:rFonts w:ascii="Times New Roman;serif" w:hAnsi="Times New Roman;serif"/>
          <w:b w:val="false"/>
          <w:color w:val="000000"/>
          <w:sz w:val="20"/>
        </w:rPr>
        <w:t>(d) </w:t>
      </w:r>
      <w:r>
        <w:rPr>
          <w:rFonts w:ascii="Times New Roman;serif" w:hAnsi="Times New Roman;serif"/>
          <w:b w:val="false"/>
          <w:color w:val="000000"/>
          <w:sz w:val="20"/>
          <w:u w:val="single"/>
        </w:rPr>
        <w:t>Exhibits</w:t>
      </w:r>
    </w:p>
    <w:tbl>
      <w:tblPr>
        <w:tblW w:w="10205" w:type="dxa"/>
        <w:jc w:val="left"/>
        <w:tblInd w:w="0" w:type="dxa"/>
        <w:tblLayout w:type="fixed"/>
        <w:tblCellMar>
          <w:top w:w="28" w:type="dxa"/>
          <w:left w:w="28" w:type="dxa"/>
          <w:bottom w:w="28" w:type="dxa"/>
          <w:right w:w="28" w:type="dxa"/>
        </w:tblCellMar>
      </w:tblPr>
      <w:tblGrid>
        <w:gridCol w:w="448"/>
        <w:gridCol w:w="395"/>
        <w:gridCol w:w="397"/>
        <w:gridCol w:w="109"/>
        <w:gridCol w:w="109"/>
        <w:gridCol w:w="109"/>
        <w:gridCol w:w="2523"/>
        <w:gridCol w:w="2520"/>
        <w:gridCol w:w="3595"/>
      </w:tblGrid>
      <w:tr>
        <w:trPr/>
        <w:tc>
          <w:tcPr>
            <w:tcW w:w="4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95"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smc2q2026earningsrelease.htm">
              <w:r>
                <w:rPr>
                  <w:rStyle w:val="InternetLink"/>
                  <w:rFonts w:ascii="Times New Roman;serif" w:hAnsi="Times New Roman;serif"/>
                  <w:b w:val="false"/>
                  <w:color w:val="0000FF"/>
                  <w:sz w:val="20"/>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40" w:after="40"/>
              <w:jc w:val="left"/>
              <w:rPr/>
            </w:pPr>
            <w:hyperlink w:anchor="smc2q2026earningsrelease.htm">
              <w:r>
                <w:rPr>
                  <w:rStyle w:val="InternetLink"/>
                  <w:rFonts w:ascii="Times New Roman;serif" w:hAnsi="Times New Roman;serif"/>
                  <w:b w:val="false"/>
                  <w:color w:val="0000FF"/>
                  <w:sz w:val="20"/>
                  <w:u w:val="single"/>
                </w:rPr>
                <w:t>Press Release, dated August 10, 2026.</w:t>
              </w:r>
            </w:hyperlink>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187"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942"/>
        <w:gridCol w:w="942"/>
        <w:gridCol w:w="942"/>
        <w:gridCol w:w="942"/>
        <w:gridCol w:w="942"/>
        <w:gridCol w:w="136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60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Matthew B. Sicinski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 Sicinski, Senior Vice President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6461" w:type="dxa"/>
        <w:jc w:val="left"/>
        <w:tblInd w:w="0" w:type="dxa"/>
        <w:tblLayout w:type="fixed"/>
        <w:tblCellMar>
          <w:top w:w="28" w:type="dxa"/>
          <w:left w:w="28" w:type="dxa"/>
          <w:bottom w:w="28" w:type="dxa"/>
          <w:right w:w="28" w:type="dxa"/>
        </w:tblCellMar>
      </w:tblPr>
      <w:tblGrid>
        <w:gridCol w:w="1260"/>
        <w:gridCol w:w="1107"/>
        <w:gridCol w:w="1109"/>
        <w:gridCol w:w="874"/>
        <w:gridCol w:w="874"/>
        <w:gridCol w:w="1237"/>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40" w:after="40"/>
              <w:jc w:val="left"/>
              <w:rPr/>
            </w:pPr>
            <w:r>
              <w:rPr/>
              <w:drawing>
                <wp:inline distT="0" distB="0" distL="0" distR="0">
                  <wp:extent cx="2143125" cy="657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43125" cy="657225"/>
                          </a:xfrm>
                          <a:prstGeom prst="rect">
                            <a:avLst/>
                          </a:prstGeom>
                        </pic:spPr>
                      </pic:pic>
                    </a:graphicData>
                  </a:graphic>
                </wp:inline>
              </w:drawing>
            </w:r>
          </w:p>
        </w:tc>
        <w:tc>
          <w:tcPr>
            <w:tcW w:w="2985" w:type="dxa"/>
            <w:gridSpan w:val="3"/>
            <w:tcBorders/>
            <w:tcMar>
              <w:top w:w="0" w:type="dxa"/>
              <w:left w:w="0" w:type="dxa"/>
              <w:bottom w:w="0" w:type="dxa"/>
              <w:right w:w="0" w:type="dxa"/>
            </w:tcMar>
            <w:vAlign w:val="center"/>
          </w:tcPr>
          <w:p>
            <w:pPr>
              <w:pStyle w:val="TableContents"/>
              <w:bidi w:val="0"/>
              <w:spacing w:before="40" w:after="283"/>
              <w:jc w:val="right"/>
              <w:rPr/>
            </w:pPr>
            <w:r>
              <w:rPr/>
            </w:r>
          </w:p>
          <w:p>
            <w:pPr>
              <w:pStyle w:val="TableContents"/>
              <w:bidi w:val="0"/>
              <w:spacing w:lineRule="auto" w:line="288" w:before="40" w:after="283"/>
              <w:jc w:val="right"/>
              <w:rPr>
                <w:rFonts w:ascii="Arial;sans-serif" w:hAnsi="Arial;sans-serif"/>
                <w:b w:val="false"/>
                <w:color w:val="1F497D"/>
                <w:sz w:val="20"/>
              </w:rPr>
            </w:pPr>
            <w:r>
              <w:rPr>
                <w:rFonts w:ascii="Arial;sans-serif" w:hAnsi="Arial;sans-serif"/>
                <w:b w:val="false"/>
                <w:color w:val="1F497D"/>
                <w:sz w:val="20"/>
              </w:rPr>
              <w:t>Summit Midstream Corporation</w:t>
            </w:r>
          </w:p>
          <w:p>
            <w:pPr>
              <w:pStyle w:val="TableContents"/>
              <w:bidi w:val="0"/>
              <w:spacing w:lineRule="auto" w:line="288" w:before="0" w:after="0"/>
              <w:jc w:val="right"/>
              <w:rPr>
                <w:rFonts w:ascii="Arial;sans-serif" w:hAnsi="Arial;sans-serif"/>
                <w:b w:val="false"/>
                <w:color w:val="1F497D"/>
                <w:sz w:val="20"/>
              </w:rPr>
            </w:pPr>
            <w:r>
              <w:rPr>
                <w:rFonts w:ascii="Arial;sans-serif" w:hAnsi="Arial;sans-serif"/>
                <w:b w:val="false"/>
                <w:color w:val="1F497D"/>
                <w:sz w:val="20"/>
              </w:rPr>
              <w:t>910 Louisiana Street, Suite 4200</w:t>
            </w:r>
          </w:p>
          <w:p>
            <w:pPr>
              <w:pStyle w:val="TableContents"/>
              <w:bidi w:val="0"/>
              <w:spacing w:lineRule="auto" w:line="288" w:before="0" w:after="0"/>
              <w:jc w:val="right"/>
              <w:rPr>
                <w:rFonts w:ascii="Arial;sans-serif" w:hAnsi="Arial;sans-serif"/>
                <w:b w:val="false"/>
                <w:color w:val="1F497D"/>
                <w:sz w:val="20"/>
              </w:rPr>
            </w:pPr>
            <w:r>
              <w:rPr>
                <w:rFonts w:ascii="Arial;sans-serif" w:hAnsi="Arial;sans-serif"/>
                <w:b w:val="false"/>
                <w:color w:val="1F497D"/>
                <w:sz w:val="20"/>
              </w:rPr>
              <w:t>Houston, TX 77002</w:t>
            </w:r>
          </w:p>
        </w:tc>
      </w:tr>
    </w:tbl>
    <w:p>
      <w:pPr>
        <w:pStyle w:val="TextBody"/>
        <w:bidi w:val="0"/>
        <w:spacing w:lineRule="auto" w:line="288" w:before="120" w:after="283"/>
        <w:ind w:left="0" w:right="0" w:hanging="270"/>
        <w:jc w:val="center"/>
        <w:rPr>
          <w:rFonts w:ascii="Arial;sans-serif" w:hAnsi="Arial;sans-serif"/>
          <w:b/>
          <w:color w:val="000000"/>
          <w:sz w:val="20"/>
        </w:rPr>
      </w:pPr>
      <w:r>
        <w:rPr>
          <w:rFonts w:ascii="Arial;sans-serif" w:hAnsi="Arial;sans-serif"/>
          <w:b/>
          <w:color w:val="000000"/>
          <w:sz w:val="20"/>
        </w:rPr>
        <w:t>Summit Midstream Corporation Reports Second Quarter 2026 Financial and Operating Results</w:t>
      </w:r>
    </w:p>
    <w:p>
      <w:pPr>
        <w:pStyle w:val="TextBody"/>
        <w:bidi w:val="0"/>
        <w:spacing w:lineRule="auto" w:line="268" w:before="120" w:after="283"/>
        <w:jc w:val="left"/>
        <w:rPr/>
      </w:pPr>
      <w:r>
        <w:rPr>
          <w:rFonts w:ascii="Arial;sans-serif" w:hAnsi="Arial;sans-serif"/>
          <w:b w:val="false"/>
          <w:color w:val="000000"/>
          <w:sz w:val="20"/>
        </w:rPr>
        <w:t xml:space="preserve">Houston, Texas (August 10, 2026) – Summit Midstream Corporation (NYSE: SMC) (“Summit”, “SMC” or the </w:t>
      </w:r>
      <w:r>
        <w:rPr>
          <w:color w:val="000000"/>
        </w:rPr>
        <w:t>“</w:t>
      </w:r>
      <w:r>
        <w:rPr>
          <w:rFonts w:ascii="Arial;sans-serif" w:hAnsi="Arial;sans-serif"/>
          <w:b w:val="false"/>
          <w:color w:val="000000"/>
          <w:sz w:val="20"/>
        </w:rPr>
        <w:t>Company”) announced today its financial and operating results for the three months ended June 30, 2026.</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Highlights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Second quarter 2026 net income of $4.6 million, Adjusted EBITDA of $60.7 million, an increase of 12% relative to the first quarter of 2026, cash flow available for distributions (“Distributable Cash Flow” or “DCF”) of $36.8 million and free cash flow (“FCF”) of $9.4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Eight rigs currently operating behind the Rockies systems, including six in the Williston Basin and two in the DJ Basin, with approximately 75 DUCs across the footprint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Mid-Con Segment natural gas volume throughput increased 9.9% to 523 MMcf/d relative to the first quarter of 2026, driving a 10% increase in Segment Adjusted EBITDA</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Established $35 million stock repurchase program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Continued commercial progress in the Permian and Williston Basins, including new firm transportation agreements on Double E and a new crude gathering agreement in Divide County, North Dakota</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Tightened 2026 Adjusted EBITDA guidance range to $235 million to $255 million and increased total capital expenditures to $100 million to $120 million to reflect additional high-returning growth projects in the Rockies and Permian Segments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Management Commentary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Heath Deneke, President, Chief Executive Officer and Chairman, commented, "Customer activity ramped up meaningfully across our footprint during the second quarter with 36 new well connections, driving a 12% increase in Adjusted EBITDA relative to the first quarter. Our Rockies Segment accounted for the majority of the increase, while Mid-Con delivered a nearly 10% volume increase on strong well performance in both the Barnett and Arkoma, giving us added confidence in the segment's trajectory for the remainder of the year. We also executed new firm transportation agreements on Double E and a new crude gathering agreement in Divide County, North Dakota, further strengthening our long-term growth outlook. We continue to have a tremendous amount of customer interest in the ongoing Double E – Mainline Compression Expansion open season. We have extended the open season through the end of August as we work on finalizing additional firm transportation agreements to support the project and we expect to be in a position to make a final investment decision prior to its conclusion.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"Another encouraging development this quarter has been the acceleration of activity in the Williston Basin. Six rigs are running behind our system today, the most active drilling program we have seen in the basin in several years. Since the end of the second quarter, we have connected 17 new wells, nine of which we serve with both crude oil and produced water gathering. We’ve also identified approximately 30 incremental well connections in the Williston Basin that were not part of our original plan, a result of our recent commercial success in the basin and existing customers accelerating their development activity. These wells are expected to connect primarily in the fourth quarter, so we expect minimal impact on 2026 results, but they position us well for a strong start to 2027.</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"With a solid first half behind us and customer activity accelerating across the footprint, we have better visibility into our second-half volume profile. We are tightening our full-year 2026 Adjusted EBITDA guidance to $235 million to $255 million and increasing total capital expenditures, including Double E, to $100 million to $120 million to reflect additional high-returning growth projects in the Rockies and Permian Segments.”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Second Quarter 2026 Business Highlights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SMC's average daily natural gas throughput on its wholly owned, operated systems increased 3.3% to 899 MMcf/d, while liquids volumes increased 6.3% to 68 Mbbl/d, relative to the first quarter of 2026. Double E Pipeline averaged 859 MMcf/d and contributed $9.4 million in Adjusted EBITDA, net to SMC, for the second quarter of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both"/>
        <w:rPr/>
      </w:pPr>
      <w:r>
        <w:rPr>
          <w:rFonts w:ascii="Arial;sans-serif" w:hAnsi="Arial;sans-serif"/>
          <w:b/>
          <w:color w:val="000000"/>
          <w:sz w:val="20"/>
          <w:u w:val="single"/>
        </w:rPr>
        <w:t>Natural gas price-driven segments</w:t>
      </w:r>
      <w:r>
        <w:rPr>
          <w:rFonts w:ascii="Arial;sans-serif" w:hAnsi="Arial;sans-serif"/>
          <w:b/>
          <w:color w:val="000000"/>
          <w:sz w:val="20"/>
        </w:rPr>
        <w: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Natural gas price-driven segments generated $30.0 million in combined Segment Adjusted EBITDA, a $1.1 million increase relative to the first quarter of 2026, with combined capital expenditures of $7.3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Mid-Con Segment Adjusted EBITDA totaled $21.4 million, an increase of $2.0 million relative to the first quarter of 2026, primarily due to a 9.9% increase in natural gas volume throughput to 523 MMcf/d, driven by 17 new Barnett well connections and three new Arkoma well connections during the quarter.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Piceance Segment Adjusted EBITDA totaled $8.7 million, a decrease of $0.9 million relative to the first quarter of 2026, primarily due to a 5.7% decline in volume throughput driven by continued temporary shut-ins, natural production declines, and no new well connections during the quarter. As of the end of July, all previous shut-in production has resumed flowing.</w:t>
      </w:r>
    </w:p>
    <w:p>
      <w:pPr>
        <w:pStyle w:val="TextBody"/>
        <w:bidi w:val="0"/>
        <w:spacing w:lineRule="auto" w:line="288" w:before="120" w:after="283"/>
        <w:jc w:val="both"/>
        <w:rPr/>
      </w:pPr>
      <w:r>
        <w:rPr>
          <w:rFonts w:ascii="Arial;sans-serif" w:hAnsi="Arial;sans-serif"/>
          <w:b/>
          <w:color w:val="000000"/>
          <w:sz w:val="20"/>
          <w:u w:val="single"/>
        </w:rPr>
        <w:t>Oil price-driven segments</w:t>
      </w:r>
      <w:r>
        <w:rPr>
          <w:rFonts w:ascii="Arial;sans-serif" w:hAnsi="Arial;sans-serif"/>
          <w:b/>
          <w:color w:val="000000"/>
          <w:sz w:val="20"/>
        </w:rPr>
        <w: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Oil price-driven segments generated $39.7 million in combined Segment Adjusted EBITDA, a $4.6 million increase relative to the first quarter of 2026, with combined capital expenditures of $17.0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Rockies Segment Adjusted EBITDA totaled $30.4 million, an increase of $4.0 million relative to the first quarter of 2026, driven by a 6.3% increase in liquids volume throughput and higher realized crude oil and NGL prices, partially offset by a 3.0% decline in natural gas volume throughput. 16 wells were connected in the DJ Basin during the quarter, and subsequent to quarter end, 17 wells were connected in the Williston Basin, including nine wells for which we provide both crude oil and produced water gathering services. Eight rigs are currently running in the Rockies Segment, including two in the DJ Basin and six in the Williston Basin, with approximately 75 DUCs behind the systems.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Permian Segment Adjusted EBITDA totaled $9.4 million, an increase of $0.6 million relative to the first quarter of 2026, driven by a 6.7% increase in Double E volume throughput to 859 MMcf/d.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average daily throughput by reportable segment for the periods indicated:</w:t>
      </w:r>
    </w:p>
    <w:tbl>
      <w:tblPr>
        <w:tblW w:w="9825" w:type="dxa"/>
        <w:jc w:val="left"/>
        <w:tblInd w:w="0" w:type="dxa"/>
        <w:tblLayout w:type="fixed"/>
        <w:tblCellMar>
          <w:top w:w="28" w:type="dxa"/>
          <w:left w:w="28" w:type="dxa"/>
          <w:bottom w:w="28" w:type="dxa"/>
          <w:right w:w="28" w:type="dxa"/>
        </w:tblCellMar>
      </w:tblPr>
      <w:tblGrid>
        <w:gridCol w:w="1610"/>
        <w:gridCol w:w="1413"/>
        <w:gridCol w:w="1417"/>
        <w:gridCol w:w="291"/>
        <w:gridCol w:w="291"/>
        <w:gridCol w:w="291"/>
        <w:gridCol w:w="291"/>
        <w:gridCol w:w="291"/>
        <w:gridCol w:w="291"/>
        <w:gridCol w:w="291"/>
        <w:gridCol w:w="291"/>
        <w:gridCol w:w="291"/>
        <w:gridCol w:w="109"/>
        <w:gridCol w:w="109"/>
        <w:gridCol w:w="109"/>
        <w:gridCol w:w="259"/>
        <w:gridCol w:w="259"/>
        <w:gridCol w:w="259"/>
        <w:gridCol w:w="259"/>
        <w:gridCol w:w="259"/>
        <w:gridCol w:w="259"/>
        <w:gridCol w:w="259"/>
        <w:gridCol w:w="259"/>
        <w:gridCol w:w="367"/>
      </w:tblGrid>
      <w:tr>
        <w:trPr/>
        <w:tc>
          <w:tcPr>
            <w:tcW w:w="161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7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Average daily throughput (MMcf/d):</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Rockies</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w:t>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Piceance</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Mid-Con</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Aggregate average daily throughput</w:t>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899</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886</w:t>
            </w: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899</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Average daily throughput (Mbbl/d):</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Rockies</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Aggregate average daily throughput</w:t>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w:t>
            </w: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76</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Double E average daily throughput (MMcf/d) </w:t>
            </w:r>
            <w:r>
              <w:rPr>
                <w:rFonts w:ascii="Arial;sans-serif" w:hAnsi="Arial;sans-serif"/>
                <w:b/>
                <w:color w:val="000000"/>
                <w:sz w:val="13"/>
              </w:rPr>
              <w:t>(1)</w:t>
            </w:r>
          </w:p>
        </w:tc>
        <w:tc>
          <w:tcPr>
            <w:tcW w:w="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859</w:t>
            </w:r>
            <w:r>
              <w:rPr>
                <w:color w:val="000000"/>
              </w:rPr>
              <w:t>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682</w:t>
            </w:r>
            <w:r>
              <w:rPr>
                <w:color w:val="000000"/>
              </w:rPr>
              <w:t>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832</w:t>
            </w:r>
            <w:r>
              <w:rPr>
                <w:color w:val="000000"/>
              </w:rPr>
              <w:t>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673</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_________</w:t>
      </w:r>
    </w:p>
    <w:p>
      <w:pPr>
        <w:pStyle w:val="TextBody"/>
        <w:bidi w:val="0"/>
        <w:spacing w:before="120" w:after="283"/>
        <w:jc w:val="left"/>
        <w:rPr/>
      </w:pPr>
      <w:r>
        <w:rPr/>
      </w:r>
    </w:p>
    <w:p>
      <w:pPr>
        <w:pStyle w:val="TextBody"/>
        <w:bidi w:val="0"/>
        <w:spacing w:lineRule="auto" w:line="288" w:before="120" w:after="283"/>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Gross basis, represents 100% of volume throughput for Double E.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The following table presents adjusted EBITDA by reportable segment for the periods indicated:</w:t>
      </w:r>
    </w:p>
    <w:tbl>
      <w:tblPr>
        <w:tblW w:w="9570" w:type="dxa"/>
        <w:jc w:val="left"/>
        <w:tblInd w:w="0" w:type="dxa"/>
        <w:tblLayout w:type="fixed"/>
        <w:tblCellMar>
          <w:top w:w="28" w:type="dxa"/>
          <w:left w:w="28" w:type="dxa"/>
          <w:bottom w:w="28" w:type="dxa"/>
          <w:right w:w="28" w:type="dxa"/>
        </w:tblCellMar>
      </w:tblPr>
      <w:tblGrid>
        <w:gridCol w:w="1413"/>
        <w:gridCol w:w="1240"/>
        <w:gridCol w:w="1247"/>
        <w:gridCol w:w="224"/>
        <w:gridCol w:w="798"/>
        <w:gridCol w:w="115"/>
        <w:gridCol w:w="115"/>
        <w:gridCol w:w="115"/>
        <w:gridCol w:w="115"/>
        <w:gridCol w:w="224"/>
        <w:gridCol w:w="798"/>
        <w:gridCol w:w="115"/>
        <w:gridCol w:w="109"/>
        <w:gridCol w:w="109"/>
        <w:gridCol w:w="109"/>
        <w:gridCol w:w="211"/>
        <w:gridCol w:w="856"/>
        <w:gridCol w:w="109"/>
        <w:gridCol w:w="109"/>
        <w:gridCol w:w="109"/>
        <w:gridCol w:w="109"/>
        <w:gridCol w:w="211"/>
        <w:gridCol w:w="85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w:t>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Reportable segment adjusted EBITDA </w:t>
            </w:r>
            <w:r>
              <w:rPr>
                <w:rFonts w:ascii="Arial;sans-serif" w:hAnsi="Arial;sans-serif"/>
                <w:b/>
                <w:color w:val="000000"/>
                <w:sz w:val="13"/>
              </w:rPr>
              <w:t>(1)</w:t>
            </w:r>
            <w:r>
              <w:rPr>
                <w:rFonts w:ascii="Arial;sans-serif" w:hAnsi="Arial;sans-serif"/>
                <w:b/>
                <w:color w:val="000000"/>
                <w:sz w:val="20"/>
              </w:rPr>
              <w:t>:</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Rockies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Permian </w:t>
            </w:r>
            <w:r>
              <w:rPr>
                <w:rFonts w:ascii="Arial;sans-serif" w:hAnsi="Arial;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Piceance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Mid-Con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69,746 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68,909 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Less: Corporate and Other </w:t>
            </w:r>
            <w:r>
              <w:rPr>
                <w:rFonts w:ascii="Arial;sans-serif" w:hAnsi="Arial;sans-serif"/>
                <w:b w:val="false"/>
                <w:color w:val="000000"/>
                <w:sz w:val="13"/>
              </w:rPr>
              <w:t>(3)</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Adjusted EBITDA </w:t>
            </w:r>
            <w:r>
              <w:rPr>
                <w:rFonts w:ascii="Arial;sans-serif" w:hAnsi="Arial;sans-serif"/>
                <w:b w:val="false"/>
                <w:color w:val="000000"/>
                <w:sz w:val="13"/>
              </w:rPr>
              <w:t>(4)</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60,699 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61,094 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118,600 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120" w:after="283"/>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Segment adjusted EBITDA is a non-GAAP financial measure. We define segment adjusted EBITDA as total revenues less total costs and expenses, plus (i) other income (excluding interest income), (ii) our proportional adjusted EBITDA for equity method investees, (iii) depreciation and amortization, (iv) adjustments related to minimum volume commitments ("MVC") shortfall payments, (v) adjustments related to capital reimbursement activity, (vi) share-based and noncash compensation, (vii) impairments and (viii) other noncash expenses or losses, less other noncash income or gains. </w:t>
      </w:r>
    </w:p>
    <w:p>
      <w:pPr>
        <w:pStyle w:val="TextBody"/>
        <w:bidi w:val="0"/>
        <w:spacing w:lineRule="auto" w:line="288" w:before="12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Includes our proportional share of adjusted EBITDA for Double E. We define proportional adjusted EBITDA for our equity method investees as the product of total revenues less total expenses, excluding impairments and other noncash income or expense items; multiplied by our ownership interest during the respective period.</w:t>
      </w:r>
    </w:p>
    <w:p>
      <w:pPr>
        <w:pStyle w:val="TextBody"/>
        <w:bidi w:val="0"/>
        <w:spacing w:lineRule="auto" w:line="288" w:before="12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and transaction costs.</w:t>
      </w:r>
    </w:p>
    <w:p>
      <w:pPr>
        <w:pStyle w:val="TextBody"/>
        <w:bidi w:val="0"/>
        <w:spacing w:lineRule="auto" w:line="288" w:before="120" w:after="283"/>
        <w:ind w:left="0" w:right="0" w:hanging="360"/>
        <w:jc w:val="both"/>
        <w:rPr/>
      </w:pPr>
      <w:r>
        <w:rPr>
          <w:rFonts w:ascii="Arial;sans-serif" w:hAnsi="Arial;sans-serif"/>
          <w:b w:val="false"/>
          <w:color w:val="000000"/>
          <w:sz w:val="13"/>
        </w:rPr>
        <w:t>(4)</w:t>
      </w:r>
      <w:r>
        <w:rPr>
          <w:rFonts w:ascii="Arial;sans-serif" w:hAnsi="Arial;sans-serif"/>
          <w:b w:val="false"/>
          <w:color w:val="000000"/>
          <w:sz w:val="20"/>
        </w:rPr>
        <w:t>Adjusted EBITDA is a non-GAAP financial measure.</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Capital Expenditures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Capital expenditures totaled $25.0 million in the second quarter of 2026, inclusive of maintenance capital expenditures of $4.1 million. Capital expenditures in the second quarter of 2026 were primarily related to pad connections in the Rockies and Mid-Con segments. SMC is increasing its full year 2026 capital expenditure guidance to $100 million to $120 million, from $85 million to $105 million previously, reflecting 30 additional Williston wells added to the program or accelerated from 2027 and incremental capital at Double E tied to new firm transportation agreements executed this year.</w:t>
      </w:r>
    </w:p>
    <w:tbl>
      <w:tblPr>
        <w:tblW w:w="8393" w:type="dxa"/>
        <w:jc w:val="left"/>
        <w:tblInd w:w="0" w:type="dxa"/>
        <w:tblLayout w:type="fixed"/>
        <w:tblCellMar>
          <w:top w:w="28" w:type="dxa"/>
          <w:left w:w="28" w:type="dxa"/>
          <w:bottom w:w="28" w:type="dxa"/>
          <w:right w:w="28" w:type="dxa"/>
        </w:tblCellMar>
      </w:tblPr>
      <w:tblGrid>
        <w:gridCol w:w="1476"/>
        <w:gridCol w:w="1300"/>
        <w:gridCol w:w="1303"/>
        <w:gridCol w:w="109"/>
        <w:gridCol w:w="109"/>
        <w:gridCol w:w="224"/>
        <w:gridCol w:w="224"/>
        <w:gridCol w:w="434"/>
        <w:gridCol w:w="1547"/>
        <w:gridCol w:w="224"/>
        <w:gridCol w:w="109"/>
        <w:gridCol w:w="109"/>
        <w:gridCol w:w="109"/>
        <w:gridCol w:w="211"/>
        <w:gridCol w:w="751"/>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443"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w:t>
            </w:r>
          </w:p>
        </w:tc>
        <w:tc>
          <w:tcPr>
            <w:tcW w:w="1443"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Cash paid for capital expenditures </w:t>
            </w:r>
            <w:r>
              <w:rPr>
                <w:rFonts w:ascii="Arial;sans-serif" w:hAnsi="Arial;sans-serif"/>
                <w:b/>
                <w:color w:val="000000"/>
                <w:sz w:val="13"/>
              </w:rPr>
              <w:t>(1)</w:t>
            </w: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Rockies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27,989 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Piceance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Mid-Con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14,127 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reportable segment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42,879 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45,247 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cash paid for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44,270 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120" w:after="283"/>
        <w:ind w:left="0" w:right="0" w:hanging="360"/>
        <w:jc w:val="left"/>
        <w:rPr/>
      </w:pPr>
      <w:r>
        <w:rPr>
          <w:rFonts w:ascii="Arial;sans-serif" w:hAnsi="Arial;sans-serif"/>
          <w:b w:val="false"/>
          <w:color w:val="000000"/>
          <w:sz w:val="13"/>
        </w:rPr>
        <w:t>(1)</w:t>
      </w:r>
      <w:r>
        <w:rPr>
          <w:rFonts w:ascii="Arial;sans-serif" w:hAnsi="Arial;sans-serif"/>
          <w:b w:val="false"/>
          <w:color w:val="000000"/>
          <w:sz w:val="20"/>
        </w:rPr>
        <w:t>Excludes cash paid for capital expenditures by Double E due to equity method accounting.</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Capital &amp; Liquidity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2026, SMC had $21.0 million in unrestricted cash-on-hand and $79 million drawn under its $500 million ABL Revolver with $418 million of borrowing availability, after accounting for $2.7 million of issued, but undrawn letters of credit. As of June 30, 2026, SMC’s gross availability based on the borrowing base calculation in the credit agreement was $798 million, which is $298 million greater than the $500 million of lender commitments to the ABL Revolver. As of June 30, 2026, SMC was in compliance with all financial covenants, including interest coverage of 2.7x relative to a minimum interest coverage covenant of 2.0x and first lien leverage ratio of 0.3x relative to a maximum first lien leverage ratio of 2.5x. As of June 30, 2026, SMC reported a total leverage ratio of approximately 4.1x.</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As of June 30, 2026, the Summit Permian Transmission Term Loan Facility had a balance of $350 million. Summit Midstream Permian has $10.8 million of cash-on-hand as of June 30, 2026. The Permian Transmission Term Loan remains non-recourse to SMC.</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MVC Shortfall Payments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SMC billed its customers $4.2 million in the second quarter of 2026 related to MVC shortfalls. For those customers that do not have MVC shortfall credit banking mechanisms in their gathering agreements, the MVC shortfall payments are accounted for as gathering revenue in the period in which they are earned. In the second quarter of 2026, SMC recognized $4.2 million of gathering revenue associated with MVC shortfall payments. SMC had $0.0 million of adjustments to MVC shortfall payments in the second quarter of 2026. SMC’s MVC shortfall payment mechanisms contributed $4.2 million of total Adjusted EBITDA in the second quarter of 2026. The minimum volume commitments underpinning SMC's Piceance segment gathering agreements, which represent substantially all of SMC's MVC shortfall payments, expire at the end of the third quarter of 2026.</w:t>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 xml:space="preserve">Quarterly Dividend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Board of Directors of Summit Midstream Corporation continued to suspend cash dividends payable on the common stock for the period ended June 30, 2026. The quarterly cash dividend on the Series A Preferred Stock, for the period ending September 14, 2026, will be paid to preferred shareholders of record as of the close of business on September 1, 2026. </w:t>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Share Repurchase Program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second quarter of 2026, SMC repurchased 34,624 shares of its common stock for approximately $1.0 million. As of June 30, 2026, SMC had approximately $34.0 million of remaining capacity under its $35 million share repurchase program.</w:t>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Second Quarter 2026 Earnings Call Information</w:t>
      </w:r>
    </w:p>
    <w:p>
      <w:pPr>
        <w:pStyle w:val="TextBody"/>
        <w:bidi w:val="0"/>
        <w:spacing w:lineRule="auto" w:line="268" w:before="120" w:after="283"/>
        <w:jc w:val="left"/>
        <w:rPr/>
      </w:pPr>
      <w:r>
        <w:rPr>
          <w:rFonts w:ascii="Arial;sans-serif" w:hAnsi="Arial;sans-serif"/>
          <w:b w:val="false"/>
          <w:color w:val="000000"/>
          <w:sz w:val="20"/>
        </w:rPr>
        <w:t xml:space="preserve">SMC will host a conference call at 10:00 a.m. Eastern on August 11, 2026, to discuss its quarterly operating and financial results. The call can be accessed via teleconference at the following link: Q2 2026 Summit Midstream Corporation Earnings Conference Call </w:t>
      </w:r>
      <w:r>
        <w:rPr>
          <w:rFonts w:ascii="Arial;sans-serif" w:hAnsi="Arial;sans-serif"/>
          <w:b w:val="false"/>
          <w:color w:val="000000"/>
          <w:sz w:val="24"/>
        </w:rPr>
        <w:t>(</w:t>
      </w:r>
      <w:r>
        <w:rPr>
          <w:rFonts w:ascii="Arial;sans-serif" w:hAnsi="Arial;sans-serif"/>
          <w:b w:val="false"/>
          <w:color w:val="000000"/>
          <w:sz w:val="20"/>
        </w:rPr>
        <w:t>https://register-conf.media-server.com/register/BI8cebf785fce846a9bb80ae80660d3cbc</w:t>
      </w:r>
      <w:r>
        <w:rPr>
          <w:rFonts w:ascii="Arial;sans-serif" w:hAnsi="Arial;sans-serif"/>
          <w:b w:val="false"/>
          <w:color w:val="0000FF"/>
          <w:sz w:val="20"/>
        </w:rPr>
        <w:t>)</w:t>
      </w:r>
      <w:r>
        <w:rPr>
          <w:rFonts w:ascii="Arial;sans-serif" w:hAnsi="Arial;sans-serif"/>
          <w:b w:val="false"/>
          <w:color w:val="000000"/>
          <w:sz w:val="20"/>
        </w:rPr>
        <w:t>. Once registration is completed, participants will receive a dial-in number along with a personalized PIN to access the call. While not required, it is recommended that participants join 10 minutes prior to the event start. The conference call, live webcast and archive of the call can be accessed through the Investors section of SMC's website at www.summitmidstream.com.</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Use of Non-GAAP Financial Measures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report financial results in accordance with U.S. generally accepted accounting principles (“GAAP”). We also present adjusted EBITDA, segment adjusted EBITDA, Distributable Cash Flow, and Free Cash Flow, non-GAAP financial measures.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Adjusted EBITDA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define adjusted EBITDA as net income or loss, plus interest expense, income tax expense, depreciation and amortization, our proportional adjusted EBITDA for equity method investees, adjustments related to MVC shortfall payments, adjustments related to capital reimbursement activity, share-based and noncash compensation, impairments, items of income or loss that we characterize as unrepresentative of our ongoing operations and other noncash expenses or losses, income tax benefit, income (loss) from equity method investees and other noncash income or gains. Because adjusted EBITDA may be defined differently by other entities in our industry, our definition of this non-GAAP financial measure may not be comparable to similarly titled measures of other entities, thereby diminishing its utility.</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 uses adjusted EBITDA in making financial, operating and planning decisions and in evaluating our financial performance. Furthermore, management believes that adjusted EBITDA may provide external users of our financial statements, such as investors, commercial banks, research analysts and others, with additional meaningful comparisons between current results and results of prior periods as they are expected to be reflective of our core ongoing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is used as a supplemental financial measure to assess: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ability of our assets to generate cash sufficient to make future potential cash dividends and support our indebtedness;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financial performance of our assets without regard to financing methods, capital structure or historical cost basis;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operating performance and return on capital as compared to those of other entities in the midstream energy sector, without regard to financing or capital structure;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attractiveness of capital projects and acquisitions and the overall rates of return on alternative investment opportunities;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financial performance of our assets without regard to (i) the impact of the timing of MVC shortfall payments under our gathering agreements or (ii) the timing of impairments or other income or expense items that we characterize as unrepresentative of our ongoing operations.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has limitations as an analytical tool and investors should not consider it in isolation or as a substitute for analysis of our results as reported under GAAP. For example: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adjusted EBITDA includes the Company's proportionate share of Adjusted EBITDA from its unconsolidated equity method investee. Because this entity is not consolidated, the Company does not control its operations and does not have legal claim to its revenues, expenses, assets, liabilities, or cash flows, other than distributions received. As a result, this adjustment has limitations as an analytical measure and may not be comparable to similarly titled measures presented by other companies;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certain items excluded from adjusted EBITDA are significant components in understanding and assessing an entity's financial performance, such as an entity's cost of capital and tax structure;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adjusted EBITDA does not reflect our cash expenditures or future requirements for capital expenditures or contractual commitments;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adjusted EBITDA does not reflect changes in, or cash requirements for, our working capital needs;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although depreciation and amortization are noncash charges, the assets being depreciated and amortized will often have to be replaced in the future, and adjusted EBITDA does not reflect any cash requirements for such replacements.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compensate for the limitations of adjusted EBITDA as an analytical tool by reviewing the comparable GAAP financial measures, understanding the differences between the financial measures and incorporating these data points into our decision-making process.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Distributable Cash Flow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define Distributable Cash Flow as adjusted EBITDA, as defined above, less cash interest paid, cash paid for taxes, net interest expense accrued and paid on the senior notes, and maintenance capital expenditures.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Free Cash Flow</w:t>
      </w:r>
    </w:p>
    <w:p>
      <w:pPr>
        <w:pStyle w:val="TextBody"/>
        <w:bidi w:val="0"/>
        <w:spacing w:lineRule="auto" w:line="288" w:before="120" w:after="283"/>
        <w:jc w:val="both"/>
        <w:rPr/>
      </w:pPr>
      <w:r>
        <w:rPr>
          <w:rFonts w:ascii="Arial;sans-serif" w:hAnsi="Arial;sans-serif"/>
          <w:b w:val="false"/>
          <w:color w:val="000000"/>
          <w:sz w:val="20"/>
        </w:rPr>
        <w:t>We define free cash flow as distributable cash flow attributable to common and preferred shareholders less growth capital expenditures, less investments in equity method investees, less dividends to common and preferred shareholders. Free cash flow excludes proceeds from asset sales and cash consideration paid for acquisitions.</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do not provide the GAAP financial measures of net income or loss or net cash provided by operating activities on a forward-looking basis because we are unable to predict, without unreasonable effort, certain components thereof including, but not limited to, (i) income or loss from equity method investees and (ii) asset impairments. These items are inherently uncertain and depend on various factors, many of which are beyond our control. As such, any associated estimate and its impact on our GAAP performance and cash flow measures could vary materially based on a variety of acceptable management assumptions.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About Summit Midstream Corporation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SMC is a value-driven corporation focused on developing, owning and operating midstream energy infrastructure assets that are strategically located in the core producing areas of unconventional resource basins, primarily shale formations, in the continental United States. SMC provides natural gas, crude oil and produced water gathering, processing and transportation services pursuant to primarily long-term, fee-based agreements with customers and counterparties in five unconventional resource basins: (i) the Williston Basin, which includes the Bakken and Three Forks shale formations in North Dakota; (ii) the Denver-Julesburg Basin, which includes the Niobrara and Codell shale formations in Colorado and Wyoming; (iii) the Fort Worth Basin, which includes the Barnett Shale formation in Texas; (iv) the Arkoma Basin, which includes the Woodford and Caney shale formations in Oklahoma; and (v) the Piceance Basin, which includes the Mesaverde formation as well as the Mancos and Niobrara shale formations in Colorado. SMC has an equity method investment in Double E Pipeline, LLC, which provides interstate natural gas transportation service from multiple receipt points in the Delaware Basin to various delivery points in and around the Waha Hub in Texas. SMC is headquartered in Houston, Texas.</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press release includes certain statements concerning expectations for the future that are forward-looking within the meaning of the federal securities laws.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payment of dividends on any series of stock, ongoing business strategies and possible actions taken by SMC or its subsidiaries are also forward-looking statements. Forward-looking statements also contain known and unknown risks and uncertainties (many of which are difficult to predict and beyond management's control) that may cause SMC's actual results in future periods to differ materially from anticipated or projected results. An extensive list of specific material risks and uncertainties affecting SMC is contained in its 2025 Annual Report on Form 10-K filed with the Securities and Exchange Commission (the "SEC") on March 16, 2026, as amended and updated from time to time. Any forward-looking statements in this press release are made as of the date of this press release and SMC undertakes no obligation to update or revise any forward-looking statements to reflect new information or events.</w: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SUMMIT MIDSTREAM CORPORATION AND SUBSIDIARIES</w:t>
      </w:r>
    </w:p>
    <w:p>
      <w:pPr>
        <w:pStyle w:val="TextBody"/>
        <w:bidi w:val="0"/>
        <w:spacing w:lineRule="auto" w:line="288" w:before="0" w:after="80"/>
        <w:jc w:val="center"/>
        <w:rPr>
          <w:rFonts w:ascii="Arial;sans-serif" w:hAnsi="Arial;sans-serif"/>
          <w:b/>
          <w:color w:val="000000"/>
          <w:sz w:val="22"/>
        </w:rPr>
      </w:pPr>
      <w:r>
        <w:rPr>
          <w:rFonts w:ascii="Arial;sans-serif" w:hAnsi="Arial;sans-serif"/>
          <w:b/>
          <w:color w:val="000000"/>
          <w:sz w:val="22"/>
        </w:rPr>
        <w:t>UNAUDITED CONDENSED CONSOLIDATED BALANCE SHEETS</w:t>
      </w:r>
    </w:p>
    <w:tbl>
      <w:tblPr>
        <w:tblW w:w="6939" w:type="dxa"/>
        <w:jc w:val="left"/>
        <w:tblInd w:w="0" w:type="dxa"/>
        <w:tblLayout w:type="fixed"/>
        <w:tblCellMar>
          <w:top w:w="28" w:type="dxa"/>
          <w:left w:w="28" w:type="dxa"/>
          <w:bottom w:w="28" w:type="dxa"/>
          <w:right w:w="28" w:type="dxa"/>
        </w:tblCellMar>
      </w:tblPr>
      <w:tblGrid>
        <w:gridCol w:w="1435"/>
        <w:gridCol w:w="1264"/>
        <w:gridCol w:w="1276"/>
        <w:gridCol w:w="211"/>
        <w:gridCol w:w="976"/>
        <w:gridCol w:w="109"/>
        <w:gridCol w:w="109"/>
        <w:gridCol w:w="109"/>
        <w:gridCol w:w="109"/>
        <w:gridCol w:w="211"/>
        <w:gridCol w:w="97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1,844,146 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Investment in Double 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2,407,380 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2,387,609 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LIABILITIES AND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 valorem 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environmental remediation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settlement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1,024,347 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Noncurrent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Noncurrent accrued environmental remediation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1,488,514 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1,299,757 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Mezzanine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Subsidiary Series A Preferred Units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Series A Preferred Shares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Common Stock, $0.01 par value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Class B Common Stock, $0.01 par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638,427 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Company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546,180 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918,866 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946,556 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2,407,380 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2,387,609 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SUMMIT MIDSTREAM CORPORATION AND SUBSIDIARIES</w:t>
      </w:r>
    </w:p>
    <w:p>
      <w:pPr>
        <w:pStyle w:val="TextBody"/>
        <w:bidi w:val="0"/>
        <w:spacing w:lineRule="auto" w:line="288" w:before="0" w:after="140"/>
        <w:jc w:val="center"/>
        <w:rPr>
          <w:rFonts w:ascii="Arial;sans-serif" w:hAnsi="Arial;sans-serif"/>
          <w:b/>
          <w:color w:val="000000"/>
          <w:sz w:val="22"/>
        </w:rPr>
      </w:pPr>
      <w:r>
        <w:rPr>
          <w:rFonts w:ascii="Arial;sans-serif" w:hAnsi="Arial;sans-serif"/>
          <w:b/>
          <w:color w:val="000000"/>
          <w:sz w:val="22"/>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698"/>
        <w:gridCol w:w="1491"/>
        <w:gridCol w:w="1495"/>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5"/>
      </w:tblGrid>
      <w:tr>
        <w:trPr/>
        <w:tc>
          <w:tcPr>
            <w:tcW w:w="1698"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 except per share amounts)</w:t>
            </w:r>
          </w:p>
        </w:tc>
      </w:tr>
      <w:tr>
        <w:trPr/>
        <w:tc>
          <w:tcPr>
            <w:tcW w:w="4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Revenues:</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128,347 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Natural gas, NGLs and condensate sales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revenues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272,914 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Costs and expenses: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natural gas and NGLs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Operation and maintenance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Acquisition integration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(loss) on asset sales,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Long-lived asset impairments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244,131 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(loss) on interest rate swaps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business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equity method investees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(loss) per share:</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Weighted-average number of shares outstanding:</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 basic</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 diluted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rFonts w:ascii="Arial;sans-serif" w:hAnsi="Arial;sans-serif"/>
          <w:b w:val="false"/>
          <w:color w:val="000000"/>
          <w:sz w:val="12"/>
        </w:rPr>
      </w:pPr>
      <w:r>
        <w:rPr>
          <w:rFonts w:ascii="Arial;sans-serif" w:hAnsi="Arial;sans-serif"/>
          <w:b w:val="false"/>
          <w:color w:val="000000"/>
          <w:sz w:val="12"/>
        </w:rPr>
        <w:t>__________</w:t>
      </w:r>
    </w:p>
    <w:p>
      <w:pPr>
        <w:pStyle w:val="TextBody"/>
        <w:bidi w:val="0"/>
        <w:spacing w:before="120" w:after="160"/>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SUMMIT MIDSTREAM CORPORATION AND SUBSIDIARIES</w:t>
      </w:r>
    </w:p>
    <w:p>
      <w:pPr>
        <w:pStyle w:val="TextBody"/>
        <w:bidi w:val="0"/>
        <w:spacing w:lineRule="auto" w:line="288" w:before="0" w:after="140"/>
        <w:jc w:val="center"/>
        <w:rPr>
          <w:rFonts w:ascii="Arial;sans-serif" w:hAnsi="Arial;sans-serif"/>
          <w:b/>
          <w:color w:val="000000"/>
          <w:sz w:val="22"/>
        </w:rPr>
      </w:pPr>
      <w:r>
        <w:rPr>
          <w:rFonts w:ascii="Arial;sans-serif" w:hAnsi="Arial;sans-serif"/>
          <w:b/>
          <w:color w:val="000000"/>
          <w:sz w:val="22"/>
        </w:rPr>
        <w:t>UNAUDITED OTHER FINANCIAL AND OPERATING DATA</w:t>
      </w:r>
    </w:p>
    <w:tbl>
      <w:tblPr>
        <w:tblW w:w="10205" w:type="dxa"/>
        <w:jc w:val="left"/>
        <w:tblInd w:w="0" w:type="dxa"/>
        <w:tblLayout w:type="fixed"/>
        <w:tblCellMar>
          <w:top w:w="28" w:type="dxa"/>
          <w:left w:w="28" w:type="dxa"/>
          <w:bottom w:w="28" w:type="dxa"/>
          <w:right w:w="28" w:type="dxa"/>
        </w:tblCellMar>
      </w:tblPr>
      <w:tblGrid>
        <w:gridCol w:w="1833"/>
        <w:gridCol w:w="1593"/>
        <w:gridCol w:w="1602"/>
        <w:gridCol w:w="222"/>
        <w:gridCol w:w="683"/>
        <w:gridCol w:w="114"/>
        <w:gridCol w:w="114"/>
        <w:gridCol w:w="114"/>
        <w:gridCol w:w="114"/>
        <w:gridCol w:w="222"/>
        <w:gridCol w:w="744"/>
        <w:gridCol w:w="114"/>
        <w:gridCol w:w="109"/>
        <w:gridCol w:w="109"/>
        <w:gridCol w:w="109"/>
        <w:gridCol w:w="225"/>
        <w:gridCol w:w="690"/>
        <w:gridCol w:w="116"/>
        <w:gridCol w:w="116"/>
        <w:gridCol w:w="116"/>
        <w:gridCol w:w="116"/>
        <w:gridCol w:w="259"/>
        <w:gridCol w:w="597"/>
        <w:gridCol w:w="174"/>
      </w:tblGrid>
      <w:tr>
        <w:trPr/>
        <w:tc>
          <w:tcPr>
            <w:tcW w:w="183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5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0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Other financial data:</w:t>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53,243 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46,996 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Contributions to equity method investees</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118,600 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Cash flow available for distributions </w:t>
            </w:r>
            <w:r>
              <w:rPr>
                <w:rFonts w:ascii="Arial;sans-serif" w:hAnsi="Arial;sans-serif"/>
                <w:b w:val="false"/>
                <w:color w:val="000000"/>
                <w:sz w:val="13"/>
              </w:rPr>
              <w:t>(1)</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36,771 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63,681 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65,885 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20,576 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Dividends </w:t>
            </w:r>
            <w:r>
              <w:rPr>
                <w:rFonts w:ascii="Arial;sans-serif" w:hAnsi="Arial;sans-serif"/>
                <w:b w:val="false"/>
                <w:color w:val="000000"/>
                <w:sz w:val="13"/>
              </w:rPr>
              <w:t>(2)</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data:</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Aggregate average daily throughput – natural gas (MMcf/d)</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average daily throughput – liquids (Mbbl/d)</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Double E average daily throughput (MMcf/d) </w:t>
            </w:r>
            <w:r>
              <w:rPr>
                <w:rFonts w:ascii="Arial;sans-serif" w:hAnsi="Arial;sans-serif"/>
                <w:b w:val="false"/>
                <w:color w:val="000000"/>
                <w:sz w:val="13"/>
              </w:rPr>
              <w:t>(3)</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rFonts w:ascii="Arial;sans-serif" w:hAnsi="Arial;sans-serif"/>
          <w:b w:val="false"/>
          <w:color w:val="000000"/>
          <w:sz w:val="12"/>
        </w:rPr>
      </w:pPr>
      <w:r>
        <w:rPr>
          <w:rFonts w:ascii="Arial;sans-serif" w:hAnsi="Arial;sans-serif"/>
          <w:b w:val="false"/>
          <w:color w:val="000000"/>
          <w:sz w:val="12"/>
        </w:rPr>
        <w:t>__________</w:t>
      </w:r>
    </w:p>
    <w:p>
      <w:pPr>
        <w:pStyle w:val="TextBody"/>
        <w:bidi w:val="0"/>
        <w:spacing w:lineRule="auto" w:line="288" w:before="120" w:after="160"/>
        <w:ind w:left="0" w:right="0" w:hanging="360"/>
        <w:jc w:val="both"/>
        <w:rPr/>
      </w:pPr>
      <w:r>
        <w:rPr>
          <w:rFonts w:ascii="Arial;sans-serif" w:hAnsi="Arial;sans-serif"/>
          <w:b w:val="false"/>
          <w:color w:val="000000"/>
          <w:sz w:val="12"/>
        </w:rPr>
        <w:t>(1)</w:t>
      </w:r>
      <w:r>
        <w:rPr>
          <w:rFonts w:ascii="Arial;sans-serif" w:hAnsi="Arial;sans-serif"/>
          <w:b w:val="false"/>
          <w:color w:val="000000"/>
          <w:sz w:val="18"/>
        </w:rPr>
        <w:t>Cash flow available for distributions is also referred to as Distributable Cash Flow, or DCF.</w:t>
      </w:r>
    </w:p>
    <w:p>
      <w:pPr>
        <w:pStyle w:val="TextBody"/>
        <w:bidi w:val="0"/>
        <w:spacing w:lineRule="auto" w:line="288" w:before="120" w:after="160"/>
        <w:ind w:left="0" w:right="0" w:hanging="360"/>
        <w:jc w:val="left"/>
        <w:rPr/>
      </w:pPr>
      <w:r>
        <w:rPr>
          <w:rFonts w:ascii="Arial;sans-serif" w:hAnsi="Arial;sans-serif"/>
          <w:b w:val="false"/>
          <w:color w:val="000000"/>
          <w:sz w:val="12"/>
        </w:rPr>
        <w:t>(2)</w:t>
      </w:r>
      <w:r>
        <w:rPr>
          <w:rFonts w:ascii="Arial;sans-serif" w:hAnsi="Arial;sans-serif"/>
          <w:b w:val="false"/>
          <w:color w:val="000000"/>
          <w:sz w:val="18"/>
        </w:rPr>
        <w:t>Represents dividends declared and ultimately paid or expected to be paid to preferred and common shareholders in respect of a given period. The cash dividend payment for the six months ended June 30, 2026 includes a payment of $46.3 million for accrued and unpaid dividends owed from March 15, 2020 to December 14, 2024. Excludes distributions paid on the Subsidiary Series A Preferred Units issued at Summit Permian Transmission Holdco, LLC. The board of directors of Summit Midstream Corporation reinstated cash dividends on its Series A Preferred Stock beginning on March 14, 2025.</w:t>
      </w:r>
    </w:p>
    <w:p>
      <w:pPr>
        <w:pStyle w:val="TextBody"/>
        <w:bidi w:val="0"/>
        <w:spacing w:lineRule="auto" w:line="288" w:before="120" w:after="160"/>
        <w:ind w:left="0" w:right="0" w:hanging="360"/>
        <w:jc w:val="both"/>
        <w:rPr/>
      </w:pPr>
      <w:r>
        <w:rPr>
          <w:rFonts w:ascii="Arial;sans-serif" w:hAnsi="Arial;sans-serif"/>
          <w:b w:val="false"/>
          <w:color w:val="000000"/>
          <w:sz w:val="12"/>
        </w:rPr>
        <w:t>(3)</w:t>
      </w:r>
      <w:r>
        <w:rPr>
          <w:rFonts w:ascii="Arial;sans-serif" w:hAnsi="Arial;sans-serif"/>
          <w:b w:val="false"/>
          <w:color w:val="000000"/>
          <w:sz w:val="18"/>
        </w:rPr>
        <w:t xml:space="preserve">Gross basis, represents 100% of volume throughput for Double E. </w:t>
      </w:r>
    </w:p>
    <w:p>
      <w:pPr>
        <w:pStyle w:val="TextBody"/>
        <w:bidi w:val="0"/>
        <w:spacing w:before="120" w:after="160"/>
        <w:jc w:val="both"/>
        <w:rPr/>
      </w:pPr>
      <w:r>
        <w:rPr/>
      </w:r>
    </w:p>
    <w:p>
      <w:pPr>
        <w:pStyle w:val="TextBody"/>
        <w:bidi w:val="0"/>
        <w:spacing w:before="160" w:after="283"/>
        <w:ind w:left="0" w:right="0" w:hanging="360"/>
        <w:jc w:val="both"/>
        <w:rPr/>
      </w:pPr>
      <w:r>
        <w:rPr/>
      </w:r>
    </w:p>
    <w:p>
      <w:pPr>
        <w:pStyle w:val="TextBody"/>
        <w:bidi w:val="0"/>
        <w:spacing w:before="60" w:after="283"/>
        <w:ind w:left="0" w:right="0" w:hanging="36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SUMMIT MIDSTREAM CORPORATION AND SUBSIDIARIES</w:t>
      </w:r>
    </w:p>
    <w:p>
      <w:pPr>
        <w:pStyle w:val="TextBody"/>
        <w:bidi w:val="0"/>
        <w:spacing w:lineRule="auto" w:line="288" w:before="0" w:after="140"/>
        <w:jc w:val="center"/>
        <w:rPr>
          <w:rFonts w:ascii="Arial;sans-serif" w:hAnsi="Arial;sans-serif"/>
          <w:b/>
          <w:color w:val="000000"/>
          <w:sz w:val="22"/>
        </w:rPr>
      </w:pPr>
      <w:r>
        <w:rPr>
          <w:rFonts w:ascii="Arial;sans-serif" w:hAnsi="Arial;sans-serif"/>
          <w:b/>
          <w:color w:val="000000"/>
          <w:sz w:val="22"/>
        </w:rPr>
        <w:t>UNAUDITED RECONCILIATIONS TO NON-GAAP FINANCIAL MEASURES</w:t>
      </w:r>
    </w:p>
    <w:tbl>
      <w:tblPr>
        <w:tblW w:w="10205" w:type="dxa"/>
        <w:jc w:val="left"/>
        <w:tblInd w:w="0" w:type="dxa"/>
        <w:tblLayout w:type="fixed"/>
        <w:tblCellMar>
          <w:top w:w="28" w:type="dxa"/>
          <w:left w:w="28" w:type="dxa"/>
          <w:bottom w:w="28" w:type="dxa"/>
          <w:right w:w="28" w:type="dxa"/>
        </w:tblCellMar>
      </w:tblPr>
      <w:tblGrid>
        <w:gridCol w:w="1696"/>
        <w:gridCol w:w="1491"/>
        <w:gridCol w:w="1497"/>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5"/>
      </w:tblGrid>
      <w:tr>
        <w:trPr/>
        <w:tc>
          <w:tcPr>
            <w:tcW w:w="169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684" w:type="dxa"/>
            <w:gridSpan w:val="3"/>
            <w:tcBorders/>
            <w:tcMar>
              <w:top w:w="0" w:type="dxa"/>
              <w:left w:w="0" w:type="dxa"/>
              <w:bottom w:w="0" w:type="dxa"/>
              <w:right w:w="0" w:type="dxa"/>
            </w:tcMar>
            <w:vAlign w:val="center"/>
          </w:tcPr>
          <w:p>
            <w:pPr>
              <w:pStyle w:val="TableContents"/>
              <w:bidi w:val="0"/>
              <w:spacing w:lineRule="auto" w:line="288" w:before="160" w:after="283"/>
              <w:jc w:val="left"/>
              <w:rPr>
                <w:rFonts w:ascii="Arial;sans-serif" w:hAnsi="Arial;sans-serif"/>
                <w:b/>
                <w:color w:val="000000"/>
                <w:sz w:val="20"/>
              </w:rPr>
            </w:pPr>
            <w:r>
              <w:rPr>
                <w:rFonts w:ascii="Arial;sans-serif" w:hAnsi="Arial;sans-serif"/>
                <w:b/>
                <w:color w:val="000000"/>
                <w:sz w:val="20"/>
              </w:rPr>
              <w:t xml:space="preserve">Reconciliations of net (loss) income to adjusted </w:t>
            </w:r>
          </w:p>
          <w:p>
            <w:pPr>
              <w:pStyle w:val="TableContents"/>
              <w:bidi w:val="0"/>
              <w:spacing w:lineRule="auto" w:line="288" w:before="160" w:after="283"/>
              <w:jc w:val="left"/>
              <w:rPr>
                <w:color w:val="000000"/>
              </w:rPr>
            </w:pPr>
            <w:r>
              <w:rPr>
                <w:color w:val="000000"/>
              </w:rPr>
              <w:t>    </w:t>
            </w:r>
            <w:r>
              <w:rPr>
                <w:rFonts w:ascii="Arial;sans-serif" w:hAnsi="Arial;sans-serif"/>
                <w:b/>
                <w:color w:val="000000"/>
                <w:sz w:val="20"/>
              </w:rPr>
              <w:t>EBITDA, Distributable Cash Flow, and Free Cash Flow:</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Add:</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Depreciation and amortization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160" w:after="283"/>
              <w:jc w:val="left"/>
              <w:rPr/>
            </w:pPr>
            <w:r>
              <w:rPr>
                <w:rFonts w:ascii="Arial;sans-serif" w:hAnsi="Arial;sans-serif"/>
                <w:b w:val="false"/>
                <w:color w:val="000000"/>
                <w:sz w:val="20"/>
              </w:rPr>
              <w:t xml:space="preserve">Proportional adjusted EBITDA for equity method investees </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160" w:after="283"/>
              <w:jc w:val="left"/>
              <w:rPr/>
            </w:pPr>
            <w:r>
              <w:rPr>
                <w:rFonts w:ascii="Arial;sans-serif" w:hAnsi="Arial;sans-serif"/>
                <w:b w:val="false"/>
                <w:color w:val="000000"/>
                <w:sz w:val="20"/>
              </w:rPr>
              <w:t xml:space="preserve">Adjustments related to capital reimbursement activity </w:t>
            </w:r>
            <w:r>
              <w:rPr>
                <w:rFonts w:ascii="Arial;sans-serif" w:hAnsi="Arial;sans-serif"/>
                <w:b w:val="false"/>
                <w:color w:val="000000"/>
                <w:sz w:val="13"/>
              </w:rPr>
              <w:t>(3)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and noncash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loss in fair value of Tall Oak earn out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(loss) on asset sales,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Long-lived asset impairment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(loss) on interest rate swaps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business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Other, net </w:t>
            </w:r>
            <w:r>
              <w:rPr>
                <w:rFonts w:ascii="Arial;sans-serif" w:hAnsi="Arial;sans-serif"/>
                <w:b w:val="false"/>
                <w:color w:val="000000"/>
                <w:sz w:val="13"/>
              </w:rPr>
              <w:t>(4)</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equity method investees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118,600 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interest paid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for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Senior notes interest adjustment </w:t>
            </w:r>
            <w:r>
              <w:rPr>
                <w:rFonts w:ascii="Arial;sans-serif" w:hAnsi="Arial;sans-serif"/>
                <w:b w:val="false"/>
                <w:color w:val="000000"/>
                <w:sz w:val="13"/>
              </w:rPr>
              <w:t>(5)</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 capital expenditures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Cash flow available for distributions </w:t>
            </w:r>
            <w:r>
              <w:rPr>
                <w:rFonts w:ascii="Arial;sans-serif" w:hAnsi="Arial;sans-serif"/>
                <w:b w:val="false"/>
                <w:color w:val="000000"/>
                <w:sz w:val="13"/>
              </w:rPr>
              <w:t>(6)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65,885 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Growth capital expenditures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 in equity method investee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Distributions on Subsidiary Series A Preferred Units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20,576 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0"/>
        </w:rPr>
        <w:t>(1)</w:t>
      </w:r>
      <w:r>
        <w:rPr>
          <w:rFonts w:ascii="Arial;sans-serif" w:hAnsi="Arial;sans-serif"/>
          <w:b w:val="false"/>
          <w:color w:val="000000"/>
          <w:sz w:val="16"/>
        </w:rPr>
        <w:t>Includes the amortization expense associated with our favorable gas gathering contracts as reported in other revenues.</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Reflects our proportionate share of Double E.</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Adjustments related to capital reimbursement activity represent contributions in aid of construction revenue recognized in accordance with Accounting Standards Update No. 2014-09 Revenue from Contracts with Customers.</w:t>
      </w:r>
    </w:p>
    <w:p>
      <w:pPr>
        <w:pStyle w:val="TextBody"/>
        <w:bidi w:val="0"/>
        <w:spacing w:lineRule="auto" w:line="288" w:before="0" w:after="0"/>
        <w:ind w:left="0" w:right="0" w:hanging="360"/>
        <w:jc w:val="both"/>
        <w:rPr/>
      </w:pPr>
      <w:r>
        <w:rPr>
          <w:rFonts w:ascii="Arial;sans-serif" w:hAnsi="Arial;sans-serif"/>
          <w:b w:val="false"/>
          <w:color w:val="000000"/>
          <w:sz w:val="10"/>
        </w:rPr>
        <w:t>(4)</w:t>
      </w:r>
      <w:r>
        <w:rPr>
          <w:rFonts w:ascii="Arial;sans-serif" w:hAnsi="Arial;sans-serif"/>
          <w:b w:val="false"/>
          <w:color w:val="000000"/>
          <w:sz w:val="16"/>
        </w:rPr>
        <w:t>Represents items of income or loss that we characterize as unrepresentative of our ongoing operations. For the six months ended June 30, 2026, the amount includes $2.5 million of transaction and other costs. For the six months ended June 30, 2025, the amount includes $7.7 million of transaction and other costs and $5.4 million of integration costs.</w:t>
      </w:r>
    </w:p>
    <w:p>
      <w:pPr>
        <w:pStyle w:val="TextBody"/>
        <w:bidi w:val="0"/>
        <w:spacing w:lineRule="auto" w:line="288" w:before="0" w:after="0"/>
        <w:ind w:left="0" w:right="0" w:hanging="360"/>
        <w:jc w:val="both"/>
        <w:rPr/>
      </w:pPr>
      <w:r>
        <w:rPr>
          <w:rFonts w:ascii="Arial;sans-serif" w:hAnsi="Arial;sans-serif"/>
          <w:b w:val="false"/>
          <w:color w:val="000000"/>
          <w:sz w:val="10"/>
        </w:rPr>
        <w:t>(5)</w:t>
      </w:r>
      <w:r>
        <w:rPr>
          <w:rFonts w:ascii="Arial;sans-serif" w:hAnsi="Arial;sans-serif"/>
          <w:b w:val="false"/>
          <w:color w:val="000000"/>
          <w:sz w:val="16"/>
        </w:rPr>
        <w:t>Senior notes interest adjustment represents the net of interest expense accrued and paid during the period. Interest on the 2029 Secured Notes is paid semi-annually in arrears on each February 15 and August 15.</w:t>
      </w:r>
    </w:p>
    <w:p>
      <w:pPr>
        <w:pStyle w:val="TextBody"/>
        <w:bidi w:val="0"/>
        <w:spacing w:lineRule="auto" w:line="288"/>
        <w:ind w:left="0" w:right="0" w:hanging="360"/>
        <w:jc w:val="both"/>
        <w:rPr/>
      </w:pPr>
      <w:r>
        <w:rPr>
          <w:rFonts w:ascii="Arial;sans-serif" w:hAnsi="Arial;sans-serif"/>
          <w:b w:val="false"/>
          <w:color w:val="000000"/>
          <w:sz w:val="10"/>
        </w:rPr>
        <w:t>(6)</w:t>
      </w:r>
      <w:r>
        <w:rPr>
          <w:rFonts w:ascii="Arial;sans-serif" w:hAnsi="Arial;sans-serif"/>
          <w:b w:val="false"/>
          <w:color w:val="000000"/>
          <w:sz w:val="16"/>
        </w:rPr>
        <w:t>Represents cash flow available for distribution to preferred and common shareholders. Common dividends cannot be paid unless all accrued preferred dividends are paid. Cash flow available for distributions is also referred to as Distributable Cash Flow, or DCF.</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SUMMIT MIDSTREAM CORPORATION AND SUBSIDIARIES</w:t>
      </w:r>
    </w:p>
    <w:p>
      <w:pPr>
        <w:pStyle w:val="TextBody"/>
        <w:bidi w:val="0"/>
        <w:spacing w:lineRule="auto" w:line="288" w:before="0" w:after="140"/>
        <w:jc w:val="center"/>
        <w:rPr>
          <w:rFonts w:ascii="Arial;sans-serif" w:hAnsi="Arial;sans-serif"/>
          <w:b/>
          <w:color w:val="000000"/>
          <w:sz w:val="22"/>
        </w:rPr>
      </w:pPr>
      <w:r>
        <w:rPr>
          <w:rFonts w:ascii="Arial;sans-serif" w:hAnsi="Arial;sans-serif"/>
          <w:b/>
          <w:color w:val="000000"/>
          <w:sz w:val="22"/>
        </w:rPr>
        <w:t>UNAUDITED RECONCILIATIONS TO NON-GAAP FINANCIAL MEASURES</w:t>
      </w:r>
    </w:p>
    <w:tbl>
      <w:tblPr>
        <w:tblW w:w="9354" w:type="dxa"/>
        <w:jc w:val="left"/>
        <w:tblInd w:w="0" w:type="dxa"/>
        <w:tblLayout w:type="fixed"/>
        <w:tblCellMar>
          <w:top w:w="28" w:type="dxa"/>
          <w:left w:w="28" w:type="dxa"/>
          <w:bottom w:w="28" w:type="dxa"/>
          <w:right w:w="28" w:type="dxa"/>
        </w:tblCellMar>
      </w:tblPr>
      <w:tblGrid>
        <w:gridCol w:w="2400"/>
        <w:gridCol w:w="2113"/>
        <w:gridCol w:w="2117"/>
        <w:gridCol w:w="211"/>
        <w:gridCol w:w="856"/>
        <w:gridCol w:w="109"/>
        <w:gridCol w:w="109"/>
        <w:gridCol w:w="109"/>
        <w:gridCol w:w="109"/>
        <w:gridCol w:w="211"/>
        <w:gridCol w:w="856"/>
        <w:gridCol w:w="154"/>
      </w:tblGrid>
      <w:tr>
        <w:trPr/>
        <w:tc>
          <w:tcPr>
            <w:tcW w:w="2400"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160" w:after="283"/>
              <w:jc w:val="left"/>
              <w:rPr>
                <w:rFonts w:ascii="Arial;sans-serif" w:hAnsi="Arial;sans-serif"/>
                <w:b/>
                <w:color w:val="000000"/>
                <w:sz w:val="20"/>
              </w:rPr>
            </w:pPr>
            <w:r>
              <w:rPr>
                <w:rFonts w:ascii="Arial;sans-serif" w:hAnsi="Arial;sans-serif"/>
                <w:b/>
                <w:color w:val="000000"/>
                <w:sz w:val="20"/>
              </w:rPr>
              <w:t>Reconciliation of net cash provided by operating activities to adjusted</w:t>
            </w:r>
          </w:p>
          <w:p>
            <w:pPr>
              <w:pStyle w:val="TableContents"/>
              <w:bidi w:val="0"/>
              <w:spacing w:lineRule="auto" w:line="288" w:before="160" w:after="283"/>
              <w:jc w:val="left"/>
              <w:rPr>
                <w:color w:val="000000"/>
              </w:rPr>
            </w:pPr>
            <w:r>
              <w:rPr>
                <w:color w:val="000000"/>
              </w:rPr>
              <w:t>    </w:t>
            </w:r>
            <w:r>
              <w:rPr>
                <w:rFonts w:ascii="Arial;sans-serif" w:hAnsi="Arial;sans-serif"/>
                <w:b/>
                <w:color w:val="000000"/>
                <w:sz w:val="20"/>
              </w:rPr>
              <w:t>EBITDA, Distributable Cash Flow, and Free Cash Flow:</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Add:</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excluding amortization of debt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 excluding federal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Proportional adjusted EBITDA for equity method investees</w:t>
            </w:r>
            <w:r>
              <w:rPr>
                <w:color w:val="000000"/>
              </w:rPr>
              <w:t xml:space="preserve">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Adjustments related to capital reimbursement activity </w:t>
            </w:r>
            <w:r>
              <w:rPr>
                <w:rFonts w:ascii="Arial;sans-serif" w:hAnsi="Arial;sans-serif"/>
                <w:b w:val="false"/>
                <w:color w:val="000000"/>
                <w:sz w:val="13"/>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Realized gain on swaps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Other, net </w:t>
            </w:r>
            <w:r>
              <w:rPr>
                <w:rFonts w:ascii="Arial;sans-serif" w:hAnsi="Arial;sans-serif"/>
                <w:b w:val="false"/>
                <w:color w:val="000000"/>
                <w:sz w:val="13"/>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Distributions from equity method investees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interest paid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for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Senior notes interest adjustment </w:t>
            </w:r>
            <w:r>
              <w:rPr>
                <w:rFonts w:ascii="Arial;sans-serif" w:hAnsi="Arial;sans-serif"/>
                <w:b w:val="false"/>
                <w:color w:val="000000"/>
                <w:sz w:val="13"/>
              </w:rPr>
              <w:t>(4)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 capital expenditures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Cash flow available for distributions </w:t>
            </w:r>
            <w:r>
              <w:rPr>
                <w:rFonts w:ascii="Arial;sans-serif" w:hAnsi="Arial;sans-serif"/>
                <w:b w:val="false"/>
                <w:color w:val="000000"/>
                <w:sz w:val="13"/>
              </w:rPr>
              <w:t>(5)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65,885 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Growth capital expenditures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 in equity method investee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Distributions on Subsidiary Series A Preferred Units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0"/>
        </w:rPr>
        <w:t>(1)</w:t>
      </w:r>
      <w:r>
        <w:rPr>
          <w:rFonts w:ascii="Arial;sans-serif" w:hAnsi="Arial;sans-serif"/>
          <w:b w:val="false"/>
          <w:color w:val="000000"/>
          <w:sz w:val="16"/>
        </w:rPr>
        <w:t xml:space="preserve">Reflects our proportionate share of Double E. </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Adjustments related to capital reimbursement activity represent contributions in aid of construction revenue recognized in accordance with Accounting Standards Update No. 2014-09 Revenue from Contracts with Customers.</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Represents items of income or loss that we characterize as unrepresentative of our ongoing operations. For the six months ended June 30, 2026, the amount includes $2.5 million of transaction and other costs. For the six months ended June 30, 2025, the amount includes $7.7 million of transaction and other costs and $5.4 million of integration costs.</w:t>
      </w:r>
    </w:p>
    <w:p>
      <w:pPr>
        <w:pStyle w:val="TextBody"/>
        <w:bidi w:val="0"/>
        <w:spacing w:lineRule="auto" w:line="288" w:before="0" w:after="0"/>
        <w:ind w:left="0" w:right="0" w:hanging="360"/>
        <w:jc w:val="both"/>
        <w:rPr/>
      </w:pPr>
      <w:r>
        <w:rPr>
          <w:rFonts w:ascii="Arial;sans-serif" w:hAnsi="Arial;sans-serif"/>
          <w:b w:val="false"/>
          <w:color w:val="000000"/>
          <w:sz w:val="10"/>
        </w:rPr>
        <w:t>(4)</w:t>
      </w:r>
      <w:r>
        <w:rPr>
          <w:rFonts w:ascii="Arial;sans-serif" w:hAnsi="Arial;sans-serif"/>
          <w:b w:val="false"/>
          <w:color w:val="000000"/>
          <w:sz w:val="16"/>
        </w:rPr>
        <w:t>Senior notes interest adjustment represents the net of interest expense accrued and paid during the period. Interest on the 2029 Secured Notes is paid semi-annually in arrears on each February 15 and August 15.</w:t>
      </w:r>
    </w:p>
    <w:p>
      <w:pPr>
        <w:pStyle w:val="TextBody"/>
        <w:bidi w:val="0"/>
        <w:spacing w:lineRule="auto" w:line="288" w:before="0" w:after="0"/>
        <w:ind w:left="0" w:right="0" w:hanging="360"/>
        <w:jc w:val="both"/>
        <w:rPr/>
      </w:pPr>
      <w:r>
        <w:rPr>
          <w:rFonts w:ascii="Arial;sans-serif" w:hAnsi="Arial;sans-serif"/>
          <w:b w:val="false"/>
          <w:color w:val="000000"/>
          <w:sz w:val="10"/>
        </w:rPr>
        <w:t>(5)</w:t>
      </w:r>
      <w:r>
        <w:rPr>
          <w:rFonts w:ascii="Arial;sans-serif" w:hAnsi="Arial;sans-serif"/>
          <w:b w:val="false"/>
          <w:color w:val="000000"/>
          <w:sz w:val="16"/>
        </w:rPr>
        <w:t>Represents cash flow available for distribution to preferred and common shareholders. Common dividends cannot be paid unless all accrued preferred dividends are paid. Cash flow available for distributions is also referred to as Distributable Cash Flow, or DCF.</w:t>
      </w:r>
    </w:p>
    <w:p>
      <w:pPr>
        <w:pStyle w:val="TextBody"/>
        <w:bidi w:val="0"/>
        <w:spacing w:before="0" w:after="0"/>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Contact: 832-413-4770, ir@summitmidstream.com</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SOURCE: Summit Midstream Corporation</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5228</Words>
  <Characters>29689</Characters>
  <CharactersWithSpaces>34457</CharactersWithSpaces>
  <Paragraphs>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