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9, 2025</w:t>
      </w:r>
    </w:p>
    <w:p>
      <w:pPr>
        <w:spacing w:after="0" w:line="17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b w:val="1"/>
          <w:bCs w:val="1"/>
          <w:color w:val="auto"/>
        </w:rPr>
        <w:t>Summit Midstream Corporation</w:t>
      </w:r>
    </w:p>
    <w:p>
      <w:pPr>
        <w:spacing w:after="0" w:line="5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980" w:type="dxa"/>
        <w:tblCellMar>
          <w:top w:w="0" w:type="dxa"/>
          <w:left w:w="0" w:type="dxa"/>
          <w:bottom w:w="0" w:type="dxa"/>
          <w:right w:w="0" w:type="dxa"/>
        </w:tblCellMar>
      </w:tblP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001-42201</w:t>
            </w:r>
          </w:p>
        </w:tc>
        <w:tc>
          <w:tcPr>
            <w:tcW w:w="16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99-3056990</w:t>
            </w:r>
          </w:p>
        </w:tc>
      </w:tr>
      <w:tr>
        <w:trPr>
          <w:trHeight w:val="229"/>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3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0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64"/>
        </w:trPr>
        <w:tc>
          <w:tcPr>
            <w:tcW w:w="2020" w:type="dxa"/>
            <w:vAlign w:val="bottom"/>
          </w:tcPr>
          <w:p>
            <w:pPr>
              <w:spacing w:after="0"/>
              <w:rPr>
                <w:sz w:val="24"/>
                <w:szCs w:val="24"/>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910 Louisiana Street, Suite 4200</w:t>
            </w:r>
          </w:p>
        </w:tc>
        <w:tc>
          <w:tcPr>
            <w:tcW w:w="1600" w:type="dxa"/>
            <w:vAlign w:val="bottom"/>
          </w:tcPr>
          <w:p>
            <w:pPr>
              <w:spacing w:after="0"/>
              <w:rPr>
                <w:sz w:val="24"/>
                <w:szCs w:val="24"/>
                <w:color w:val="auto"/>
              </w:rPr>
            </w:pPr>
          </w:p>
        </w:tc>
      </w:tr>
      <w:tr>
        <w:trPr>
          <w:trHeight w:val="220"/>
        </w:trPr>
        <w:tc>
          <w:tcPr>
            <w:tcW w:w="2020" w:type="dxa"/>
            <w:vAlign w:val="bottom"/>
          </w:tcPr>
          <w:p>
            <w:pPr>
              <w:spacing w:after="0"/>
              <w:rPr>
                <w:sz w:val="19"/>
                <w:szCs w:val="19"/>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Houston, TX 77002</w:t>
            </w:r>
          </w:p>
        </w:tc>
        <w:tc>
          <w:tcPr>
            <w:tcW w:w="1600" w:type="dxa"/>
            <w:vAlign w:val="bottom"/>
          </w:tcPr>
          <w:p>
            <w:pPr>
              <w:spacing w:after="0"/>
              <w:rPr>
                <w:sz w:val="19"/>
                <w:szCs w:val="19"/>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1600" w:type="dxa"/>
            <w:vAlign w:val="bottom"/>
          </w:tcPr>
          <w:p>
            <w:pPr>
              <w:spacing w:after="0"/>
              <w:rPr>
                <w:sz w:val="20"/>
                <w:szCs w:val="20"/>
                <w:color w:val="auto"/>
              </w:rPr>
            </w:pPr>
          </w:p>
        </w:tc>
      </w:tr>
      <w:tr>
        <w:trPr>
          <w:trHeight w:val="405"/>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(832) 413-4770</w:t>
            </w:r>
          </w:p>
        </w:tc>
        <w:tc>
          <w:tcPr>
            <w:tcW w:w="1600" w:type="dxa"/>
            <w:vAlign w:val="bottom"/>
          </w:tcPr>
          <w:p>
            <w:pPr>
              <w:spacing w:after="0"/>
              <w:rPr>
                <w:sz w:val="24"/>
                <w:szCs w:val="24"/>
                <w:color w:val="auto"/>
              </w:rPr>
            </w:pPr>
          </w:p>
        </w:tc>
      </w:tr>
      <w:tr>
        <w:trPr>
          <w:trHeight w:val="373"/>
        </w:trPr>
        <w:tc>
          <w:tcPr>
            <w:tcW w:w="2020" w:type="dxa"/>
            <w:vAlign w:val="bottom"/>
          </w:tcPr>
          <w:p>
            <w:pPr>
              <w:spacing w:after="0"/>
              <w:rPr>
                <w:sz w:val="24"/>
                <w:szCs w:val="24"/>
                <w:color w:val="auto"/>
              </w:rPr>
            </w:pPr>
          </w:p>
        </w:tc>
        <w:tc>
          <w:tcPr>
            <w:tcW w:w="53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234"/>
        </w:trPr>
        <w:tc>
          <w:tcPr>
            <w:tcW w:w="2020" w:type="dxa"/>
            <w:vAlign w:val="bottom"/>
          </w:tcPr>
          <w:p>
            <w:pPr>
              <w:spacing w:after="0"/>
              <w:rPr>
                <w:sz w:val="20"/>
                <w:szCs w:val="20"/>
                <w:color w:val="auto"/>
              </w:rPr>
            </w:pPr>
          </w:p>
        </w:tc>
        <w:tc>
          <w:tcPr>
            <w:tcW w:w="53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00" w:type="dxa"/>
            <w:vAlign w:val="bottom"/>
          </w:tcPr>
          <w:p>
            <w:pPr>
              <w:spacing w:after="0"/>
              <w:rPr>
                <w:sz w:val="20"/>
                <w:szCs w:val="20"/>
                <w:color w:val="auto"/>
              </w:rPr>
            </w:pPr>
          </w:p>
        </w:tc>
      </w:tr>
    </w:tbl>
    <w:p>
      <w:pPr>
        <w:spacing w:after="0" w:line="15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 w:lineRule="exact"/>
        <w:rPr>
          <w:rFonts w:ascii="Wingdings" w:cs="Wingdings" w:eastAsia="Wingdings" w:hAnsi="Wingdings"/>
          <w:sz w:val="18"/>
          <w:szCs w:val="18"/>
          <w:b w:val="1"/>
          <w:bCs w:val="1"/>
          <w:color w:val="auto"/>
        </w:rPr>
      </w:pPr>
    </w:p>
    <w:p>
      <w:pPr>
        <w:ind w:left="380" w:hanging="354"/>
        <w:spacing w:after="0"/>
        <w:tabs>
          <w:tab w:leader="none" w:pos="3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 w:lineRule="exact"/>
        <w:rPr>
          <w:rFonts w:ascii="Wingdings" w:cs="Wingdings" w:eastAsia="Wingdings" w:hAnsi="Wingdings"/>
          <w:sz w:val="18"/>
          <w:szCs w:val="18"/>
          <w:b w:val="1"/>
          <w:bCs w:val="1"/>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Securities Act:</w:t>
      </w:r>
    </w:p>
    <w:p>
      <w:pPr>
        <w:spacing w:after="0" w:line="80" w:lineRule="exact"/>
        <w:rPr>
          <w:sz w:val="24"/>
          <w:szCs w:val="24"/>
          <w:color w:val="auto"/>
        </w:rPr>
      </w:pPr>
    </w:p>
    <w:tbl>
      <w:tblPr>
        <w:tblLayout w:type="fixed"/>
        <w:tblInd w:w="10" w:type="dxa"/>
        <w:tblCellMar>
          <w:top w:w="0" w:type="dxa"/>
          <w:left w:w="0" w:type="dxa"/>
          <w:bottom w:w="0" w:type="dxa"/>
          <w:right w:w="0" w:type="dxa"/>
        </w:tblCellMar>
      </w:tblPr>
      <w:tr>
        <w:trPr>
          <w:trHeight w:val="227"/>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36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SMC</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89" w:lineRule="exact"/>
        <w:rPr>
          <w:sz w:val="24"/>
          <w:szCs w:val="24"/>
          <w:color w:val="auto"/>
        </w:rPr>
      </w:pPr>
    </w:p>
    <w:p>
      <w:pPr>
        <w:ind w:right="2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ind w:left="6420"/>
        <w:spacing w:after="0"/>
        <w:rPr>
          <w:sz w:val="20"/>
          <w:szCs w:val="20"/>
          <w:color w:val="auto"/>
        </w:rPr>
      </w:pPr>
      <w:r>
        <w:rPr>
          <w:rFonts w:ascii="Times New Roman" w:cs="Times New Roman" w:eastAsia="Times New Roman" w:hAnsi="Times New Roman"/>
          <w:sz w:val="16"/>
          <w:szCs w:val="16"/>
          <w:color w:val="auto"/>
        </w:rPr>
        <w:t xml:space="preserve">Emerging growth company </w:t>
      </w:r>
      <w:r>
        <w:rPr>
          <w:rFonts w:ascii="Wingdings" w:cs="Wingdings" w:eastAsia="Wingdings" w:hAnsi="Wingdings"/>
          <w:sz w:val="16"/>
          <w:szCs w:val="16"/>
          <w:b w:val="1"/>
          <w:bCs w:val="1"/>
          <w:color w:val="auto"/>
        </w:rPr>
        <w:t>o</w:t>
      </w:r>
    </w:p>
    <w:p>
      <w:pPr>
        <w:spacing w:after="0" w:line="167" w:lineRule="exact"/>
        <w:rPr>
          <w:sz w:val="24"/>
          <w:szCs w:val="24"/>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24" w:right="55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April 9, 2025, Summit Operating Services Company, LLC, an affiliate of Summit Midstream Corporation (the “Company”), entered into certain letters (the “Updated Compensation Letters”) with each of J. Heath Deneke, James D. Johnston and William J. Mault, which amended certain compensation terms in their previously filed employment agreements (the “Employment Agreements”). Capitalized terms used but not defined herein have the meanings ascribed to such terms in the applicable Employment Agreement.</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Mr. Deneke’s Updated Compensation Letter provides that, effective as of March 28, 2025, (i) his Annual Base Salary will be $795,000; (ii) his Target Annual Bonus will be 120% of his Annual Base Salary (with a payout range based on performance from zero to 300% of his Annual Base Salary); and (iii) his Annual LTIP Target will be 450% of his Annual Base Salary.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Updated Compensation Letters for Messrs. Johnston and Mault provide that, effective as of March 28, 2025, (i) their Annual Base Salary will be</w:t>
      </w:r>
    </w:p>
    <w:p>
      <w:pPr>
        <w:spacing w:after="0" w:line="27"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$450,000; (ii) their Target Annual Bonus will be 85% of their Annual Base Salary (with a payout range based on performance from zero to 200% of their Annual Base Salary); and (iii) their Annual LTIP Target will be 233% and 240% of their Annual Base Salary, for Messrs. Johnston and Mault, respectively.</w:t>
      </w:r>
    </w:p>
    <w:p>
      <w:pPr>
        <w:spacing w:after="0" w:line="4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Except as specifically provided by the Updated Compensation Letters, the Employment Agreements remain in full force and effect in accordance with their terms.</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Updated Compensation Letters is a summary and is qualified in its entirety by reference to the full text of the Updated Compensation Letters, copies of which are filed as Exhibits 10.1, 10.2 and 10.3 to this Current Report on Form 8-K and which are incorporated herein by reference.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8, 2025, the Company convened its 2025 Annual Meeting of Stockholders (the “Annual Meeting”). At the Annual Meeting, the stockholders of the Company who were holders of record of the Company’s outstanding voting stock, consisting of both common stock, par value $0.01 per share (“common stock”), and Class B common stock, par value $0.01 per share (“Class B Common Stock”), at the close of business on April 1, 2025, the record date for the Annual Meeting, voted on four proposals and cast their votes as described below. Holders of common stock and holders of Class B Common Stock (collectively, the “stockholders”) voted together as a single class on Proposals 1, 3 and 4. Holders of Class B Common Stock (the “Class B stockholders”) voted separately as a class on Proposal 2.</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matters voted upon at the Annual Meeting and the number of votes cast for or against, as well as the number of abstentions and broker non-votes as to such matters, were as stated below. The proposals related to each such matter are described in detail in the Definitive Proxy Statement filed by the Company with the Securities and Exchange Commission on April 10, 2025 (the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1-Election of Two Class I Directors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elected each of the individuals set forth below to the Board of Directors of the Company to serve a three-year term that will expire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annual meeting of stockholders to be held in 2028:</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5"/>
              </w:rPr>
              <w:t>For</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w:t>
            </w:r>
          </w:p>
        </w:tc>
        <w:tc>
          <w:tcPr>
            <w:tcW w:w="19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Abstentions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 Lee Jacobe</w:t>
            </w:r>
          </w:p>
        </w:tc>
        <w:tc>
          <w:tcPr>
            <w:tcW w:w="32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13,633,880</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7,943</w:t>
            </w:r>
          </w:p>
        </w:tc>
        <w:tc>
          <w:tcPr>
            <w:tcW w:w="172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2,288,697</w:t>
            </w:r>
          </w:p>
        </w:tc>
      </w:tr>
      <w:tr>
        <w:trPr>
          <w:trHeight w:val="25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Jerry L. Peters</w:t>
            </w:r>
          </w:p>
        </w:tc>
        <w:tc>
          <w:tcPr>
            <w:tcW w:w="326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13,554,339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87,484</w:t>
            </w:r>
          </w:p>
        </w:tc>
        <w:tc>
          <w:tcPr>
            <w:tcW w:w="172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2,288,697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2-Election of One Class I Director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Class B stockholders elected the individual set forth below to the Board of Directors of the Company to serve a three-year term that will expire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annual meeting of stockholders to be held in 2028:</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0" w:type="dxa"/>
            <w:vAlign w:val="bottom"/>
            <w:gridSpan w:val="2"/>
          </w:tcPr>
          <w:p>
            <w:pPr>
              <w:jc w:val="center"/>
              <w:ind w:right="1760"/>
              <w:spacing w:after="0"/>
              <w:rPr>
                <w:sz w:val="20"/>
                <w:szCs w:val="20"/>
                <w:color w:val="auto"/>
              </w:rPr>
            </w:pPr>
            <w:r>
              <w:rPr>
                <w:rFonts w:ascii="Times New Roman" w:cs="Times New Roman" w:eastAsia="Times New Roman" w:hAnsi="Times New Roman"/>
                <w:sz w:val="18"/>
                <w:szCs w:val="18"/>
                <w:color w:val="auto"/>
                <w:w w:val="95"/>
              </w:rPr>
              <w:t>For</w:t>
            </w:r>
          </w:p>
        </w:tc>
        <w:tc>
          <w:tcPr>
            <w:tcW w:w="2380" w:type="dxa"/>
            <w:vAlign w:val="bottom"/>
            <w:gridSpan w:val="2"/>
          </w:tcPr>
          <w:p>
            <w:pPr>
              <w:jc w:val="center"/>
              <w:ind w:right="1720"/>
              <w:spacing w:after="0"/>
              <w:rPr>
                <w:sz w:val="20"/>
                <w:szCs w:val="20"/>
                <w:color w:val="auto"/>
              </w:rPr>
            </w:pPr>
            <w:r>
              <w:rPr>
                <w:rFonts w:ascii="Times New Roman" w:cs="Times New Roman" w:eastAsia="Times New Roman" w:hAnsi="Times New Roman"/>
                <w:sz w:val="18"/>
                <w:szCs w:val="18"/>
                <w:color w:val="auto"/>
                <w:w w:val="98"/>
              </w:rPr>
              <w:t>Withheld</w:t>
            </w:r>
          </w:p>
        </w:tc>
        <w:tc>
          <w:tcPr>
            <w:tcW w:w="19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color w:val="auto"/>
                <w:w w:val="99"/>
              </w:rPr>
              <w:t>Abstentions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Jason H. Downie</w:t>
            </w:r>
          </w:p>
        </w:tc>
        <w:tc>
          <w:tcPr>
            <w:tcW w:w="3160" w:type="dxa"/>
            <w:vAlign w:val="bottom"/>
            <w:gridSpan w:val="3"/>
          </w:tcPr>
          <w:p>
            <w:pPr>
              <w:jc w:val="right"/>
              <w:ind w:right="1520"/>
              <w:spacing w:after="0"/>
              <w:rPr>
                <w:sz w:val="20"/>
                <w:szCs w:val="20"/>
                <w:color w:val="auto"/>
              </w:rPr>
            </w:pPr>
            <w:r>
              <w:rPr>
                <w:rFonts w:ascii="Times New Roman" w:cs="Times New Roman" w:eastAsia="Times New Roman" w:hAnsi="Times New Roman"/>
                <w:sz w:val="18"/>
                <w:szCs w:val="18"/>
                <w:color w:val="auto"/>
              </w:rPr>
              <w:t>6,524,467</w:t>
            </w:r>
          </w:p>
        </w:tc>
        <w:tc>
          <w:tcPr>
            <w:tcW w:w="6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0</w:t>
            </w:r>
          </w:p>
        </w:tc>
        <w:tc>
          <w:tcPr>
            <w:tcW w:w="17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tcPr>
          <w:p>
            <w:pPr>
              <w:spacing w:after="0"/>
              <w:rPr>
                <w:sz w:val="24"/>
                <w:szCs w:val="24"/>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3-Ratification of Appointment of Independent Registered Public Accounting Firm</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appointment of Deloitte &amp; Touche LLP as the Company’s independent registered public accounting firm for the fiscal year ending December 31, 2025 was ratified by the stockholders, with votes as follows:</w:t>
      </w:r>
    </w:p>
    <w:p>
      <w:pPr>
        <w:spacing w:after="0" w:line="81"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80" w:type="dxa"/>
            <w:vAlign w:val="bottom"/>
          </w:tcPr>
          <w:p>
            <w:pPr>
              <w:spacing w:after="0"/>
              <w:rPr>
                <w:sz w:val="18"/>
                <w:szCs w:val="18"/>
                <w:color w:val="auto"/>
              </w:rPr>
            </w:pPr>
          </w:p>
        </w:tc>
        <w:tc>
          <w:tcPr>
            <w:tcW w:w="1480" w:type="dxa"/>
            <w:vAlign w:val="bottom"/>
            <w:gridSpan w:val="2"/>
          </w:tcPr>
          <w:p>
            <w:pPr>
              <w:jc w:val="center"/>
              <w:ind w:right="1240"/>
              <w:spacing w:after="0"/>
              <w:rPr>
                <w:sz w:val="20"/>
                <w:szCs w:val="20"/>
                <w:color w:val="auto"/>
              </w:rPr>
            </w:pPr>
            <w:r>
              <w:rPr>
                <w:rFonts w:ascii="Times New Roman" w:cs="Times New Roman" w:eastAsia="Times New Roman" w:hAnsi="Times New Roman"/>
                <w:sz w:val="18"/>
                <w:szCs w:val="18"/>
                <w:color w:val="auto"/>
                <w:w w:val="95"/>
              </w:rPr>
              <w:t>For</w:t>
            </w:r>
          </w:p>
        </w:tc>
        <w:tc>
          <w:tcPr>
            <w:tcW w:w="34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Against</w:t>
            </w:r>
          </w:p>
        </w:tc>
        <w:tc>
          <w:tcPr>
            <w:tcW w:w="162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Abstentions</w:t>
            </w:r>
          </w:p>
        </w:tc>
        <w:tc>
          <w:tcPr>
            <w:tcW w:w="206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176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w w:val="96"/>
              </w:rPr>
              <w:t>15,817,991</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95,953</w:t>
            </w:r>
          </w:p>
        </w:tc>
        <w:tc>
          <w:tcPr>
            <w:tcW w:w="1880" w:type="dxa"/>
            <w:vAlign w:val="bottom"/>
          </w:tcPr>
          <w:p>
            <w:pPr>
              <w:spacing w:after="0"/>
              <w:rPr>
                <w:sz w:val="24"/>
                <w:szCs w:val="24"/>
                <w:color w:val="auto"/>
              </w:rPr>
            </w:pP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16,576</w:t>
            </w:r>
          </w:p>
        </w:tc>
        <w:tc>
          <w:tcPr>
            <w:tcW w:w="760" w:type="dxa"/>
            <w:vAlign w:val="bottom"/>
          </w:tcPr>
          <w:p>
            <w:pPr>
              <w:spacing w:after="0"/>
              <w:rPr>
                <w:sz w:val="24"/>
                <w:szCs w:val="24"/>
                <w:color w:val="auto"/>
              </w:rPr>
            </w:pPr>
          </w:p>
        </w:tc>
        <w:tc>
          <w:tcPr>
            <w:tcW w:w="20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0</w:t>
            </w:r>
          </w:p>
        </w:tc>
      </w:tr>
    </w:tbl>
    <w:p>
      <w:pPr>
        <w:spacing w:after="0" w:line="200" w:lineRule="exact"/>
        <w:rPr>
          <w:sz w:val="20"/>
          <w:szCs w:val="20"/>
          <w:color w:val="auto"/>
        </w:rPr>
      </w:pPr>
    </w:p>
    <w:p>
      <w:pPr>
        <w:sectPr>
          <w:pgSz w:w="11900" w:h="16838" w:orient="portrait"/>
          <w:cols w:equalWidth="0" w:num="1">
            <w:col w:w="11240"/>
          </w:cols>
          <w:pgMar w:left="320" w:top="10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4-Approval of the Advisory Resolution on Executive Compensation</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stockholders approved an advisory resolution to approve the compensation of the Company’s named executive officers, as such compensation is disclosed in the Compensation Discussion and Analysis, compensation tables and other narrative compensation disclosures in the Proxy Statement, with votes as follows:</w:t>
      </w:r>
    </w:p>
    <w:p>
      <w:pPr>
        <w:spacing w:after="0" w:line="95"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144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5"/>
              </w:rPr>
              <w:t>For</w:t>
            </w:r>
          </w:p>
        </w:tc>
        <w:tc>
          <w:tcPr>
            <w:tcW w:w="344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color w:val="auto"/>
                <w:w w:val="99"/>
              </w:rPr>
              <w:t>Against</w:t>
            </w:r>
          </w:p>
        </w:tc>
        <w:tc>
          <w:tcPr>
            <w:tcW w:w="162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Abstentions</w:t>
            </w:r>
          </w:p>
        </w:tc>
        <w:tc>
          <w:tcPr>
            <w:tcW w:w="206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0"/>
        </w:trPr>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77"/>
        </w:trPr>
        <w:tc>
          <w:tcPr>
            <w:tcW w:w="1720" w:type="dxa"/>
            <w:vAlign w:val="bottom"/>
            <w:gridSpan w:val="3"/>
          </w:tcPr>
          <w:p>
            <w:pPr>
              <w:jc w:val="right"/>
              <w:ind w:right="920"/>
              <w:spacing w:after="0"/>
              <w:rPr>
                <w:sz w:val="20"/>
                <w:szCs w:val="20"/>
                <w:color w:val="auto"/>
              </w:rPr>
            </w:pPr>
            <w:r>
              <w:rPr>
                <w:rFonts w:ascii="Times New Roman" w:cs="Times New Roman" w:eastAsia="Times New Roman" w:hAnsi="Times New Roman"/>
                <w:sz w:val="18"/>
                <w:szCs w:val="18"/>
                <w:color w:val="auto"/>
                <w:w w:val="96"/>
              </w:rPr>
              <w:t>11,753,302</w:t>
            </w:r>
          </w:p>
        </w:tc>
        <w:tc>
          <w:tcPr>
            <w:tcW w:w="344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1,823,609</w:t>
            </w:r>
          </w:p>
        </w:tc>
        <w:tc>
          <w:tcPr>
            <w:tcW w:w="8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64,883</w:t>
            </w:r>
          </w:p>
        </w:tc>
        <w:tc>
          <w:tcPr>
            <w:tcW w:w="760" w:type="dxa"/>
            <w:vAlign w:val="bottom"/>
          </w:tcPr>
          <w:p>
            <w:pPr>
              <w:spacing w:after="0"/>
              <w:rPr>
                <w:sz w:val="24"/>
                <w:szCs w:val="24"/>
                <w:color w:val="auto"/>
              </w:rPr>
            </w:pPr>
          </w:p>
        </w:tc>
        <w:tc>
          <w:tcPr>
            <w:tcW w:w="2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2,288,726</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120" w:type="dxa"/>
            <w:vAlign w:val="bottom"/>
            <w:gridSpan w:val="4"/>
          </w:tcPr>
          <w:p>
            <w:pPr>
              <w:ind w:left="39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r>
      <w:tr>
        <w:trPr>
          <w:trHeight w:val="196"/>
        </w:trPr>
        <w:tc>
          <w:tcPr>
            <w:tcW w:w="14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10.1 *</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70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Updated Compensation Letter, by and between Summit Operating Services Company, LLC and J. Heath Deneke, dated as of April 9,</w:t>
            </w:r>
          </w:p>
        </w:tc>
      </w:tr>
      <w:tr>
        <w:trPr>
          <w:trHeight w:val="248"/>
        </w:trPr>
        <w:tc>
          <w:tcPr>
            <w:tcW w:w="14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0000FF"/>
              <w:bottom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3"/>
              </w:rPr>
              <w:t>2025.</w:t>
            </w:r>
          </w:p>
        </w:tc>
        <w:tc>
          <w:tcPr>
            <w:tcW w:w="180" w:type="dxa"/>
            <w:vAlign w:val="bottom"/>
            <w:tcBorders>
              <w:top w:val="single" w:sz="8" w:color="0000FF"/>
              <w:bottom w:val="single" w:sz="8" w:color="CCEEFF"/>
            </w:tcBorders>
            <w:shd w:val="clear" w:color="auto" w:fill="CCEEFF"/>
          </w:tcPr>
          <w:p>
            <w:pPr>
              <w:spacing w:after="0"/>
              <w:rPr>
                <w:sz w:val="21"/>
                <w:szCs w:val="21"/>
                <w:color w:val="auto"/>
              </w:rPr>
            </w:pPr>
          </w:p>
        </w:tc>
        <w:tc>
          <w:tcPr>
            <w:tcW w:w="8980" w:type="dxa"/>
            <w:vAlign w:val="bottom"/>
            <w:tcBorders>
              <w:top w:val="single" w:sz="8" w:color="0000FF"/>
              <w:bottom w:val="single" w:sz="8" w:color="CCEEFF"/>
            </w:tcBorders>
            <w:shd w:val="clear" w:color="auto" w:fill="CCEEFF"/>
          </w:tcPr>
          <w:p>
            <w:pPr>
              <w:spacing w:after="0"/>
              <w:rPr>
                <w:sz w:val="21"/>
                <w:szCs w:val="21"/>
                <w:color w:val="auto"/>
              </w:rPr>
            </w:pPr>
          </w:p>
        </w:tc>
        <w:tc>
          <w:tcPr>
            <w:tcW w:w="20" w:type="dxa"/>
            <w:vAlign w:val="bottom"/>
            <w:tcBorders>
              <w:top w:val="single" w:sz="8" w:color="0000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2"/>
        </w:trPr>
        <w:tc>
          <w:tcPr>
            <w:tcW w:w="1420" w:type="dxa"/>
            <w:vAlign w:val="bottom"/>
            <w:tcBorders>
              <w:top w:val="single" w:sz="8" w:color="CCEEFF"/>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7"/>
              </w:rPr>
              <w:t>10.2 *</w:t>
            </w: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9700" w:type="dxa"/>
            <w:vAlign w:val="bottom"/>
            <w:tcBorders>
              <w:top w:val="single" w:sz="8" w:color="CCEEFF"/>
            </w:tcBorders>
            <w:gridSpan w:val="6"/>
          </w:tcPr>
          <w:p>
            <w:pPr>
              <w:spacing w:after="0" w:line="202" w:lineRule="exact"/>
              <w:rPr>
                <w:sz w:val="20"/>
                <w:szCs w:val="20"/>
                <w:color w:val="auto"/>
              </w:rPr>
            </w:pPr>
            <w:r>
              <w:rPr>
                <w:rFonts w:ascii="Times New Roman" w:cs="Times New Roman" w:eastAsia="Times New Roman" w:hAnsi="Times New Roman"/>
                <w:sz w:val="18"/>
                <w:szCs w:val="18"/>
                <w:color w:val="0000FF"/>
              </w:rPr>
              <w:t>Updated Compensation Letter, by and between Summit Operating Services Company, LLC and James D. Johnston, dated as of April</w:t>
            </w:r>
          </w:p>
        </w:tc>
      </w:tr>
      <w:tr>
        <w:trPr>
          <w:trHeight w:val="196"/>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60" w:type="dxa"/>
            <w:vAlign w:val="bottom"/>
            <w:tcBorders>
              <w:top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9, 2025.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8"/>
        </w:trPr>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89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10.3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7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FF"/>
              </w:rPr>
              <w:t>Updated Compensation Letter, by and between Summit Operating Services Company, LLC and William J. Mault, dated as of April 9,</w:t>
            </w:r>
          </w:p>
        </w:tc>
      </w:tr>
      <w:tr>
        <w:trPr>
          <w:trHeight w:val="196"/>
        </w:trPr>
        <w:tc>
          <w:tcPr>
            <w:tcW w:w="14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0000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w w:val="93"/>
              </w:rPr>
              <w:t>2025.</w:t>
            </w:r>
          </w:p>
        </w:tc>
        <w:tc>
          <w:tcPr>
            <w:tcW w:w="180" w:type="dxa"/>
            <w:vAlign w:val="bottom"/>
            <w:tcBorders>
              <w:top w:val="single" w:sz="8" w:color="0000FF"/>
              <w:bottom w:val="single" w:sz="8" w:color="CCEEFF"/>
            </w:tcBorders>
            <w:shd w:val="clear" w:color="auto" w:fill="CCEEFF"/>
          </w:tcPr>
          <w:p>
            <w:pPr>
              <w:spacing w:after="0"/>
              <w:rPr>
                <w:sz w:val="17"/>
                <w:szCs w:val="17"/>
                <w:color w:val="auto"/>
              </w:rPr>
            </w:pPr>
          </w:p>
        </w:tc>
        <w:tc>
          <w:tcPr>
            <w:tcW w:w="89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88"/>
        </w:trPr>
        <w:tc>
          <w:tcPr>
            <w:tcW w:w="14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98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r>
    </w:tbl>
    <w:p>
      <w:pPr>
        <w:ind w:left="1540" w:hanging="958"/>
        <w:spacing w:after="0"/>
        <w:tabs>
          <w:tab w:leader="none" w:pos="15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328" w:lineRule="exact"/>
        <w:rPr>
          <w:rFonts w:ascii="Times New Roman" w:cs="Times New Roman" w:eastAsia="Times New Roman" w:hAnsi="Times New Roman"/>
          <w:sz w:val="18"/>
          <w:szCs w:val="18"/>
          <w:color w:val="auto"/>
        </w:rPr>
      </w:pPr>
    </w:p>
    <w:p>
      <w:pPr>
        <w:ind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schedules and exhibits to this agreement have been omitted pursuant to Item 601(a)(5) of Regulation S-K. A copy of any omitted schedule or exhibit will be furnished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Summit Midstream Corporation</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(Registrant)</w:t>
      </w:r>
    </w:p>
    <w:p>
      <w:pPr>
        <w:spacing w:after="0" w:line="272" w:lineRule="exact"/>
        <w:rPr>
          <w:sz w:val="20"/>
          <w:szCs w:val="20"/>
          <w:color w:val="auto"/>
        </w:rPr>
      </w:pPr>
    </w:p>
    <w:p>
      <w:pPr>
        <w:ind w:left="40"/>
        <w:spacing w:after="0"/>
        <w:tabs>
          <w:tab w:leader="none" w:pos="720" w:val="left"/>
          <w:tab w:leader="none" w:pos="5160" w:val="left"/>
        </w:tabs>
        <w:rPr>
          <w:sz w:val="20"/>
          <w:szCs w:val="20"/>
          <w:color w:val="auto"/>
        </w:rPr>
      </w:pPr>
      <w:r>
        <w:rPr>
          <w:rFonts w:ascii="Times New Roman" w:cs="Times New Roman" w:eastAsia="Times New Roman" w:hAnsi="Times New Roman"/>
          <w:sz w:val="18"/>
          <w:szCs w:val="18"/>
          <w:color w:val="auto"/>
        </w:rPr>
        <w:t>Dated:</w:t>
        <w:tab/>
        <w:t>May 9, 2025</w:t>
      </w:r>
      <w:r>
        <w:rPr>
          <w:sz w:val="20"/>
          <w:szCs w:val="20"/>
          <w:color w:val="auto"/>
        </w:rPr>
        <w:tab/>
      </w:r>
      <w:r>
        <w:rPr>
          <w:rFonts w:ascii="Times New Roman" w:cs="Times New Roman" w:eastAsia="Times New Roman" w:hAnsi="Times New Roman"/>
          <w:sz w:val="17"/>
          <w:szCs w:val="17"/>
          <w:i w:val="1"/>
          <w:iCs w:val="1"/>
          <w:color w:val="auto"/>
        </w:rPr>
        <w:t>/s/ Matthew B. Sicinski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18415</wp:posOffset>
            </wp:positionV>
            <wp:extent cx="38658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1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Matthew B. Sicinski, Senior Vice President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92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Heath Deneke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Electronic Mail</w:t>
      </w:r>
    </w:p>
    <w:p>
      <w:pPr>
        <w:spacing w:after="0" w:line="20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Updated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Heath:</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made herein to that certain Amended and Restated Employment Agreement, effective August 1, 2024, by and between you and Summit Operating Services Company, LLC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Capitalized terms used but not defined herein shall have the meanings ascribed to such terms in the Employment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signing below, you acknowledge and agree that pursuant to this letter and effective as of March 28,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jc w:val="both"/>
        <w:ind w:firstLine="8"/>
        <w:spacing w:after="0" w:line="249" w:lineRule="auto"/>
        <w:tabs>
          <w:tab w:leader="none" w:pos="304"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Base Salary in Section 3(a) of the Employment Agreement will be $795,000; (b) in Section 3(b) of the Employment Agreement, (i) your Annual Bonus will range from zero to 300% of the Annual Base Salary, and (ii) your Target Annual Bonus will be 120% of the Annual Base Salary; and (c) your Annual LTIP Target in Section 3(c) of the Employment Agreement will be 450% of the Annual Base Salary (collectively, the “</w:t>
      </w:r>
      <w:r>
        <w:rPr>
          <w:rFonts w:ascii="Times New Roman" w:cs="Times New Roman" w:eastAsia="Times New Roman" w:hAnsi="Times New Roman"/>
          <w:sz w:val="20"/>
          <w:szCs w:val="20"/>
          <w:u w:val="single" w:color="auto"/>
          <w:color w:val="auto"/>
        </w:rPr>
        <w:t>Compensation Updates</w:t>
      </w:r>
      <w:r>
        <w:rPr>
          <w:rFonts w:ascii="Times New Roman" w:cs="Times New Roman" w:eastAsia="Times New Roman" w:hAnsi="Times New Roman"/>
          <w:sz w:val="20"/>
          <w:szCs w:val="20"/>
          <w:color w:val="auto"/>
        </w:rPr>
        <w:t>”). For the avoidance of doubt, by signing below, you consent to the changes set forth above and acknowledge and agree that none of the Compensation Updates will constitute Good Reason for purposes of the Employment Agreement. No other changes are being made to the Employment Agreement, and except as specifically provided by this letter, the Employment Agreement will remain in full force and effect in accordance with its terms.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Please return a counter signed copy at your earliest convenience.</w:t>
      </w:r>
    </w:p>
    <w:p>
      <w:pPr>
        <w:spacing w:after="0" w:line="26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Sincerely,</w:t>
      </w:r>
    </w:p>
    <w:p>
      <w:pPr>
        <w:spacing w:after="0" w:line="2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SUMMIT OPERATING SERVICES</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James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29660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James Johnston</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EVP, General Counsel, Chief Compliance Officer and Secretary</w:t>
      </w:r>
    </w:p>
    <w:p>
      <w:pPr>
        <w:spacing w:after="0" w:line="200" w:lineRule="exact"/>
        <w:rPr>
          <w:sz w:val="20"/>
          <w:szCs w:val="20"/>
          <w:color w:val="auto"/>
        </w:rPr>
      </w:pPr>
    </w:p>
    <w:p>
      <w:pPr>
        <w:spacing w:after="0" w:line="3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32829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Heath Deneke</w:t>
      </w:r>
    </w:p>
    <w:p>
      <w:pPr>
        <w:sectPr>
          <w:pgSz w:w="11900" w:h="16838" w:orient="portrait"/>
          <w:cols w:equalWidth="0" w:num="1">
            <w:col w:w="11240"/>
          </w:cols>
          <w:pgMar w:left="320" w:top="114" w:right="339" w:bottom="1440" w:gutter="0" w:footer="0" w:header="0"/>
        </w:sectPr>
      </w:pPr>
    </w:p>
    <w:bookmarkStart w:id="5" w:name="page6"/>
    <w:bookmarkEnd w:id="5"/>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attached)</w:t>
      </w:r>
    </w:p>
    <w:p>
      <w:pPr>
        <w:sectPr>
          <w:pgSz w:w="11900" w:h="16838" w:orient="portrait"/>
          <w:cols w:equalWidth="0" w:num="1">
            <w:col w:w="9019"/>
          </w:cols>
          <w:pgMar w:left="1440" w:top="1440"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Johnston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Electronic Mail</w:t>
      </w:r>
    </w:p>
    <w:p>
      <w:pPr>
        <w:spacing w:after="0" w:line="20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Updated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James: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made herein to that certain Amended and Restated Employment Agreement, effective August 1, 2024, by and between you and Summit Operating Services Company, LLC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Capitalized terms used but not defined herein shall have the meanings ascribed to such terms in the Employment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signing below, you acknowledge and agree that pursuant to this letter and effective as of March 28,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jc w:val="both"/>
        <w:ind w:firstLine="8"/>
        <w:spacing w:after="0" w:line="249" w:lineRule="auto"/>
        <w:tabs>
          <w:tab w:leader="none" w:pos="3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Base Salary in Section 3(a) of the Employment Agreement will be $450,000; (b) in Section 3(b) of the Employment Agreement, (i) your Annual Bonus will range from zero to 200% of the Annual Base Salary, and (ii) your Target Annual Bonus will be 85% of the Annual Base Salary; and (c) your Annual LTIP Target in Section 3(c) of the Employment Agreement will be 233% of the Annual Base Salary (collectively, the “</w:t>
      </w:r>
      <w:r>
        <w:rPr>
          <w:rFonts w:ascii="Times New Roman" w:cs="Times New Roman" w:eastAsia="Times New Roman" w:hAnsi="Times New Roman"/>
          <w:sz w:val="20"/>
          <w:szCs w:val="20"/>
          <w:u w:val="single" w:color="auto"/>
          <w:color w:val="auto"/>
        </w:rPr>
        <w:t>Compensation Updates</w:t>
      </w:r>
      <w:r>
        <w:rPr>
          <w:rFonts w:ascii="Times New Roman" w:cs="Times New Roman" w:eastAsia="Times New Roman" w:hAnsi="Times New Roman"/>
          <w:sz w:val="20"/>
          <w:szCs w:val="20"/>
          <w:color w:val="auto"/>
        </w:rPr>
        <w:t>”). For the avoidance of doubt, by signing below, you consent to the changes set forth above and acknowledge and agree that none of the Compensation Updates will constitute Good Reason for purposes of the Employment Agreement. No other changes are being made to the Employment Agreement, and except as specifically provided by this letter, the Employment Agreement will remain in full force and effect in accordance with its terms.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Please return a counter signed copy at your earliest convenience.</w:t>
      </w:r>
    </w:p>
    <w:p>
      <w:pPr>
        <w:spacing w:after="0" w:line="26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Sincerely,</w:t>
      </w:r>
    </w:p>
    <w:p>
      <w:pPr>
        <w:spacing w:after="0" w:line="2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SUMMIT OPERATING SERVICES</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J. Heath Deneke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2966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J. Heath Deneke</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President and Chief Executive Officer</w:t>
      </w:r>
    </w:p>
    <w:p>
      <w:pPr>
        <w:spacing w:after="0" w:line="200" w:lineRule="exact"/>
        <w:rPr>
          <w:sz w:val="20"/>
          <w:szCs w:val="20"/>
          <w:color w:val="auto"/>
        </w:rPr>
      </w:pPr>
    </w:p>
    <w:p>
      <w:pPr>
        <w:spacing w:after="0" w:line="3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James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3282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James Johnston</w:t>
      </w:r>
    </w:p>
    <w:p>
      <w:pPr>
        <w:sectPr>
          <w:pgSz w:w="11900" w:h="16838" w:orient="portrait"/>
          <w:cols w:equalWidth="0" w:num="1">
            <w:col w:w="11240"/>
          </w:cols>
          <w:pgMar w:left="320" w:top="114" w:right="339" w:bottom="1440" w:gutter="0" w:footer="0" w:header="0"/>
        </w:sectPr>
      </w:pPr>
    </w:p>
    <w:bookmarkStart w:id="7" w:name="page8"/>
    <w:bookmarkEnd w:id="7"/>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attached)</w:t>
      </w:r>
    </w:p>
    <w:p>
      <w:pPr>
        <w:sectPr>
          <w:pgSz w:w="11900" w:h="16838" w:orient="portrait"/>
          <w:cols w:equalWidth="0" w:num="1">
            <w:col w:w="9019"/>
          </w:cols>
          <w:pgMar w:left="1440" w:top="1440"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9,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William (Bill) Mault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Via Electronic Mail</w:t>
      </w:r>
    </w:p>
    <w:p>
      <w:pPr>
        <w:spacing w:after="0" w:line="20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0"/>
          <w:szCs w:val="20"/>
          <w:color w:val="auto"/>
        </w:rPr>
        <w:t>Re:</w:t>
      </w:r>
      <w:r>
        <w:rPr>
          <w:sz w:val="20"/>
          <w:szCs w:val="20"/>
          <w:color w:val="auto"/>
        </w:rPr>
        <w:tab/>
      </w:r>
      <w:r>
        <w:rPr>
          <w:rFonts w:ascii="Times New Roman" w:cs="Times New Roman" w:eastAsia="Times New Roman" w:hAnsi="Times New Roman"/>
          <w:sz w:val="19"/>
          <w:szCs w:val="19"/>
          <w:u w:val="single" w:color="auto"/>
          <w:color w:val="auto"/>
        </w:rPr>
        <w:t>Updated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Bill: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Reference is made herein to that certain Amended and Restated Employment Agreement, effective August 1, 2024, by and between you and Summit Operating Services Company, LLC (the “</w:t>
      </w:r>
      <w:r>
        <w:rPr>
          <w:rFonts w:ascii="Times New Roman" w:cs="Times New Roman" w:eastAsia="Times New Roman" w:hAnsi="Times New Roman"/>
          <w:sz w:val="20"/>
          <w:szCs w:val="20"/>
          <w:u w:val="single" w:color="auto"/>
          <w:color w:val="auto"/>
        </w:rPr>
        <w:t>Employment Agreement</w:t>
      </w:r>
      <w:r>
        <w:rPr>
          <w:rFonts w:ascii="Times New Roman" w:cs="Times New Roman" w:eastAsia="Times New Roman" w:hAnsi="Times New Roman"/>
          <w:sz w:val="20"/>
          <w:szCs w:val="20"/>
          <w:color w:val="auto"/>
        </w:rPr>
        <w:t xml:space="preserv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Capitalized terms used but not defined herein shall have the meanings ascribed to such terms in the Employment Agreement.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signing below, you acknowledge and agree that pursuant to this letter and effective as of March 28,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2" w:lineRule="exact"/>
        <w:rPr>
          <w:sz w:val="20"/>
          <w:szCs w:val="20"/>
          <w:color w:val="auto"/>
        </w:rPr>
      </w:pPr>
    </w:p>
    <w:p>
      <w:pPr>
        <w:jc w:val="both"/>
        <w:ind w:firstLine="8"/>
        <w:spacing w:after="0" w:line="249" w:lineRule="auto"/>
        <w:tabs>
          <w:tab w:leader="none" w:pos="30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Annual Base Salary in Section 3(a) of the Employment Agreement will be $450,000; (b) in Section 3(b) of the Employment Agreement, (i) your Annual Bonus will range from zero to 200% of the Annual Base Salary, and (ii) your Target Annual Bonus will be 85% of the Annual Base Salary; and (c) your Annual LTIP Target in Section 3(c) of the Employment Agreement will be 240% of the Annual Base Salary (collectively, the “</w:t>
      </w:r>
      <w:r>
        <w:rPr>
          <w:rFonts w:ascii="Times New Roman" w:cs="Times New Roman" w:eastAsia="Times New Roman" w:hAnsi="Times New Roman"/>
          <w:sz w:val="20"/>
          <w:szCs w:val="20"/>
          <w:u w:val="single" w:color="auto"/>
          <w:color w:val="auto"/>
        </w:rPr>
        <w:t>Compensation Updates</w:t>
      </w:r>
      <w:r>
        <w:rPr>
          <w:rFonts w:ascii="Times New Roman" w:cs="Times New Roman" w:eastAsia="Times New Roman" w:hAnsi="Times New Roman"/>
          <w:sz w:val="20"/>
          <w:szCs w:val="20"/>
          <w:color w:val="auto"/>
        </w:rPr>
        <w:t>”). For the avoidance of doubt, by signing below, you consent to the changes set forth above and acknowledge and agree that none of the Compensation Updates will constitute Good Reason for purposes of the Employment Agreement. No other changes are being made to the Employment Agreement, and except as specifically provided by this letter, the Employment Agreement will remain in full force and effect in accordance with its terms.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Please return a counter signed copy at your earliest convenience.</w:t>
      </w:r>
    </w:p>
    <w:p>
      <w:pPr>
        <w:spacing w:after="0" w:line="26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Sincerely,</w:t>
      </w:r>
    </w:p>
    <w:p>
      <w:pPr>
        <w:spacing w:after="0" w:line="2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SUMMIT OPERATING SERVICES</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COMPANY, LLC</w:t>
      </w:r>
    </w:p>
    <w:p>
      <w:pPr>
        <w:spacing w:after="0" w:line="28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James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17145</wp:posOffset>
            </wp:positionV>
            <wp:extent cx="2966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Name: James Johnston</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Its: EVP, General Counsel, Chief Compliance Officer and Secretary</w:t>
      </w:r>
    </w:p>
    <w:p>
      <w:pPr>
        <w:spacing w:after="0" w:line="200" w:lineRule="exact"/>
        <w:rPr>
          <w:sz w:val="20"/>
          <w:szCs w:val="20"/>
          <w:color w:val="auto"/>
        </w:rPr>
      </w:pPr>
    </w:p>
    <w:p>
      <w:pPr>
        <w:spacing w:after="0" w:line="35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Accepted and Agreed</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William J. Mault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32829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William (Bill) Mault</w:t>
      </w:r>
    </w:p>
    <w:p>
      <w:pPr>
        <w:sectPr>
          <w:pgSz w:w="11900" w:h="16838" w:orient="portrait"/>
          <w:cols w:equalWidth="0" w:num="1">
            <w:col w:w="11240"/>
          </w:cols>
          <w:pgMar w:left="320" w:top="114" w:right="339" w:bottom="1440" w:gutter="0" w:footer="0" w:header="0"/>
        </w:sectPr>
      </w:pPr>
    </w:p>
    <w:bookmarkStart w:id="9" w:name="page10"/>
    <w:bookmarkEnd w:id="9"/>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Employment Agreement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(see attached)</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2"/>
      <w:numFmt w:val="decimal"/>
      <w:start w:val="104"/>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2025-05-09T14:31:26Z</dcterms:created>
  <dcterms:modified xsi:type="dcterms:W3CDTF">2025-05-09T14:31:26Z</dcterms:modified>
</cp:coreProperties>
</file>