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left"/>
        <w:rPr/>
      </w:pPr>
      <w:hyperlink w:anchor="i69ee8b4d644242bf8ed471293c41640a_7">
        <w:r>
          <w:rPr>
            <w:rStyle w:val="InternetLink"/>
            <w:rFonts w:ascii="Times New Roman;sans-serif" w:hAnsi="Times New Roman;sans-serif"/>
            <w:b w:val="false"/>
            <w:color w:val="000080"/>
            <w:sz w:val="20"/>
            <w:u w:val="single"/>
          </w:rPr>
          <w:t xml:space="preserve">Table </w:t>
        </w:r>
      </w:hyperlink>
      <w:hyperlink w:anchor="i69ee8b4d644242bf8ed471293c41640a_7">
        <w:r>
          <w:rPr>
            <w:rStyle w:val="InternetLink"/>
            <w:rFonts w:ascii="Times New Roman;sans-serif" w:hAnsi="Times New Roman;sans-serif"/>
            <w:b w:val="false"/>
            <w:color w:val="000080"/>
            <w:sz w:val="20"/>
            <w:u w:val="single"/>
          </w:rPr>
          <w:t>of</w:t>
        </w:r>
      </w:hyperlink>
      <w:hyperlink w:anchor="i69ee8b4d644242bf8ed471293c41640a_7">
        <w:r>
          <w:rPr>
            <w:rStyle w:val="InternetLink"/>
            <w:rFonts w:ascii="Times New Roman;sans-serif" w:hAnsi="Times New Roman;sans-serif"/>
            <w:b w:val="false"/>
            <w:color w:val="000080"/>
            <w:sz w:val="20"/>
            <w:u w:val="single"/>
          </w:rPr>
          <w:t xml:space="preserve">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ans-serif" w:hAnsi="Times New Roman;sans-serif"/>
          <w:b/>
          <w:color w:val="000000"/>
          <w:sz w:val="24"/>
        </w:rPr>
      </w:pPr>
      <w:r>
        <w:rPr>
          <w:rFonts w:ascii="Times New Roman;sans-serif" w:hAnsi="Times New Roman;sans-serif"/>
          <w:b/>
          <w:color w:val="000000"/>
          <w:sz w:val="24"/>
        </w:rPr>
        <w:t>UNITED STATES</w:t>
      </w:r>
    </w:p>
    <w:p>
      <w:pPr>
        <w:pStyle w:val="TextBody"/>
        <w:bidi w:val="0"/>
        <w:spacing w:lineRule="auto" w:line="288" w:before="80" w:after="283"/>
        <w:jc w:val="center"/>
        <w:rPr>
          <w:rFonts w:ascii="Times New Roman;sans-serif" w:hAnsi="Times New Roman;sans-serif"/>
          <w:b/>
          <w:color w:val="000000"/>
          <w:sz w:val="24"/>
        </w:rPr>
      </w:pPr>
      <w:r>
        <w:rPr>
          <w:rFonts w:ascii="Times New Roman;sans-serif" w:hAnsi="Times New Roman;sans-serif"/>
          <w:b/>
          <w:color w:val="000000"/>
          <w:sz w:val="24"/>
        </w:rPr>
        <w:t>SECURITIES AND EXCHANGE COMMISSION</w:t>
      </w:r>
    </w:p>
    <w:p>
      <w:pPr>
        <w:pStyle w:val="TextBody"/>
        <w:bidi w:val="0"/>
        <w:spacing w:lineRule="auto" w:line="288" w:before="80" w:after="283"/>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80" w:after="283"/>
        <w:jc w:val="center"/>
        <w:rPr>
          <w:rFonts w:ascii="Times New Roman;sans-serif" w:hAnsi="Times New Roman;sans-serif"/>
          <w:b/>
          <w:color w:val="000000"/>
          <w:sz w:val="24"/>
        </w:rPr>
      </w:pPr>
      <w:r>
        <w:rPr>
          <w:rFonts w:ascii="Times New Roman;sans-serif" w:hAnsi="Times New Roman;sans-serif"/>
          <w:b/>
          <w:color w:val="000000"/>
          <w:sz w:val="24"/>
        </w:rPr>
        <w:t>Form 10-Q</w:t>
      </w:r>
    </w:p>
    <w:p>
      <w:pPr>
        <w:pStyle w:val="TextBody"/>
        <w:bidi w:val="0"/>
        <w:spacing w:lineRule="auto" w:line="288" w:before="80" w:after="283"/>
        <w:jc w:val="left"/>
        <w:rPr>
          <w:rFonts w:ascii="Times New Roman;sans-serif" w:hAnsi="Times New Roman;sans-serif"/>
          <w:b/>
          <w:color w:val="000000"/>
          <w:sz w:val="18"/>
        </w:rPr>
      </w:pPr>
      <w:r>
        <w:rPr>
          <w:rFonts w:ascii="Times New Roman;sans-serif" w:hAnsi="Times New Roman;sans-serif"/>
          <w:b/>
          <w:color w:val="000000"/>
          <w:sz w:val="18"/>
        </w:rPr>
        <w:t>(Mark One)</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QUARTERLY REPORT PURSUANT TO SECTION 13 OR 15(d) OF THE SECURITIES EXCHANGE ACT OF 1934</w:t>
            </w:r>
          </w:p>
        </w:tc>
      </w:tr>
    </w:tbl>
    <w:p>
      <w:pPr>
        <w:pStyle w:val="TextBody"/>
        <w:bidi w:val="0"/>
        <w:spacing w:lineRule="auto" w:line="288" w:before="80" w:after="283"/>
        <w:jc w:val="center"/>
        <w:rPr>
          <w:rFonts w:ascii="Times New Roman;sans-serif" w:hAnsi="Times New Roman;sans-serif"/>
          <w:b/>
          <w:color w:val="000000"/>
          <w:sz w:val="16"/>
        </w:rPr>
      </w:pPr>
      <w:r>
        <w:rPr>
          <w:rFonts w:ascii="Times New Roman;sans-serif" w:hAnsi="Times New Roman;sans-serif"/>
          <w:b/>
          <w:color w:val="000000"/>
          <w:sz w:val="16"/>
        </w:rPr>
        <w:t xml:space="preserve">For the quarterly period ended June 30, 2024 </w:t>
      </w:r>
    </w:p>
    <w:p>
      <w:pPr>
        <w:pStyle w:val="TextBody"/>
        <w:bidi w:val="0"/>
        <w:spacing w:lineRule="auto" w:line="288" w:before="80" w:after="283"/>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9761" w:type="dxa"/>
        <w:jc w:val="left"/>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8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TRANSITION REPORT PURSUANT TO SECTION 13 OR 15(d) OF THE SECURITIES EXCHANGE ACT OF 1934</w:t>
            </w:r>
          </w:p>
        </w:tc>
      </w:tr>
    </w:tbl>
    <w:p>
      <w:pPr>
        <w:pStyle w:val="TextBody"/>
        <w:bidi w:val="0"/>
        <w:spacing w:lineRule="auto" w:line="288" w:before="80" w:after="283"/>
        <w:jc w:val="center"/>
        <w:rPr>
          <w:rFonts w:ascii="Times New Roman;sans-serif" w:hAnsi="Times New Roman;sans-serif"/>
          <w:b/>
          <w:color w:val="000000"/>
          <w:sz w:val="16"/>
        </w:rPr>
      </w:pPr>
      <w:r>
        <w:rPr>
          <w:rFonts w:ascii="Times New Roman;sans-serif" w:hAnsi="Times New Roman;sans-serif"/>
          <w:b/>
          <w:color w:val="000000"/>
          <w:sz w:val="16"/>
        </w:rPr>
        <w:t>For the transition period from        to        </w:t>
      </w:r>
    </w:p>
    <w:p>
      <w:pPr>
        <w:pStyle w:val="TextBody"/>
        <w:bidi w:val="0"/>
        <w:spacing w:lineRule="auto" w:line="288" w:before="80" w:after="283"/>
        <w:jc w:val="center"/>
        <w:rPr>
          <w:rFonts w:ascii="Times New Roman;sans-serif" w:hAnsi="Times New Roman;sans-serif"/>
          <w:b/>
          <w:color w:val="000000"/>
          <w:sz w:val="16"/>
        </w:rPr>
      </w:pPr>
      <w:r>
        <w:rPr>
          <w:rFonts w:ascii="Times New Roman;sans-serif" w:hAnsi="Times New Roman;sans-serif"/>
          <w:b/>
          <w:color w:val="000000"/>
          <w:sz w:val="16"/>
        </w:rPr>
        <w:t>Commission file number: 001-35666</w:t>
      </w:r>
    </w:p>
    <w:p>
      <w:pPr>
        <w:pStyle w:val="TextBody"/>
        <w:bidi w:val="0"/>
        <w:spacing w:lineRule="auto" w:line="288" w:before="80" w:after="283"/>
        <w:jc w:val="center"/>
        <w:rPr>
          <w:rFonts w:ascii="Times New Roman;sans-serif" w:hAnsi="Times New Roman;sans-serif"/>
          <w:b/>
          <w:color w:val="000000"/>
          <w:sz w:val="32"/>
        </w:rPr>
      </w:pPr>
      <w:r>
        <w:rPr>
          <w:rFonts w:ascii="Times New Roman;sans-serif" w:hAnsi="Times New Roman;sans-serif"/>
          <w:b/>
          <w:color w:val="000000"/>
          <w:sz w:val="32"/>
        </w:rPr>
        <w:t>Summit Midstream Partners, LP</w:t>
      </w:r>
    </w:p>
    <w:p>
      <w:pPr>
        <w:pStyle w:val="TextBody"/>
        <w:bidi w:val="0"/>
        <w:spacing w:lineRule="auto" w:line="288" w:before="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(Exact name of registrant as specified in its charter)</w:t>
      </w:r>
    </w:p>
    <w:p>
      <w:pPr>
        <w:pStyle w:val="TextBody"/>
        <w:bidi w:val="0"/>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Delaware</w:t>
      </w:r>
    </w:p>
    <w:p>
      <w:pPr>
        <w:pStyle w:val="TextBody"/>
        <w:bidi w:val="0"/>
        <w:spacing w:lineRule="auto" w:line="288" w:before="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(State or other jurisdiction of</w:t>
      </w:r>
    </w:p>
    <w:p>
      <w:pPr>
        <w:pStyle w:val="TextBody"/>
        <w:bidi w:val="0"/>
        <w:spacing w:lineRule="auto" w:line="288" w:before="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incorporation or organization)</w:t>
      </w:r>
    </w:p>
    <w:p>
      <w:pPr>
        <w:pStyle w:val="TextBody"/>
        <w:bidi w:val="0"/>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910 Louisiana Street, Suite 4200</w:t>
      </w:r>
    </w:p>
    <w:p>
      <w:pPr>
        <w:pStyle w:val="TextBody"/>
        <w:bidi w:val="0"/>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Houston, TX</w:t>
      </w:r>
    </w:p>
    <w:p>
      <w:pPr>
        <w:pStyle w:val="TextBody"/>
        <w:bidi w:val="0"/>
        <w:spacing w:lineRule="auto" w:line="288" w:before="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(Address of principal executive offices)</w:t>
      </w:r>
    </w:p>
    <w:p>
      <w:pPr>
        <w:pStyle w:val="TextBody"/>
        <w:bidi w:val="0"/>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45-5200503</w:t>
      </w:r>
    </w:p>
    <w:p>
      <w:pPr>
        <w:pStyle w:val="TextBody"/>
        <w:bidi w:val="0"/>
        <w:spacing w:lineRule="auto" w:line="288" w:before="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(I.R.S. Employer</w:t>
      </w:r>
    </w:p>
    <w:p>
      <w:pPr>
        <w:pStyle w:val="TextBody"/>
        <w:bidi w:val="0"/>
        <w:spacing w:lineRule="auto" w:line="288" w:before="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Identification No.)</w:t>
      </w:r>
    </w:p>
    <w:p>
      <w:pPr>
        <w:pStyle w:val="TextBody"/>
        <w:bidi w:val="0"/>
        <w:spacing w:before="80" w:after="283"/>
        <w:jc w:val="center"/>
        <w:rPr/>
      </w:pPr>
      <w:r>
        <w:rPr/>
      </w:r>
    </w:p>
    <w:p>
      <w:pPr>
        <w:pStyle w:val="TextBody"/>
        <w:bidi w:val="0"/>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77002</w:t>
      </w:r>
    </w:p>
    <w:p>
      <w:pPr>
        <w:pStyle w:val="TextBody"/>
        <w:bidi w:val="0"/>
        <w:spacing w:lineRule="auto" w:line="288" w:before="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(Zip Code)</w:t>
      </w:r>
    </w:p>
    <w:p>
      <w:pPr>
        <w:pStyle w:val="TextBody"/>
        <w:bidi w:val="0"/>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(832) 413-4770</w:t>
      </w:r>
    </w:p>
    <w:p>
      <w:pPr>
        <w:pStyle w:val="TextBody"/>
        <w:bidi w:val="0"/>
        <w:spacing w:lineRule="auto" w:line="288" w:before="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(Registrant’s telephone number, including area code)</w:t>
      </w:r>
    </w:p>
    <w:p>
      <w:pPr>
        <w:pStyle w:val="TextBody"/>
        <w:bidi w:val="0"/>
        <w:spacing w:lineRule="auto" w:line="288" w:before="80" w:after="283"/>
        <w:jc w:val="center"/>
        <w:rPr>
          <w:rFonts w:ascii="Times New Roman;sans-serif" w:hAnsi="Times New Roman;sans-serif"/>
          <w:b/>
          <w:color w:val="000000"/>
          <w:sz w:val="18"/>
        </w:rPr>
      </w:pPr>
      <w:r>
        <w:rPr>
          <w:rFonts w:ascii="Times New Roman;sans-serif" w:hAnsi="Times New Roman;sans-serif"/>
          <w:b/>
          <w:color w:val="000000"/>
          <w:sz w:val="18"/>
        </w:rPr>
        <w:t>Not applicable</w:t>
      </w:r>
    </w:p>
    <w:p>
      <w:pPr>
        <w:pStyle w:val="TextBody"/>
        <w:bidi w:val="0"/>
        <w:spacing w:lineRule="auto" w:line="288" w:before="8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(Former name, former address and former fiscal year, if changed since last report)</w:t>
      </w:r>
    </w:p>
    <w:p>
      <w:pPr>
        <w:pStyle w:val="TextBody"/>
        <w:bidi w:val="0"/>
        <w:spacing w:lineRule="auto" w:line="288" w:before="8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6629" w:type="dxa"/>
        <w:jc w:val="left"/>
        <w:tblInd w:w="0" w:type="dxa"/>
        <w:tblLayout w:type="fixed"/>
        <w:tblCellMar>
          <w:top w:w="28" w:type="dxa"/>
          <w:left w:w="28" w:type="dxa"/>
          <w:bottom w:w="28" w:type="dxa"/>
          <w:right w:w="28" w:type="dxa"/>
        </w:tblCellMar>
      </w:tblPr>
      <w:tblGrid>
        <w:gridCol w:w="497"/>
        <w:gridCol w:w="438"/>
        <w:gridCol w:w="444"/>
        <w:gridCol w:w="484"/>
        <w:gridCol w:w="484"/>
        <w:gridCol w:w="486"/>
        <w:gridCol w:w="685"/>
        <w:gridCol w:w="685"/>
        <w:gridCol w:w="685"/>
        <w:gridCol w:w="509"/>
        <w:gridCol w:w="509"/>
        <w:gridCol w:w="723"/>
      </w:tblGrid>
      <w:tr>
        <w:trPr/>
        <w:tc>
          <w:tcPr>
            <w:tcW w:w="497"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685"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Title of each class</w:t>
            </w:r>
          </w:p>
        </w:tc>
        <w:tc>
          <w:tcPr>
            <w:tcW w:w="145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Trading Symbol(s)</w:t>
            </w:r>
          </w:p>
        </w:tc>
        <w:tc>
          <w:tcPr>
            <w:tcW w:w="3796" w:type="dxa"/>
            <w:gridSpan w:val="6"/>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Name of each exchange on which registered</w:t>
            </w:r>
          </w:p>
        </w:tc>
      </w:tr>
      <w:tr>
        <w:trPr/>
        <w:tc>
          <w:tcPr>
            <w:tcW w:w="1379"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Common Units</w:t>
            </w:r>
          </w:p>
        </w:tc>
        <w:tc>
          <w:tcPr>
            <w:tcW w:w="145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8"/>
              </w:rPr>
            </w:pPr>
            <w:r>
              <w:rPr>
                <w:rFonts w:ascii="Times New Roman;sans-serif" w:hAnsi="Times New Roman;sans-serif"/>
                <w:b w:val="false"/>
                <w:color w:val="000000"/>
                <w:sz w:val="18"/>
              </w:rPr>
              <w:t>SMLP</w:t>
            </w:r>
          </w:p>
        </w:tc>
        <w:tc>
          <w:tcPr>
            <w:tcW w:w="205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New York Stock Exchange</w:t>
            </w:r>
          </w:p>
        </w:tc>
        <w:tc>
          <w:tcPr>
            <w:tcW w:w="1741" w:type="dxa"/>
            <w:gridSpan w:val="3"/>
            <w:tcBorders>
              <w:top w:val="single" w:sz="8" w:space="0" w:color="000000"/>
              <w:bottom w:val="single" w:sz="8" w:space="0" w:color="000000"/>
              <w:right w:val="single" w:sz="8" w:space="0" w:color="000000"/>
            </w:tcBorders>
            <w:tcMar>
              <w:top w:w="30" w:type="dxa"/>
              <w:left w:w="0" w:type="dxa"/>
              <w:bottom w:w="3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 The registrant’s Common Units are currently registered pursuant to Section 12(b) of the Act. On August 1, 2024, the New York Stock Exchange filed a Form 25-NSE with the United States Securities and Exchange Commission, which will delist the Common Units from the New York Stock Exchange on August 11, 2024.</w:t>
      </w:r>
    </w:p>
    <w:p>
      <w:pPr>
        <w:pStyle w:val="TextBody"/>
        <w:bidi w:val="0"/>
        <w:spacing w:lineRule="auto" w:line="288" w:before="80" w:after="283"/>
        <w:jc w:val="left"/>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Yes      </w:t>
      </w:r>
      <w:r>
        <w:rPr>
          <w:rFonts w:ascii="Wingdings;sans-serif" w:hAnsi="Wingdings;sans-serif"/>
          <w:b w:val="false"/>
          <w:color w:val="000000"/>
          <w:sz w:val="16"/>
        </w:rPr>
        <w:t>o</w:t>
      </w:r>
      <w:r>
        <w:rPr>
          <w:color w:val="000000"/>
        </w:rPr>
        <w:t>    </w:t>
      </w:r>
      <w:r>
        <w:rPr>
          <w:rFonts w:ascii="Times New Roman;sans-serif" w:hAnsi="Times New Roman;sans-serif"/>
          <w:b w:val="false"/>
          <w:color w:val="000000"/>
          <w:sz w:val="16"/>
        </w:rPr>
        <w:t>No</w:t>
      </w:r>
    </w:p>
    <w:p>
      <w:pPr>
        <w:pStyle w:val="TextBody"/>
        <w:bidi w:val="0"/>
        <w:spacing w:lineRule="auto" w:line="288" w:before="8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tbl>
      <w:tblPr>
        <w:tblW w:w="1436" w:type="dxa"/>
        <w:jc w:val="left"/>
        <w:tblInd w:w="0" w:type="dxa"/>
        <w:tblLayout w:type="fixed"/>
        <w:tblCellMar>
          <w:top w:w="28" w:type="dxa"/>
          <w:left w:w="28" w:type="dxa"/>
          <w:bottom w:w="28" w:type="dxa"/>
          <w:right w:w="28" w:type="dxa"/>
        </w:tblCellMar>
      </w:tblPr>
      <w:tblGrid>
        <w:gridCol w:w="124"/>
        <w:gridCol w:w="109"/>
        <w:gridCol w:w="109"/>
        <w:gridCol w:w="130"/>
        <w:gridCol w:w="130"/>
        <w:gridCol w:w="131"/>
        <w:gridCol w:w="109"/>
        <w:gridCol w:w="109"/>
        <w:gridCol w:w="109"/>
        <w:gridCol w:w="110"/>
        <w:gridCol w:w="110"/>
        <w:gridCol w:w="15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c>
          <w:tcPr>
            <w:tcW w:w="3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Yes</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o</w:t>
            </w:r>
          </w:p>
        </w:tc>
        <w:tc>
          <w:tcPr>
            <w:tcW w:w="3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w:t>
            </w:r>
          </w:p>
        </w:tc>
      </w:tr>
    </w:tbl>
    <w:p>
      <w:pPr>
        <w:pStyle w:val="TextBody"/>
        <w:bidi w:val="0"/>
        <w:spacing w:lineRule="auto" w:line="288" w:before="8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823" w:type="dxa"/>
        <w:jc w:val="left"/>
        <w:tblInd w:w="0" w:type="dxa"/>
        <w:tblLayout w:type="fixed"/>
        <w:tblCellMar>
          <w:top w:w="28" w:type="dxa"/>
          <w:left w:w="28" w:type="dxa"/>
          <w:bottom w:w="28" w:type="dxa"/>
          <w:right w:w="28" w:type="dxa"/>
        </w:tblCellMar>
      </w:tblPr>
      <w:tblGrid>
        <w:gridCol w:w="760"/>
        <w:gridCol w:w="668"/>
        <w:gridCol w:w="671"/>
        <w:gridCol w:w="109"/>
        <w:gridCol w:w="109"/>
        <w:gridCol w:w="109"/>
        <w:gridCol w:w="674"/>
        <w:gridCol w:w="674"/>
        <w:gridCol w:w="677"/>
        <w:gridCol w:w="109"/>
        <w:gridCol w:w="109"/>
        <w:gridCol w:w="154"/>
      </w:tblGrid>
      <w:tr>
        <w:trPr/>
        <w:tc>
          <w:tcPr>
            <w:tcW w:w="760"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Large 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Wingdings;sans-serif" w:hAnsi="Wingdings;sans-serif"/>
                <w:b w:val="false"/>
                <w:color w:val="000000"/>
                <w:sz w:val="18"/>
              </w:rPr>
            </w:pPr>
            <w:r>
              <w:rPr>
                <w:rFonts w:ascii="Wingdings;sans-serif" w:hAnsi="Wingdings;sans-serif"/>
                <w:b w:val="false"/>
                <w:color w:val="000000"/>
                <w:sz w:val="18"/>
              </w:rPr>
              <w:t>x</w:t>
            </w:r>
          </w:p>
        </w:tc>
      </w:tr>
      <w:tr>
        <w:trPr/>
        <w:tc>
          <w:tcPr>
            <w:tcW w:w="209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Emerging growth company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left"/>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Times New Roman;sans-serif" w:hAnsi="Times New Roman;sans-serif"/>
          <w:b w:val="false"/>
          <w:color w:val="000000"/>
          <w:sz w:val="18"/>
        </w:rPr>
        <w:t>. </w:t>
      </w:r>
      <w:r>
        <w:rPr>
          <w:rFonts w:ascii="Wingdings;sans-serif" w:hAnsi="Wingdings;sans-serif"/>
          <w:b w:val="false"/>
          <w:color w:val="000000"/>
          <w:sz w:val="16"/>
        </w:rPr>
        <w:t>o</w:t>
      </w:r>
    </w:p>
    <w:p>
      <w:pPr>
        <w:pStyle w:val="TextBody"/>
        <w:bidi w:val="0"/>
        <w:spacing w:lineRule="auto" w:line="288" w:before="80" w:after="283"/>
        <w:jc w:val="left"/>
        <w:rPr/>
      </w:pPr>
      <w:r>
        <w:rPr>
          <w:rFonts w:ascii="Times New Roman;sans-serif" w:hAnsi="Times New Roman;sans-serif"/>
          <w:b w:val="false"/>
          <w:color w:val="000000"/>
          <w:sz w:val="16"/>
        </w:rPr>
        <w:t>Indicate by check mark whether the registrant is a shell company (as defined in Rule 12b-2 of the Exchange Act).</w:t>
      </w:r>
      <w:r>
        <w:rPr>
          <w:color w:val="000000"/>
        </w:rPr>
        <w:t> ☐ </w:t>
      </w:r>
      <w:r>
        <w:rPr>
          <w:rFonts w:ascii="Times New Roman;sans-serif" w:hAnsi="Times New Roman;sans-serif"/>
          <w:b w:val="false"/>
          <w:color w:val="000000"/>
          <w:sz w:val="18"/>
        </w:rPr>
        <w:t>Yes   </w:t>
      </w:r>
      <w:r>
        <w:rPr>
          <w:rFonts w:ascii="Wingdings;sans-serif" w:hAnsi="Wingdings;sans-serif"/>
          <w:b w:val="false"/>
          <w:color w:val="000000"/>
          <w:sz w:val="18"/>
        </w:rPr>
        <w:t>x</w:t>
      </w:r>
      <w:r>
        <w:rPr>
          <w:color w:val="000000"/>
        </w:rPr>
        <w:t> </w:t>
      </w:r>
      <w:r>
        <w:rPr>
          <w:rFonts w:ascii="Times New Roman;sans-serif" w:hAnsi="Times New Roman;sans-serif"/>
          <w:b w:val="false"/>
          <w:color w:val="000000"/>
          <w:sz w:val="18"/>
        </w:rPr>
        <w:t>No</w:t>
      </w:r>
    </w:p>
    <w:p>
      <w:pPr>
        <w:pStyle w:val="TextBody"/>
        <w:bidi w:val="0"/>
        <w:spacing w:before="80" w:after="283"/>
        <w:jc w:val="left"/>
        <w:rPr/>
      </w:pPr>
      <w:r>
        <w:rPr/>
      </w:r>
    </w:p>
    <w:p>
      <w:pPr>
        <w:pStyle w:val="TextBody"/>
        <w:bidi w:val="0"/>
        <w:spacing w:before="80" w:after="283"/>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251460"/>
                <wp:effectExtent l="0" t="0" r="0" b="0"/>
                <wp:wrapNone/>
                <wp:docPr id="1" name="Frame1"/>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lineRule="auto" w:line="288" w:before="120" w:after="283"/>
        <w:jc w:val="left"/>
        <w:rPr/>
      </w:pPr>
      <w:hyperlink w:anchor="i69ee8b4d644242bf8ed471293c41640a_7">
        <w:r>
          <w:rPr>
            <w:rStyle w:val="InternetLink"/>
            <w:rFonts w:ascii="Times New Roman;sans-serif" w:hAnsi="Times New Roman;sans-serif"/>
            <w:b w:val="false"/>
            <w:color w:val="000080"/>
            <w:sz w:val="20"/>
            <w:u w:val="single"/>
          </w:rPr>
          <w:t xml:space="preserve">Table </w:t>
        </w:r>
      </w:hyperlink>
      <w:hyperlink w:anchor="i69ee8b4d644242bf8ed471293c41640a_7">
        <w:r>
          <w:rPr>
            <w:rStyle w:val="InternetLink"/>
            <w:rFonts w:ascii="Times New Roman;sans-serif" w:hAnsi="Times New Roman;sans-serif"/>
            <w:b w:val="false"/>
            <w:color w:val="000080"/>
            <w:sz w:val="20"/>
            <w:u w:val="single"/>
          </w:rPr>
          <w:t>of</w:t>
        </w:r>
      </w:hyperlink>
      <w:hyperlink w:anchor="i69ee8b4d644242bf8ed471293c41640a_7">
        <w:r>
          <w:rPr>
            <w:rStyle w:val="InternetLink"/>
            <w:rFonts w:ascii="Times New Roman;sans-serif" w:hAnsi="Times New Roman;sans-serif"/>
            <w:b w:val="false"/>
            <w:color w:val="000080"/>
            <w:sz w:val="20"/>
            <w:u w:val="single"/>
          </w:rPr>
          <w:t xml:space="preserve"> Contents</w:t>
        </w:r>
      </w:hyperlink>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EXPLANATORY NOTE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May 31, 2024, Summit Midstream Partners, LP (the “Partnership”) entered into an Agreement and Plan of Merger (the “Merger Agreement”) by and among Summit Midstream Corporation (“New Summit”), Summit SMC NewCo, LLC (“Merger Sub”), a wholly-owned subsidiary of New Summit, the Partnership and Summit Midstream GP, LLC, the general partner of the Partnership. Upon the terms and subject to the conditions set forth in the Merger Agreement, on August 1, 2024 (the closing date of the Corporate Reorganization, as defined below), Merger Sub merged with and into the Partnership, with the Partnership continuing as the surviving entity and a wholly-owned subsidiary of New Summit (the “Corporate Reorganization”). The Partnership remains a wholly-owned subsidiary of New Summit as of the date of this filing.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August 1, 2024, the New York Stock Exchange (“NYSE”) filed a Form 25-NSE with the U.S. Securities and Exchange Commission to remove the common units representing limited partner interests in the Partnership from listing on the NYSE. Following the filing of this Form 10-Q, the Partnership expects to file a Form 15 to suspend its remaining reporting obligations under the Securities Exchange Act of 1934, as amended. Unless otherwise specified herein, all information in this report is provided as of June 30, 2024.</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251460"/>
                <wp:effectExtent l="0" t="0" r="0" b="0"/>
                <wp:wrapNone/>
                <wp:docPr id="2" name="Frame2"/>
                <a:graphic xmlns:a="http://schemas.openxmlformats.org/drawingml/2006/main">
                  <a:graphicData uri="http://schemas.microsoft.com/office/word/2010/wordprocessingShape">
                    <wps:wsp>
                      <wps:cNvSpPr txBox="1"/>
                      <wps:spPr>
                        <a:xfrm>
                          <a:off x="0" y="0"/>
                          <a:ext cx="6480175" cy="251460"/>
                        </a:xfrm>
                        <a:prstGeom prst="rect"/>
                        <a:solidFill>
                          <a:srgbClr val="FFFFFF"/>
                        </a:solidFill>
                      </wps:spPr>
                      <wps:txbx>
                        <w:txbxContent>
                          <w:p>
                            <w:pPr>
                              <w:pStyle w:val="TextBody"/>
                              <w:bidi w:val="0"/>
                              <w:spacing w:before="120" w:after="283"/>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9.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20" w:after="283"/>
                        <w:jc w:val="left"/>
                        <w:rPr/>
                      </w:pPr>
                      <w:r>
                        <w:rPr/>
                      </w:r>
                    </w:p>
                  </w:txbxContent>
                </v:textbox>
                <w10:wrap type="none"/>
              </v:rect>
            </w:pict>
          </mc:Fallback>
        </mc:AlternateContent>
      </w:r>
    </w:p>
    <w:p>
      <w:pPr>
        <w:pStyle w:val="TextBody"/>
        <w:bidi w:val="0"/>
        <w:spacing w:lineRule="auto" w:line="288" w:before="120" w:after="283"/>
        <w:jc w:val="left"/>
        <w:rPr/>
      </w:pPr>
      <w:hyperlink w:anchor="i69ee8b4d644242bf8ed471293c41640a_7">
        <w:r>
          <w:rPr>
            <w:rStyle w:val="InternetLink"/>
            <w:rFonts w:ascii="Times New Roman;sans-serif" w:hAnsi="Times New Roman;sans-serif"/>
            <w:b w:val="false"/>
            <w:color w:val="000080"/>
            <w:sz w:val="20"/>
            <w:u w:val="single"/>
          </w:rPr>
          <w:t xml:space="preserve">Table </w:t>
        </w:r>
      </w:hyperlink>
      <w:hyperlink w:anchor="i69ee8b4d644242bf8ed471293c41640a_7">
        <w:r>
          <w:rPr>
            <w:rStyle w:val="InternetLink"/>
            <w:rFonts w:ascii="Times New Roman;sans-serif" w:hAnsi="Times New Roman;sans-serif"/>
            <w:b w:val="false"/>
            <w:color w:val="000080"/>
            <w:sz w:val="20"/>
            <w:u w:val="single"/>
          </w:rPr>
          <w:t>of</w:t>
        </w:r>
      </w:hyperlink>
      <w:hyperlink w:anchor="i69ee8b4d644242bf8ed471293c41640a_7">
        <w:r>
          <w:rPr>
            <w:rStyle w:val="InternetLink"/>
            <w:rFonts w:ascii="Times New Roman;sans-serif" w:hAnsi="Times New Roman;sans-serif"/>
            <w:b w:val="false"/>
            <w:color w:val="000080"/>
            <w:sz w:val="20"/>
            <w:u w:val="single"/>
          </w:rPr>
          <w:t xml:space="preserve"> Contents</w:t>
        </w:r>
      </w:hyperlink>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TABLE OF CONTENTS</w:t>
      </w:r>
    </w:p>
    <w:tbl>
      <w:tblPr>
        <w:tblW w:w="9663" w:type="dxa"/>
        <w:jc w:val="left"/>
        <w:tblInd w:w="0" w:type="dxa"/>
        <w:tblLayout w:type="fixed"/>
        <w:tblCellMar>
          <w:top w:w="28" w:type="dxa"/>
          <w:left w:w="28" w:type="dxa"/>
          <w:bottom w:w="28" w:type="dxa"/>
          <w:right w:w="28" w:type="dxa"/>
        </w:tblCellMar>
      </w:tblPr>
      <w:tblGrid>
        <w:gridCol w:w="683"/>
        <w:gridCol w:w="599"/>
        <w:gridCol w:w="599"/>
        <w:gridCol w:w="2456"/>
        <w:gridCol w:w="2456"/>
        <w:gridCol w:w="2498"/>
        <w:gridCol w:w="109"/>
        <w:gridCol w:w="109"/>
        <w:gridCol w:w="154"/>
      </w:tblGrid>
      <w:tr>
        <w:trPr/>
        <w:tc>
          <w:tcPr>
            <w:tcW w:w="683"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456" w:type="dxa"/>
            <w:tcBorders/>
            <w:vAlign w:val="center"/>
          </w:tcPr>
          <w:p>
            <w:pPr>
              <w:pStyle w:val="TableContents"/>
              <w:bidi w:val="0"/>
              <w:spacing w:before="0" w:after="283"/>
              <w:jc w:val="left"/>
              <w:rPr>
                <w:sz w:val="4"/>
                <w:szCs w:val="4"/>
              </w:rPr>
            </w:pPr>
            <w:r>
              <w:rPr>
                <w:sz w:val="4"/>
                <w:szCs w:val="4"/>
              </w:rPr>
            </w:r>
          </w:p>
        </w:tc>
        <w:tc>
          <w:tcPr>
            <w:tcW w:w="2456" w:type="dxa"/>
            <w:tcBorders/>
            <w:vAlign w:val="center"/>
          </w:tcPr>
          <w:p>
            <w:pPr>
              <w:pStyle w:val="TableContents"/>
              <w:bidi w:val="0"/>
              <w:spacing w:before="0" w:after="283"/>
              <w:jc w:val="left"/>
              <w:rPr>
                <w:sz w:val="4"/>
                <w:szCs w:val="4"/>
              </w:rPr>
            </w:pPr>
            <w:r>
              <w:rPr>
                <w:sz w:val="4"/>
                <w:szCs w:val="4"/>
              </w:rPr>
            </w:r>
          </w:p>
        </w:tc>
        <w:tc>
          <w:tcPr>
            <w:tcW w:w="2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291" w:type="dxa"/>
            <w:gridSpan w:val="6"/>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69ee8b4d644242bf8ed471293c41640a_10">
              <w:r>
                <w:rPr>
                  <w:rStyle w:val="InternetLink"/>
                  <w:rFonts w:ascii="Times New Roman;sans-serif" w:hAnsi="Times New Roman;sans-serif"/>
                  <w:b w:val="false"/>
                  <w:color w:val="0000FF"/>
                  <w:sz w:val="20"/>
                  <w:u w:val="single"/>
                </w:rPr>
                <w:t>COMMONLY USED OR DEFINED TERMS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9ee8b4d644242bf8ed471293c41640a_10">
              <w:r>
                <w:rPr>
                  <w:rStyle w:val="InternetLink"/>
                  <w:rFonts w:ascii="Times New Roman;sans-serif" w:hAnsi="Times New Roman;sans-serif"/>
                  <w:b w:val="false"/>
                  <w:color w:val="0000FF"/>
                  <w:sz w:val="20"/>
                  <w:u w:val="single"/>
                </w:rPr>
                <w:t>2</w:t>
              </w:r>
            </w:hyperlink>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9ee8b4d644242bf8ed471293c41640a_13">
              <w:r>
                <w:rPr>
                  <w:rStyle w:val="InternetLink"/>
                  <w:rFonts w:ascii="Times New Roman;sans-serif" w:hAnsi="Times New Roman;sans-serif"/>
                  <w:b w:val="false"/>
                  <w:color w:val="0000FF"/>
                  <w:sz w:val="20"/>
                  <w:u w:val="single"/>
                </w:rPr>
                <w:t>PART I</w:t>
              </w:r>
            </w:hyperlink>
          </w:p>
        </w:tc>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9ee8b4d644242bf8ed471293c41640a_13">
              <w:r>
                <w:rPr>
                  <w:rStyle w:val="InternetLink"/>
                  <w:rFonts w:ascii="Times New Roman;sans-serif" w:hAnsi="Times New Roman;sans-serif"/>
                  <w:b w:val="false"/>
                  <w:color w:val="0000FF"/>
                  <w:sz w:val="20"/>
                  <w:u w:val="single"/>
                </w:rPr>
                <w:t>FINANCIAL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9ee8b4d644242bf8ed471293c41640a_16">
              <w:r>
                <w:rPr>
                  <w:rStyle w:val="InternetLink"/>
                  <w:rFonts w:ascii="Times New Roman;sans-serif" w:hAnsi="Times New Roman;sans-serif"/>
                  <w:b w:val="false"/>
                  <w:strike w:val="false"/>
                  <w:dstrike w:val="false"/>
                  <w:color w:val="000000"/>
                  <w:sz w:val="20"/>
                  <w:u w:val="none"/>
                  <w:effect w:val="none"/>
                </w:rPr>
                <w:t>Item 1.</w:t>
              </w:r>
            </w:hyperlink>
          </w:p>
        </w:tc>
        <w:tc>
          <w:tcPr>
            <w:tcW w:w="7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9ee8b4d644242bf8ed471293c41640a_16">
              <w:r>
                <w:rPr>
                  <w:rStyle w:val="InternetLink"/>
                  <w:rFonts w:ascii="Times New Roman;sans-serif" w:hAnsi="Times New Roman;sans-serif"/>
                  <w:b w:val="false"/>
                  <w:color w:val="0000FF"/>
                  <w:sz w:val="20"/>
                  <w:u w:val="single"/>
                </w:rPr>
                <w:t>Financial Statements.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9ee8b4d644242bf8ed471293c41640a_19">
              <w:r>
                <w:rPr>
                  <w:rStyle w:val="InternetLink"/>
                  <w:rFonts w:ascii="Times New Roman;sans-serif" w:hAnsi="Times New Roman;sans-serif"/>
                  <w:b w:val="false"/>
                  <w:color w:val="0000FF"/>
                  <w:sz w:val="20"/>
                  <w:u w:val="single"/>
                </w:rPr>
                <w:t>Unaudited Condensed Consolidated Balance Sheets.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9ee8b4d644242bf8ed471293c41640a_19">
              <w:r>
                <w:rPr>
                  <w:rStyle w:val="InternetLink"/>
                  <w:rFonts w:ascii="Times New Roman;sans-serif" w:hAnsi="Times New Roman;sans-serif"/>
                  <w:b w:val="false"/>
                  <w:color w:val="0000FF"/>
                  <w:sz w:val="20"/>
                  <w:u w:val="single"/>
                </w:rPr>
                <w:t>6</w:t>
              </w:r>
            </w:hyperlink>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9ee8b4d644242bf8ed471293c41640a_22">
              <w:r>
                <w:rPr>
                  <w:rStyle w:val="InternetLink"/>
                  <w:rFonts w:ascii="Times New Roman;sans-serif" w:hAnsi="Times New Roman;sans-serif"/>
                  <w:b w:val="false"/>
                  <w:color w:val="0000FF"/>
                  <w:sz w:val="20"/>
                  <w:u w:val="single"/>
                </w:rPr>
                <w:t>Unaudited Condensed Consolidated Statements of Operations.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9ee8b4d644242bf8ed471293c41640a_22">
              <w:r>
                <w:rPr>
                  <w:rStyle w:val="InternetLink"/>
                  <w:rFonts w:ascii="Times New Roman;sans-serif" w:hAnsi="Times New Roman;sans-serif"/>
                  <w:b w:val="false"/>
                  <w:color w:val="0000FF"/>
                  <w:sz w:val="20"/>
                  <w:u w:val="single"/>
                </w:rPr>
                <w:t>7</w:t>
              </w:r>
            </w:hyperlink>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9ee8b4d644242bf8ed471293c41640a_25">
              <w:r>
                <w:rPr>
                  <w:rStyle w:val="InternetLink"/>
                  <w:rFonts w:ascii="Times New Roman;sans-serif" w:hAnsi="Times New Roman;sans-serif"/>
                  <w:b w:val="false"/>
                  <w:color w:val="0000FF"/>
                  <w:sz w:val="20"/>
                  <w:u w:val="single"/>
                </w:rPr>
                <w:t>Unaudited Condensed Consolidated Statements of Partners' Capital.</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9ee8b4d644242bf8ed471293c41640a_25">
              <w:r>
                <w:rPr>
                  <w:rStyle w:val="InternetLink"/>
                  <w:rFonts w:ascii="Times New Roman;sans-serif" w:hAnsi="Times New Roman;sans-serif"/>
                  <w:b w:val="false"/>
                  <w:color w:val="0000FF"/>
                  <w:sz w:val="20"/>
                  <w:u w:val="single"/>
                </w:rPr>
                <w:t>8</w:t>
              </w:r>
            </w:hyperlink>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9ee8b4d644242bf8ed471293c41640a_28">
              <w:r>
                <w:rPr>
                  <w:rStyle w:val="InternetLink"/>
                  <w:rFonts w:ascii="Times New Roman;sans-serif" w:hAnsi="Times New Roman;sans-serif"/>
                  <w:b w:val="false"/>
                  <w:color w:val="0000FF"/>
                  <w:sz w:val="20"/>
                  <w:u w:val="single"/>
                </w:rPr>
                <w:t>Unaudited Condensed Consolidated Statements of Cash Flows.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9ee8b4d644242bf8ed471293c41640a_28">
              <w:r>
                <w:rPr>
                  <w:rStyle w:val="InternetLink"/>
                  <w:rFonts w:ascii="Times New Roman;sans-serif" w:hAnsi="Times New Roman;sans-serif"/>
                  <w:b w:val="false"/>
                  <w:color w:val="0000FF"/>
                  <w:sz w:val="20"/>
                  <w:u w:val="single"/>
                </w:rPr>
                <w:t>9</w:t>
              </w:r>
            </w:hyperlink>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9ee8b4d644242bf8ed471293c41640a_31">
              <w:r>
                <w:rPr>
                  <w:rStyle w:val="InternetLink"/>
                  <w:rFonts w:ascii="Times New Roman;sans-serif" w:hAnsi="Times New Roman;sans-serif"/>
                  <w:b w:val="false"/>
                  <w:color w:val="0000FF"/>
                  <w:sz w:val="20"/>
                  <w:u w:val="single"/>
                </w:rPr>
                <w:t>Notes to Unaudited Condensed Consolidated Financial Statements</w:t>
              </w:r>
            </w:hyperlink>
            <w:r>
              <w:rPr>
                <w:rFonts w:ascii="Times New Roman;sans-serif" w:hAnsi="Times New Roman;sans-serif"/>
                <w:b w:val="false"/>
                <w:color w:val="000000"/>
                <w:sz w:val="20"/>
              </w:rPr>
              <w:t>.</w:t>
            </w:r>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9ee8b4d644242bf8ed471293c41640a_31">
              <w:r>
                <w:rPr>
                  <w:rStyle w:val="InternetLink"/>
                  <w:rFonts w:ascii="Times New Roman;sans-serif" w:hAnsi="Times New Roman;sans-serif"/>
                  <w:b w:val="false"/>
                  <w:color w:val="0000FF"/>
                  <w:sz w:val="20"/>
                  <w:u w:val="single"/>
                </w:rPr>
                <w:t>10</w:t>
              </w:r>
            </w:hyperlink>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9ee8b4d644242bf8ed471293c41640a_88">
              <w:r>
                <w:rPr>
                  <w:rStyle w:val="InternetLink"/>
                  <w:rFonts w:ascii="Times New Roman;sans-serif" w:hAnsi="Times New Roman;sans-serif"/>
                  <w:b w:val="false"/>
                  <w:strike w:val="false"/>
                  <w:dstrike w:val="false"/>
                  <w:color w:val="000000"/>
                  <w:sz w:val="20"/>
                  <w:u w:val="none"/>
                  <w:effect w:val="none"/>
                </w:rPr>
                <w:t>Item 2.</w:t>
              </w:r>
            </w:hyperlink>
          </w:p>
        </w:tc>
        <w:tc>
          <w:tcPr>
            <w:tcW w:w="7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9ee8b4d644242bf8ed471293c41640a_88">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9ee8b4d644242bf8ed471293c41640a_88">
              <w:r>
                <w:rPr>
                  <w:rStyle w:val="InternetLink"/>
                  <w:rFonts w:ascii="Times New Roman;sans-serif" w:hAnsi="Times New Roman;sans-serif"/>
                  <w:b w:val="false"/>
                  <w:color w:val="0000FF"/>
                  <w:sz w:val="20"/>
                  <w:u w:val="single"/>
                </w:rPr>
                <w:t>26</w:t>
              </w:r>
            </w:hyperlink>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9ee8b4d644242bf8ed471293c41640a_157">
              <w:r>
                <w:rPr>
                  <w:rStyle w:val="InternetLink"/>
                  <w:rFonts w:ascii="Times New Roman;sans-serif" w:hAnsi="Times New Roman;sans-serif"/>
                  <w:b w:val="false"/>
                  <w:strike w:val="false"/>
                  <w:dstrike w:val="false"/>
                  <w:color w:val="000000"/>
                  <w:sz w:val="20"/>
                  <w:u w:val="none"/>
                  <w:effect w:val="none"/>
                </w:rPr>
                <w:t>Item 3.</w:t>
              </w:r>
            </w:hyperlink>
          </w:p>
        </w:tc>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9ee8b4d644242bf8ed471293c41640a_157">
              <w:r>
                <w:rPr>
                  <w:rStyle w:val="InternetLink"/>
                  <w:rFonts w:ascii="Times New Roman;sans-serif" w:hAnsi="Times New Roman;sans-serif"/>
                  <w:b w:val="false"/>
                  <w:color w:val="0000FF"/>
                  <w:sz w:val="20"/>
                  <w:u w:val="single"/>
                </w:rPr>
                <w:t>Quantitative and Qualitative Disclosures about Market Risk.</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9ee8b4d644242bf8ed471293c41640a_157">
              <w:r>
                <w:rPr>
                  <w:rStyle w:val="InternetLink"/>
                  <w:rFonts w:ascii="Times New Roman;sans-serif" w:hAnsi="Times New Roman;sans-serif"/>
                  <w:b w:val="false"/>
                  <w:color w:val="0000FF"/>
                  <w:sz w:val="20"/>
                  <w:u w:val="single"/>
                </w:rPr>
                <w:t>47</w:t>
              </w:r>
            </w:hyperlink>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9ee8b4d644242bf8ed471293c41640a_160">
              <w:r>
                <w:rPr>
                  <w:rStyle w:val="InternetLink"/>
                  <w:rFonts w:ascii="Times New Roman;sans-serif" w:hAnsi="Times New Roman;sans-serif"/>
                  <w:b w:val="false"/>
                  <w:strike w:val="false"/>
                  <w:dstrike w:val="false"/>
                  <w:color w:val="000000"/>
                  <w:sz w:val="20"/>
                  <w:u w:val="none"/>
                  <w:effect w:val="none"/>
                </w:rPr>
                <w:t>Item 4.</w:t>
              </w:r>
            </w:hyperlink>
          </w:p>
        </w:tc>
        <w:tc>
          <w:tcPr>
            <w:tcW w:w="7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9ee8b4d644242bf8ed471293c41640a_160">
              <w:r>
                <w:rPr>
                  <w:rStyle w:val="InternetLink"/>
                  <w:rFonts w:ascii="Times New Roman;sans-serif" w:hAnsi="Times New Roman;sans-serif"/>
                  <w:b w:val="false"/>
                  <w:color w:val="0000FF"/>
                  <w:sz w:val="20"/>
                  <w:u w:val="single"/>
                </w:rPr>
                <w:t>Controls and Procedures.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9ee8b4d644242bf8ed471293c41640a_160">
              <w:r>
                <w:rPr>
                  <w:rStyle w:val="InternetLink"/>
                  <w:rFonts w:ascii="Times New Roman;sans-serif" w:hAnsi="Times New Roman;sans-serif"/>
                  <w:b w:val="false"/>
                  <w:color w:val="0000FF"/>
                  <w:sz w:val="20"/>
                  <w:u w:val="single"/>
                </w:rPr>
                <w:t>47</w:t>
              </w:r>
            </w:hyperlink>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9ee8b4d644242bf8ed471293c41640a_163">
              <w:r>
                <w:rPr>
                  <w:rStyle w:val="InternetLink"/>
                  <w:rFonts w:ascii="Times New Roman;sans-serif" w:hAnsi="Times New Roman;sans-serif"/>
                  <w:b w:val="false"/>
                  <w:color w:val="0000FF"/>
                  <w:sz w:val="20"/>
                  <w:u w:val="single"/>
                </w:rPr>
                <w:t>PART II</w:t>
              </w:r>
            </w:hyperlink>
          </w:p>
        </w:tc>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9ee8b4d644242bf8ed471293c41640a_163">
              <w:r>
                <w:rPr>
                  <w:rStyle w:val="InternetLink"/>
                  <w:rFonts w:ascii="Times New Roman;sans-serif" w:hAnsi="Times New Roman;sans-serif"/>
                  <w:b w:val="false"/>
                  <w:color w:val="0000FF"/>
                  <w:sz w:val="20"/>
                  <w:u w:val="single"/>
                </w:rPr>
                <w:t>OTHER INFORMATION</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9ee8b4d644242bf8ed471293c41640a_163">
              <w:r>
                <w:rPr>
                  <w:rStyle w:val="InternetLink"/>
                  <w:rFonts w:ascii="Times New Roman;sans-serif" w:hAnsi="Times New Roman;sans-serif"/>
                  <w:b w:val="false"/>
                  <w:color w:val="0000FF"/>
                  <w:sz w:val="20"/>
                  <w:u w:val="single"/>
                </w:rPr>
                <w:t>48</w:t>
              </w:r>
            </w:hyperlink>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9ee8b4d644242bf8ed471293c41640a_166">
              <w:r>
                <w:rPr>
                  <w:rStyle w:val="InternetLink"/>
                  <w:rFonts w:ascii="Times New Roman;sans-serif" w:hAnsi="Times New Roman;sans-serif"/>
                  <w:b w:val="false"/>
                  <w:strike w:val="false"/>
                  <w:dstrike w:val="false"/>
                  <w:color w:val="000000"/>
                  <w:sz w:val="20"/>
                  <w:u w:val="none"/>
                  <w:effect w:val="none"/>
                </w:rPr>
                <w:t>Item 1.</w:t>
              </w:r>
            </w:hyperlink>
          </w:p>
        </w:tc>
        <w:tc>
          <w:tcPr>
            <w:tcW w:w="7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9ee8b4d644242bf8ed471293c41640a_166">
              <w:r>
                <w:rPr>
                  <w:rStyle w:val="InternetLink"/>
                  <w:rFonts w:ascii="Times New Roman;sans-serif" w:hAnsi="Times New Roman;sans-serif"/>
                  <w:b w:val="false"/>
                  <w:color w:val="0000FF"/>
                  <w:sz w:val="20"/>
                  <w:u w:val="single"/>
                </w:rPr>
                <w:t>Legal Proceedings.</w:t>
              </w:r>
            </w:hyperlink>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9ee8b4d644242bf8ed471293c41640a_166">
              <w:r>
                <w:rPr>
                  <w:rStyle w:val="InternetLink"/>
                  <w:rFonts w:ascii="Times New Roman;sans-serif" w:hAnsi="Times New Roman;sans-serif"/>
                  <w:b w:val="false"/>
                  <w:color w:val="0000FF"/>
                  <w:sz w:val="20"/>
                  <w:u w:val="single"/>
                </w:rPr>
                <w:t>48</w:t>
              </w:r>
            </w:hyperlink>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9ee8b4d644242bf8ed471293c41640a_169">
              <w:r>
                <w:rPr>
                  <w:rStyle w:val="InternetLink"/>
                  <w:rFonts w:ascii="Times New Roman;sans-serif" w:hAnsi="Times New Roman;sans-serif"/>
                  <w:b w:val="false"/>
                  <w:strike w:val="false"/>
                  <w:dstrike w:val="false"/>
                  <w:color w:val="000000"/>
                  <w:sz w:val="20"/>
                  <w:u w:val="none"/>
                  <w:effect w:val="none"/>
                </w:rPr>
                <w:t>Item 1A.</w:t>
              </w:r>
            </w:hyperlink>
          </w:p>
        </w:tc>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9ee8b4d644242bf8ed471293c41640a_169">
              <w:r>
                <w:rPr>
                  <w:rStyle w:val="InternetLink"/>
                  <w:rFonts w:ascii="Times New Roman;sans-serif" w:hAnsi="Times New Roman;sans-serif"/>
                  <w:b w:val="false"/>
                  <w:color w:val="0000FF"/>
                  <w:sz w:val="20"/>
                  <w:u w:val="single"/>
                </w:rPr>
                <w:t>Risk Factors.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9ee8b4d644242bf8ed471293c41640a_169">
              <w:r>
                <w:rPr>
                  <w:rStyle w:val="InternetLink"/>
                  <w:rFonts w:ascii="Times New Roman;sans-serif" w:hAnsi="Times New Roman;sans-serif"/>
                  <w:b w:val="false"/>
                  <w:color w:val="0000FF"/>
                  <w:sz w:val="20"/>
                  <w:u w:val="single"/>
                </w:rPr>
                <w:t>48</w:t>
              </w:r>
            </w:hyperlink>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9ee8b4d644242bf8ed471293c41640a_172">
              <w:r>
                <w:rPr>
                  <w:rStyle w:val="InternetLink"/>
                  <w:rFonts w:ascii="Times New Roman;sans-serif" w:hAnsi="Times New Roman;sans-serif"/>
                  <w:b w:val="false"/>
                  <w:strike w:val="false"/>
                  <w:dstrike w:val="false"/>
                  <w:color w:val="000000"/>
                  <w:sz w:val="20"/>
                  <w:u w:val="none"/>
                  <w:effect w:val="none"/>
                </w:rPr>
                <w:t>Item 5.</w:t>
              </w:r>
            </w:hyperlink>
          </w:p>
        </w:tc>
        <w:tc>
          <w:tcPr>
            <w:tcW w:w="7410"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hyperlink w:anchor="i69ee8b4d644242bf8ed471293c41640a_172">
              <w:r>
                <w:rPr>
                  <w:rStyle w:val="InternetLink"/>
                  <w:rFonts w:ascii="Times New Roman;sans-serif" w:hAnsi="Times New Roman;sans-serif"/>
                  <w:b w:val="false"/>
                  <w:color w:val="0000FF"/>
                  <w:sz w:val="20"/>
                  <w:u w:val="single"/>
                </w:rPr>
                <w:t>Other Information</w:t>
              </w:r>
            </w:hyperlink>
            <w:r>
              <w:rPr>
                <w:rFonts w:ascii="Times New Roman;sans-serif" w:hAnsi="Times New Roman;sans-serif"/>
                <w:b w:val="false"/>
                <w:color w:val="000000"/>
                <w:sz w:val="20"/>
              </w:rPr>
              <w:t>.</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pPr>
            <w:hyperlink w:anchor="i69ee8b4d644242bf8ed471293c41640a_172">
              <w:r>
                <w:rPr>
                  <w:rStyle w:val="InternetLink"/>
                  <w:rFonts w:ascii="Times New Roman;sans-serif" w:hAnsi="Times New Roman;sans-serif"/>
                  <w:b w:val="false"/>
                  <w:color w:val="0000FF"/>
                  <w:sz w:val="20"/>
                  <w:u w:val="single"/>
                </w:rPr>
                <w:t>49</w:t>
              </w:r>
            </w:hyperlink>
          </w:p>
        </w:tc>
      </w:tr>
      <w:tr>
        <w:trPr/>
        <w:tc>
          <w:tcPr>
            <w:tcW w:w="188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9ee8b4d644242bf8ed471293c41640a_175">
              <w:r>
                <w:rPr>
                  <w:rStyle w:val="InternetLink"/>
                  <w:rFonts w:ascii="Times New Roman;sans-serif" w:hAnsi="Times New Roman;sans-serif"/>
                  <w:b w:val="false"/>
                  <w:strike w:val="false"/>
                  <w:dstrike w:val="false"/>
                  <w:color w:val="000000"/>
                  <w:sz w:val="20"/>
                  <w:u w:val="none"/>
                  <w:effect w:val="none"/>
                </w:rPr>
                <w:t>Item 6.</w:t>
              </w:r>
            </w:hyperlink>
          </w:p>
        </w:tc>
        <w:tc>
          <w:tcPr>
            <w:tcW w:w="741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9ee8b4d644242bf8ed471293c41640a_175">
              <w:r>
                <w:rPr>
                  <w:rStyle w:val="InternetLink"/>
                  <w:rFonts w:ascii="Times New Roman;sans-serif" w:hAnsi="Times New Roman;sans-serif"/>
                  <w:b w:val="false"/>
                  <w:color w:val="0000FF"/>
                  <w:sz w:val="20"/>
                  <w:u w:val="single"/>
                </w:rPr>
                <w:t>Exhibits.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9ee8b4d644242bf8ed471293c41640a_175">
              <w:r>
                <w:rPr>
                  <w:rStyle w:val="InternetLink"/>
                  <w:rFonts w:ascii="Times New Roman;sans-serif" w:hAnsi="Times New Roman;sans-serif"/>
                  <w:b w:val="false"/>
                  <w:color w:val="0000FF"/>
                  <w:sz w:val="20"/>
                  <w:u w:val="single"/>
                </w:rPr>
                <w:t>49</w:t>
              </w:r>
            </w:hyperlink>
          </w:p>
        </w:tc>
      </w:tr>
      <w:tr>
        <w:trPr/>
        <w:tc>
          <w:tcPr>
            <w:tcW w:w="18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91" w:type="dxa"/>
            <w:gridSpan w:val="6"/>
            <w:tcBorders/>
            <w:shd w:fill="CCEEFF" w:val="clear"/>
            <w:tcMar>
              <w:top w:w="0" w:type="dxa"/>
              <w:left w:w="0" w:type="dxa"/>
              <w:bottom w:w="0" w:type="dxa"/>
              <w:right w:w="0" w:type="dxa"/>
            </w:tcMar>
            <w:vAlign w:val="center"/>
          </w:tcPr>
          <w:p>
            <w:pPr>
              <w:pStyle w:val="TableContents"/>
              <w:bidi w:val="0"/>
              <w:spacing w:lineRule="auto" w:line="288" w:before="0" w:after="0"/>
              <w:jc w:val="left"/>
              <w:rPr/>
            </w:pPr>
            <w:hyperlink w:anchor="i69ee8b4d644242bf8ed471293c41640a_178">
              <w:r>
                <w:rPr>
                  <w:rStyle w:val="InternetLink"/>
                  <w:rFonts w:ascii="Times New Roman;sans-serif" w:hAnsi="Times New Roman;sans-serif"/>
                  <w:b w:val="false"/>
                  <w:color w:val="0000FF"/>
                  <w:sz w:val="20"/>
                  <w:u w:val="single"/>
                </w:rPr>
                <w:t>SIGNATURES</w:t>
              </w:r>
            </w:hyperlink>
          </w:p>
        </w:tc>
        <w:tc>
          <w:tcPr>
            <w:tcW w:w="37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pPr>
            <w:hyperlink w:anchor="i69ee8b4d644242bf8ed471293c41640a_178">
              <w:r>
                <w:rPr>
                  <w:rStyle w:val="InternetLink"/>
                  <w:rFonts w:ascii="Times New Roman;sans-serif" w:hAnsi="Times New Roman;sans-serif"/>
                  <w:b w:val="false"/>
                  <w:color w:val="0000FF"/>
                  <w:sz w:val="20"/>
                  <w:u w:val="single"/>
                </w:rPr>
                <w:t>51</w:t>
              </w:r>
            </w:hyperlink>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222885"/>
                <wp:effectExtent l="0" t="0" r="0" b="0"/>
                <wp:wrapNone/>
                <wp:docPr id="3" name="Frame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120" w:after="283"/>
        <w:jc w:val="left"/>
        <w:rPr/>
      </w:pPr>
      <w:hyperlink w:anchor="i69ee8b4d644242bf8ed471293c41640a_7">
        <w:r>
          <w:rPr>
            <w:rStyle w:val="InternetLink"/>
            <w:rFonts w:ascii="Times New Roman;sans-serif" w:hAnsi="Times New Roman;sans-serif"/>
            <w:b w:val="false"/>
            <w:color w:val="000080"/>
            <w:sz w:val="20"/>
            <w:u w:val="single"/>
          </w:rPr>
          <w:t xml:space="preserve">Table </w:t>
        </w:r>
      </w:hyperlink>
      <w:hyperlink w:anchor="i69ee8b4d644242bf8ed471293c41640a_7">
        <w:r>
          <w:rPr>
            <w:rStyle w:val="InternetLink"/>
            <w:rFonts w:ascii="Times New Roman;sans-serif" w:hAnsi="Times New Roman;sans-serif"/>
            <w:b w:val="false"/>
            <w:color w:val="000080"/>
            <w:sz w:val="20"/>
            <w:u w:val="single"/>
          </w:rPr>
          <w:t>of</w:t>
        </w:r>
      </w:hyperlink>
      <w:hyperlink w:anchor="i69ee8b4d644242bf8ed471293c41640a_7">
        <w:r>
          <w:rPr>
            <w:rStyle w:val="InternetLink"/>
            <w:rFonts w:ascii="Times New Roman;sans-serif" w:hAnsi="Times New Roman;sans-serif"/>
            <w:b w:val="false"/>
            <w:color w:val="000080"/>
            <w:sz w:val="20"/>
            <w:u w:val="single"/>
          </w:rPr>
          <w:t xml:space="preserve"> Contents</w:t>
        </w:r>
      </w:hyperlink>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COMMONLY USED OR DEFINED TERMS</w:t>
      </w:r>
    </w:p>
    <w:tbl>
      <w:tblPr>
        <w:tblW w:w="10205" w:type="dxa"/>
        <w:jc w:val="left"/>
        <w:tblInd w:w="0" w:type="dxa"/>
        <w:tblLayout w:type="fixed"/>
        <w:tblCellMar>
          <w:top w:w="28" w:type="dxa"/>
          <w:left w:w="28" w:type="dxa"/>
          <w:bottom w:w="28" w:type="dxa"/>
          <w:right w:w="28" w:type="dxa"/>
        </w:tblCellMar>
      </w:tblPr>
      <w:tblGrid>
        <w:gridCol w:w="846"/>
        <w:gridCol w:w="387"/>
        <w:gridCol w:w="390"/>
        <w:gridCol w:w="2855"/>
        <w:gridCol w:w="2365"/>
        <w:gridCol w:w="3362"/>
      </w:tblGrid>
      <w:tr>
        <w:trPr/>
        <w:tc>
          <w:tcPr>
            <w:tcW w:w="846"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2855" w:type="dxa"/>
            <w:tcBorders/>
            <w:vAlign w:val="center"/>
          </w:tcPr>
          <w:p>
            <w:pPr>
              <w:pStyle w:val="TableContents"/>
              <w:bidi w:val="0"/>
              <w:spacing w:before="0" w:after="283"/>
              <w:jc w:val="left"/>
              <w:rPr>
                <w:sz w:val="4"/>
                <w:szCs w:val="4"/>
              </w:rPr>
            </w:pPr>
            <w:r>
              <w:rPr>
                <w:sz w:val="4"/>
                <w:szCs w:val="4"/>
              </w:rPr>
            </w:r>
          </w:p>
        </w:tc>
        <w:tc>
          <w:tcPr>
            <w:tcW w:w="2365" w:type="dxa"/>
            <w:tcBorders/>
            <w:vAlign w:val="center"/>
          </w:tcPr>
          <w:p>
            <w:pPr>
              <w:pStyle w:val="TableContents"/>
              <w:bidi w:val="0"/>
              <w:spacing w:before="0" w:after="283"/>
              <w:jc w:val="left"/>
              <w:rPr>
                <w:sz w:val="4"/>
                <w:szCs w:val="4"/>
              </w:rPr>
            </w:pPr>
            <w:r>
              <w:rPr>
                <w:sz w:val="4"/>
                <w:szCs w:val="4"/>
              </w:rPr>
            </w:r>
          </w:p>
        </w:tc>
        <w:tc>
          <w:tcPr>
            <w:tcW w:w="3362" w:type="dxa"/>
            <w:tcBorders/>
            <w:vAlign w:val="center"/>
          </w:tcPr>
          <w:p>
            <w:pPr>
              <w:pStyle w:val="TableContents"/>
              <w:bidi w:val="0"/>
              <w:spacing w:before="0" w:after="283"/>
              <w:jc w:val="left"/>
              <w:rPr>
                <w:sz w:val="4"/>
                <w:szCs w:val="4"/>
              </w:rPr>
            </w:pPr>
            <w:r>
              <w:rPr>
                <w:sz w:val="4"/>
                <w:szCs w:val="4"/>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8582" w:type="dxa"/>
            <w:gridSpan w:val="3"/>
            <w:tcBorders/>
            <w:vAlign w:val="center"/>
          </w:tcPr>
          <w:p>
            <w:pPr>
              <w:pStyle w:val="TableContents"/>
              <w:bidi w:val="0"/>
              <w:spacing w:before="0" w:after="283"/>
              <w:jc w:val="left"/>
              <w:rPr>
                <w:sz w:val="4"/>
                <w:szCs w:val="4"/>
              </w:rPr>
            </w:pPr>
            <w:r>
              <w:rPr>
                <w:sz w:val="4"/>
                <w:szCs w:val="4"/>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2015 Blacktail Release</w:t>
            </w:r>
          </w:p>
        </w:tc>
        <w:tc>
          <w:tcPr>
            <w:tcW w:w="85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2015 rupture of our four-inch produced water gathering pipeline near Williston, North Dakota</w:t>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2022 DJ Acquisitions</w:t>
            </w:r>
          </w:p>
        </w:tc>
        <w:tc>
          <w:tcPr>
            <w:tcW w:w="85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acquisition of Outrigger DJ Midstream LLC from Outrigger Energy II LLC, and each of Sterling Energy Investments LLC, Grasslands Energy Marketing LLC and Centennial Water Pipelines LLC from Sterling Investment Holdings LLC</w:t>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Senior Notes</w:t>
            </w:r>
          </w:p>
        </w:tc>
        <w:tc>
          <w:tcPr>
            <w:tcW w:w="85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Summit Holdings' and Finance Corp.’s 5.75% senior unsecured notes due April 2025</w:t>
            </w:r>
          </w:p>
          <w:p>
            <w:pPr>
              <w:pStyle w:val="TableContents"/>
              <w:bidi w:val="0"/>
              <w:spacing w:before="0" w:after="0"/>
              <w:jc w:val="left"/>
              <w:rPr/>
            </w:pPr>
            <w:r>
              <w:rPr/>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8582" w:type="dxa"/>
            <w:gridSpan w:val="3"/>
            <w:tcBorders/>
            <w:vAlign w:val="center"/>
          </w:tcPr>
          <w:p>
            <w:pPr>
              <w:pStyle w:val="TableContents"/>
              <w:bidi w:val="0"/>
              <w:spacing w:before="0" w:after="283"/>
              <w:jc w:val="left"/>
              <w:rPr>
                <w:sz w:val="4"/>
                <w:szCs w:val="4"/>
              </w:rPr>
            </w:pPr>
            <w:r>
              <w:rPr>
                <w:sz w:val="4"/>
                <w:szCs w:val="4"/>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Secured Notes</w:t>
            </w:r>
          </w:p>
        </w:tc>
        <w:tc>
          <w:tcPr>
            <w:tcW w:w="85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Holdings' and Finance Corp.’s 8.500% senior secured second lien notes due October 2026</w:t>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Secured Notes Indenture</w:t>
            </w:r>
          </w:p>
        </w:tc>
        <w:tc>
          <w:tcPr>
            <w:tcW w:w="8582" w:type="dxa"/>
            <w:gridSpan w:val="3"/>
            <w:tcBorders/>
            <w:shd w:fill="CCEE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Indenture, dated as of November 2, 2021, by and among Summit Holdings, Finance Corp., the guarantors party thereto and Regions Bank, as trustee</w:t>
            </w:r>
          </w:p>
          <w:p>
            <w:pPr>
              <w:pStyle w:val="TableContents"/>
              <w:bidi w:val="0"/>
              <w:spacing w:before="0" w:after="0"/>
              <w:jc w:val="left"/>
              <w:rPr/>
            </w:pPr>
            <w:r>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Unsecured Notes</w:t>
            </w:r>
          </w:p>
        </w:tc>
        <w:tc>
          <w:tcPr>
            <w:tcW w:w="858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Summit Holdings’ and Finance Corp.’s 12.00% senior unsecured notes due October 2026</w:t>
            </w:r>
          </w:p>
          <w:p>
            <w:pPr>
              <w:pStyle w:val="TableContents"/>
              <w:bidi w:val="0"/>
              <w:spacing w:before="0" w:after="0"/>
              <w:jc w:val="left"/>
              <w:rPr/>
            </w:pPr>
            <w:r>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2029 Notes</w:t>
            </w:r>
          </w:p>
        </w:tc>
        <w:tc>
          <w:tcPr>
            <w:tcW w:w="8582" w:type="dxa"/>
            <w:gridSpan w:val="3"/>
            <w:tcBorders/>
            <w:shd w:fill="CCEEFF" w:val="clear"/>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Holdings’ 8.625% Senior Secured Second Lien Notes due October 2029</w:t>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ABL Agreement</w:t>
            </w:r>
          </w:p>
        </w:tc>
        <w:tc>
          <w:tcPr>
            <w:tcW w:w="858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Loan and Security Agreement, dated as of November 2, 2021, among Summit Holdings, as borrower, SMLP and certain subsidiaries from time to time party thereto, as guarantors, Bank of America, N.A., as agent, ING Capital LLC, Royal Bank of Canada and Regions Bank, as co-syndication agents, and Bank of America, N.A., ING Capital LLC, RBC Capital Markets and Regions Capital Markets, as joint lead arrangers and joint bookrunners</w:t>
            </w:r>
          </w:p>
          <w:p>
            <w:pPr>
              <w:pStyle w:val="TableContents"/>
              <w:bidi w:val="0"/>
              <w:spacing w:before="0" w:after="0"/>
              <w:jc w:val="left"/>
              <w:rPr/>
            </w:pPr>
            <w:r>
              <w:rPr/>
            </w:r>
          </w:p>
          <w:p>
            <w:pPr>
              <w:pStyle w:val="TableContents"/>
              <w:bidi w:val="0"/>
              <w:spacing w:before="0" w:after="0"/>
              <w:jc w:val="left"/>
              <w:rPr/>
            </w:pPr>
            <w:r>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ABL Facility</w:t>
            </w:r>
          </w:p>
        </w:tc>
        <w:tc>
          <w:tcPr>
            <w:tcW w:w="85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asset-based lending credit facility governed by the ABL Agreement</w:t>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ASU</w:t>
            </w:r>
          </w:p>
        </w:tc>
        <w:tc>
          <w:tcPr>
            <w:tcW w:w="85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Standards Update</w:t>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Bcf/d</w:t>
            </w:r>
          </w:p>
        </w:tc>
        <w:tc>
          <w:tcPr>
            <w:tcW w:w="85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 billion cubic feet per day</w:t>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Board of Directors</w:t>
            </w:r>
          </w:p>
        </w:tc>
        <w:tc>
          <w:tcPr>
            <w:tcW w:w="85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board of directors of our General Partner</w:t>
            </w:r>
          </w:p>
        </w:tc>
      </w:tr>
      <w:tr>
        <w:trPr/>
        <w:tc>
          <w:tcPr>
            <w:tcW w:w="1623" w:type="dxa"/>
            <w:gridSpan w:val="3"/>
            <w:tcBorders/>
            <w:vAlign w:val="center"/>
          </w:tcPr>
          <w:p>
            <w:pPr>
              <w:pStyle w:val="TableContents"/>
              <w:bidi w:val="0"/>
              <w:spacing w:before="0" w:after="283"/>
              <w:jc w:val="left"/>
              <w:rPr>
                <w:sz w:val="4"/>
                <w:szCs w:val="4"/>
              </w:rPr>
            </w:pPr>
            <w:r>
              <w:rPr>
                <w:sz w:val="4"/>
                <w:szCs w:val="4"/>
              </w:rPr>
            </w:r>
          </w:p>
        </w:tc>
        <w:tc>
          <w:tcPr>
            <w:tcW w:w="8582" w:type="dxa"/>
            <w:gridSpan w:val="3"/>
            <w:tcBorders/>
            <w:vAlign w:val="center"/>
          </w:tcPr>
          <w:p>
            <w:pPr>
              <w:pStyle w:val="TableContents"/>
              <w:bidi w:val="0"/>
              <w:spacing w:before="0" w:after="283"/>
              <w:jc w:val="left"/>
              <w:rPr>
                <w:sz w:val="4"/>
                <w:szCs w:val="4"/>
              </w:rPr>
            </w:pPr>
            <w:r>
              <w:rPr>
                <w:sz w:val="4"/>
                <w:szCs w:val="4"/>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Co-Issuers</w:t>
            </w:r>
          </w:p>
        </w:tc>
        <w:tc>
          <w:tcPr>
            <w:tcW w:w="8582"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Summit Holdings and Finance Corp., as co-issuers of the 2025 Senior Notes, the 2026</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Unsecured Notes and the 2026 Secured Notes</w:t>
            </w:r>
          </w:p>
          <w:p>
            <w:pPr>
              <w:pStyle w:val="TableContents"/>
              <w:bidi w:val="0"/>
              <w:spacing w:before="0" w:after="0"/>
              <w:jc w:val="left"/>
              <w:rPr/>
            </w:pPr>
            <w:r>
              <w:rPr/>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condensate</w:t>
            </w:r>
          </w:p>
        </w:tc>
        <w:tc>
          <w:tcPr>
            <w:tcW w:w="858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 natural gas liquid with a low vapor pressure, mainly composed of propane, butane,</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pentane and heavier hydrocarbon fractions</w:t>
            </w:r>
          </w:p>
          <w:p>
            <w:pPr>
              <w:pStyle w:val="TableContents"/>
              <w:bidi w:val="0"/>
              <w:spacing w:before="0" w:after="0"/>
              <w:jc w:val="left"/>
              <w:rPr/>
            </w:pPr>
            <w:r>
              <w:rPr/>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Corporate Reorganization</w:t>
            </w:r>
          </w:p>
        </w:tc>
        <w:tc>
          <w:tcPr>
            <w:tcW w:w="85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August 1, 2024 consummation of a transaction that resulted in the Partnership becoming a wholly owned subsidiary of a newly formed Delaware corporation, Summit Midstream Corporation (taxed as a C-corporation)</w:t>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DFW Midstream</w:t>
            </w:r>
          </w:p>
        </w:tc>
        <w:tc>
          <w:tcPr>
            <w:tcW w:w="85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DFW Midstream Services LLC</w:t>
            </w:r>
          </w:p>
        </w:tc>
      </w:tr>
      <w:tr>
        <w:trPr/>
        <w:tc>
          <w:tcPr>
            <w:tcW w:w="16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DJ Basin</w:t>
            </w:r>
          </w:p>
        </w:tc>
        <w:tc>
          <w:tcPr>
            <w:tcW w:w="858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Denver-Julesburg Basin</w:t>
            </w:r>
          </w:p>
        </w:tc>
      </w:tr>
      <w:tr>
        <w:trPr/>
        <w:tc>
          <w:tcPr>
            <w:tcW w:w="16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Double E</w:t>
            </w:r>
          </w:p>
        </w:tc>
        <w:tc>
          <w:tcPr>
            <w:tcW w:w="858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Double E Pipeline, LLC</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222885"/>
                <wp:effectExtent l="0" t="0" r="0" b="0"/>
                <wp:wrapNone/>
                <wp:docPr id="4" name="Frame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120" w:after="283"/>
        <w:jc w:val="left"/>
        <w:rPr/>
      </w:pPr>
      <w:hyperlink w:anchor="i69ee8b4d644242bf8ed471293c41640a_7">
        <w:r>
          <w:rPr>
            <w:rStyle w:val="InternetLink"/>
            <w:rFonts w:ascii="Times New Roman;sans-serif" w:hAnsi="Times New Roman;sans-serif"/>
            <w:b w:val="false"/>
            <w:color w:val="000080"/>
            <w:sz w:val="20"/>
            <w:u w:val="single"/>
          </w:rPr>
          <w:t xml:space="preserve">Table </w:t>
        </w:r>
      </w:hyperlink>
      <w:hyperlink w:anchor="i69ee8b4d644242bf8ed471293c41640a_7">
        <w:r>
          <w:rPr>
            <w:rStyle w:val="InternetLink"/>
            <w:rFonts w:ascii="Times New Roman;sans-serif" w:hAnsi="Times New Roman;sans-serif"/>
            <w:b w:val="false"/>
            <w:color w:val="000080"/>
            <w:sz w:val="20"/>
            <w:u w:val="single"/>
          </w:rPr>
          <w:t>of</w:t>
        </w:r>
      </w:hyperlink>
      <w:hyperlink w:anchor="i69ee8b4d644242bf8ed471293c41640a_7">
        <w:r>
          <w:rPr>
            <w:rStyle w:val="InternetLink"/>
            <w:rFonts w:ascii="Times New Roman;sans-serif" w:hAnsi="Times New Roman;sans-serif"/>
            <w:b w:val="false"/>
            <w:color w:val="000080"/>
            <w:sz w:val="20"/>
            <w:u w:val="single"/>
          </w:rPr>
          <w:t xml:space="preserve"> Contents</w:t>
        </w:r>
      </w:hyperlink>
    </w:p>
    <w:tbl>
      <w:tblPr>
        <w:tblW w:w="10205" w:type="dxa"/>
        <w:jc w:val="left"/>
        <w:tblInd w:w="0" w:type="dxa"/>
        <w:tblLayout w:type="fixed"/>
        <w:tblCellMar>
          <w:top w:w="28" w:type="dxa"/>
          <w:left w:w="28" w:type="dxa"/>
          <w:bottom w:w="28" w:type="dxa"/>
          <w:right w:w="28" w:type="dxa"/>
        </w:tblCellMar>
      </w:tblPr>
      <w:tblGrid>
        <w:gridCol w:w="690"/>
        <w:gridCol w:w="373"/>
        <w:gridCol w:w="376"/>
        <w:gridCol w:w="2678"/>
        <w:gridCol w:w="2519"/>
        <w:gridCol w:w="3569"/>
      </w:tblGrid>
      <w:tr>
        <w:trPr/>
        <w:tc>
          <w:tcPr>
            <w:tcW w:w="690"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2678" w:type="dxa"/>
            <w:tcBorders/>
            <w:vAlign w:val="center"/>
          </w:tcPr>
          <w:p>
            <w:pPr>
              <w:pStyle w:val="TableContents"/>
              <w:bidi w:val="0"/>
              <w:spacing w:before="0" w:after="283"/>
              <w:jc w:val="left"/>
              <w:rPr>
                <w:sz w:val="4"/>
                <w:szCs w:val="4"/>
              </w:rPr>
            </w:pPr>
            <w:r>
              <w:rPr>
                <w:sz w:val="4"/>
                <w:szCs w:val="4"/>
              </w:rPr>
            </w:r>
          </w:p>
        </w:tc>
        <w:tc>
          <w:tcPr>
            <w:tcW w:w="2519" w:type="dxa"/>
            <w:tcBorders/>
            <w:vAlign w:val="center"/>
          </w:tcPr>
          <w:p>
            <w:pPr>
              <w:pStyle w:val="TableContents"/>
              <w:bidi w:val="0"/>
              <w:spacing w:before="0" w:after="283"/>
              <w:jc w:val="left"/>
              <w:rPr>
                <w:sz w:val="4"/>
                <w:szCs w:val="4"/>
              </w:rPr>
            </w:pPr>
            <w:r>
              <w:rPr>
                <w:sz w:val="4"/>
                <w:szCs w:val="4"/>
              </w:rPr>
            </w:r>
          </w:p>
        </w:tc>
        <w:tc>
          <w:tcPr>
            <w:tcW w:w="3569" w:type="dxa"/>
            <w:tcBorders/>
            <w:vAlign w:val="center"/>
          </w:tcPr>
          <w:p>
            <w:pPr>
              <w:pStyle w:val="TableContents"/>
              <w:bidi w:val="0"/>
              <w:spacing w:before="0" w:after="283"/>
              <w:jc w:val="left"/>
              <w:rPr>
                <w:sz w:val="4"/>
                <w:szCs w:val="4"/>
              </w:rPr>
            </w:pPr>
            <w:r>
              <w:rPr>
                <w:sz w:val="4"/>
                <w:szCs w:val="4"/>
              </w:rPr>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Double E Pipeline</w:t>
            </w:r>
          </w:p>
        </w:tc>
        <w:tc>
          <w:tcPr>
            <w:tcW w:w="8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135 mile, 1.35 Bcf/d, FERC-regulated interstate natural gas transmission pipeline that commenced operations in November 2021 and provides transportation service from multiple receipt points in the Delaware Basin to various delivery points in and around the Waha hub in Texas </w:t>
            </w:r>
          </w:p>
        </w:tc>
      </w:tr>
      <w:tr>
        <w:trPr/>
        <w:tc>
          <w:tcPr>
            <w:tcW w:w="1439" w:type="dxa"/>
            <w:gridSpan w:val="3"/>
            <w:tcBorders/>
            <w:vAlign w:val="center"/>
          </w:tcPr>
          <w:p>
            <w:pPr>
              <w:pStyle w:val="TableContents"/>
              <w:bidi w:val="0"/>
              <w:spacing w:before="0" w:after="283"/>
              <w:jc w:val="left"/>
              <w:rPr>
                <w:sz w:val="4"/>
                <w:szCs w:val="4"/>
              </w:rPr>
            </w:pPr>
            <w:r>
              <w:rPr>
                <w:sz w:val="4"/>
                <w:szCs w:val="4"/>
              </w:rPr>
            </w:r>
          </w:p>
        </w:tc>
        <w:tc>
          <w:tcPr>
            <w:tcW w:w="8766" w:type="dxa"/>
            <w:gridSpan w:val="3"/>
            <w:tcBorders/>
            <w:vAlign w:val="center"/>
          </w:tcPr>
          <w:p>
            <w:pPr>
              <w:pStyle w:val="TableContents"/>
              <w:bidi w:val="0"/>
              <w:spacing w:before="0" w:after="283"/>
              <w:jc w:val="left"/>
              <w:rPr>
                <w:sz w:val="4"/>
                <w:szCs w:val="4"/>
              </w:rPr>
            </w:pPr>
            <w:r>
              <w:rPr>
                <w:sz w:val="4"/>
                <w:szCs w:val="4"/>
              </w:rPr>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Double E Project</w:t>
            </w:r>
          </w:p>
        </w:tc>
        <w:tc>
          <w:tcPr>
            <w:tcW w:w="8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development and construction of the Double E Pipeline</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EPA</w:t>
            </w:r>
          </w:p>
        </w:tc>
        <w:tc>
          <w:tcPr>
            <w:tcW w:w="8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Environmental Protection Agency</w:t>
            </w:r>
          </w:p>
        </w:tc>
      </w:tr>
      <w:tr>
        <w:trPr/>
        <w:tc>
          <w:tcPr>
            <w:tcW w:w="1439" w:type="dxa"/>
            <w:gridSpan w:val="3"/>
            <w:tcBorders/>
            <w:vAlign w:val="center"/>
          </w:tcPr>
          <w:p>
            <w:pPr>
              <w:pStyle w:val="TableContents"/>
              <w:bidi w:val="0"/>
              <w:spacing w:before="0" w:after="283"/>
              <w:jc w:val="left"/>
              <w:rPr>
                <w:sz w:val="4"/>
                <w:szCs w:val="4"/>
              </w:rPr>
            </w:pPr>
            <w:r>
              <w:rPr>
                <w:sz w:val="4"/>
                <w:szCs w:val="4"/>
              </w:rPr>
            </w:r>
          </w:p>
        </w:tc>
        <w:tc>
          <w:tcPr>
            <w:tcW w:w="8766" w:type="dxa"/>
            <w:gridSpan w:val="3"/>
            <w:tcBorders/>
            <w:vAlign w:val="center"/>
          </w:tcPr>
          <w:p>
            <w:pPr>
              <w:pStyle w:val="TableContents"/>
              <w:bidi w:val="0"/>
              <w:spacing w:before="0" w:after="283"/>
              <w:jc w:val="left"/>
              <w:rPr>
                <w:sz w:val="4"/>
                <w:szCs w:val="4"/>
              </w:rPr>
            </w:pPr>
            <w:r>
              <w:rPr>
                <w:sz w:val="4"/>
                <w:szCs w:val="4"/>
              </w:rPr>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EPU</w:t>
            </w:r>
          </w:p>
        </w:tc>
        <w:tc>
          <w:tcPr>
            <w:tcW w:w="8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earnings or loss per unit</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FASB</w:t>
            </w:r>
          </w:p>
        </w:tc>
        <w:tc>
          <w:tcPr>
            <w:tcW w:w="8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Accounting Standards Board</w:t>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Finance Corp.</w:t>
            </w:r>
          </w:p>
        </w:tc>
        <w:tc>
          <w:tcPr>
            <w:tcW w:w="8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Finance Corp.</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fracking</w:t>
            </w:r>
          </w:p>
        </w:tc>
        <w:tc>
          <w:tcPr>
            <w:tcW w:w="8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process of injecting liquid at high pressure into subterranean rocks, boreholes, etc. so as to force open existing fissures and extract oil or gas</w:t>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frac-protect activities</w:t>
            </w:r>
          </w:p>
        </w:tc>
        <w:tc>
          <w:tcPr>
            <w:tcW w:w="8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activities that are designed to protect existing hydrocarbon wells from harm by shutting in existing hydrocarbon production until new well activities have concluded </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w:t>
            </w:r>
          </w:p>
        </w:tc>
        <w:tc>
          <w:tcPr>
            <w:tcW w:w="8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accounting principles generally accepted in the United States of America</w:t>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Partner</w:t>
            </w:r>
          </w:p>
        </w:tc>
        <w:tc>
          <w:tcPr>
            <w:tcW w:w="8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GP, LLC</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GP</w:t>
            </w:r>
          </w:p>
        </w:tc>
        <w:tc>
          <w:tcPr>
            <w:tcW w:w="8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partner</w:t>
            </w:r>
          </w:p>
        </w:tc>
      </w:tr>
      <w:tr>
        <w:trPr/>
        <w:tc>
          <w:tcPr>
            <w:tcW w:w="1439" w:type="dxa"/>
            <w:gridSpan w:val="3"/>
            <w:tcBorders/>
            <w:vAlign w:val="center"/>
          </w:tcPr>
          <w:p>
            <w:pPr>
              <w:pStyle w:val="TableContents"/>
              <w:bidi w:val="0"/>
              <w:spacing w:before="0" w:after="283"/>
              <w:jc w:val="left"/>
              <w:rPr>
                <w:sz w:val="4"/>
                <w:szCs w:val="4"/>
              </w:rPr>
            </w:pPr>
            <w:r>
              <w:rPr>
                <w:sz w:val="4"/>
                <w:szCs w:val="4"/>
              </w:rPr>
            </w:r>
          </w:p>
        </w:tc>
        <w:tc>
          <w:tcPr>
            <w:tcW w:w="8766" w:type="dxa"/>
            <w:gridSpan w:val="3"/>
            <w:tcBorders/>
            <w:vAlign w:val="center"/>
          </w:tcPr>
          <w:p>
            <w:pPr>
              <w:pStyle w:val="TableContents"/>
              <w:bidi w:val="0"/>
              <w:spacing w:before="0" w:after="283"/>
              <w:jc w:val="left"/>
              <w:rPr>
                <w:sz w:val="4"/>
                <w:szCs w:val="4"/>
              </w:rPr>
            </w:pPr>
            <w:r>
              <w:rPr>
                <w:sz w:val="4"/>
                <w:szCs w:val="4"/>
              </w:rPr>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Grand River</w:t>
            </w:r>
          </w:p>
        </w:tc>
        <w:tc>
          <w:tcPr>
            <w:tcW w:w="8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Grand River Gathering, LLC</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Guarantor Subsidiaries</w:t>
            </w:r>
          </w:p>
        </w:tc>
        <w:tc>
          <w:tcPr>
            <w:tcW w:w="876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Grand River, DFW Midstream, Summit Marketing, OpCo, Meadowlark Midstream, Summit Permian II, LLC, Epping Transmission Company, LLC, Red Rock Gathering, Polar Midstream, LLC, Summit Niobrara, Grasslands Energy Marketing LLC, Summit DJ-O, LLC, Summit DJ-O Operating, LLC, and Summit DJ-S, LLC.</w:t>
            </w:r>
          </w:p>
          <w:p>
            <w:pPr>
              <w:pStyle w:val="TableContents"/>
              <w:bidi w:val="0"/>
              <w:spacing w:before="0" w:after="0"/>
              <w:jc w:val="left"/>
              <w:rPr/>
            </w:pPr>
            <w:r>
              <w:rPr/>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Hub</w:t>
            </w:r>
          </w:p>
        </w:tc>
        <w:tc>
          <w:tcPr>
            <w:tcW w:w="8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geographic location of a storage facility and multiple pipeline interconnections</w:t>
            </w:r>
          </w:p>
        </w:tc>
      </w:tr>
      <w:tr>
        <w:trPr/>
        <w:tc>
          <w:tcPr>
            <w:tcW w:w="1439" w:type="dxa"/>
            <w:gridSpan w:val="3"/>
            <w:tcBorders/>
            <w:vAlign w:val="center"/>
          </w:tcPr>
          <w:p>
            <w:pPr>
              <w:pStyle w:val="TableContents"/>
              <w:bidi w:val="0"/>
              <w:spacing w:before="0" w:after="283"/>
              <w:jc w:val="left"/>
              <w:rPr>
                <w:sz w:val="4"/>
                <w:szCs w:val="4"/>
              </w:rPr>
            </w:pPr>
            <w:r>
              <w:rPr>
                <w:sz w:val="4"/>
                <w:szCs w:val="4"/>
              </w:rPr>
            </w:r>
          </w:p>
        </w:tc>
        <w:tc>
          <w:tcPr>
            <w:tcW w:w="8766" w:type="dxa"/>
            <w:gridSpan w:val="3"/>
            <w:tcBorders/>
            <w:vAlign w:val="center"/>
          </w:tcPr>
          <w:p>
            <w:pPr>
              <w:pStyle w:val="TableContents"/>
              <w:bidi w:val="0"/>
              <w:spacing w:before="0" w:after="283"/>
              <w:jc w:val="left"/>
              <w:rPr>
                <w:sz w:val="4"/>
                <w:szCs w:val="4"/>
              </w:rPr>
            </w:pPr>
            <w:r>
              <w:rPr>
                <w:sz w:val="4"/>
                <w:szCs w:val="4"/>
              </w:rPr>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Mbbl/d</w:t>
            </w:r>
          </w:p>
        </w:tc>
        <w:tc>
          <w:tcPr>
            <w:tcW w:w="8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 thousand barrels per day</w:t>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MD&amp;A</w:t>
            </w:r>
          </w:p>
        </w:tc>
        <w:tc>
          <w:tcPr>
            <w:tcW w:w="8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Management's Discussion and Analysis of Financial Condition and Results of Operations</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Meadowlark Midstream</w:t>
            </w:r>
          </w:p>
        </w:tc>
        <w:tc>
          <w:tcPr>
            <w:tcW w:w="8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Meadowlark Midstream Company, LLC</w:t>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MMBTU</w:t>
            </w:r>
          </w:p>
        </w:tc>
        <w:tc>
          <w:tcPr>
            <w:tcW w:w="8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metric million British thermal units</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MMcf/d</w:t>
            </w:r>
          </w:p>
        </w:tc>
        <w:tc>
          <w:tcPr>
            <w:tcW w:w="8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one million cubic feet per day</w:t>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Mountaineer Midstream</w:t>
            </w:r>
          </w:p>
        </w:tc>
        <w:tc>
          <w:tcPr>
            <w:tcW w:w="876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Mountaineer Midstream Company, LLC</w:t>
            </w:r>
          </w:p>
        </w:tc>
      </w:tr>
      <w:tr>
        <w:trPr/>
        <w:tc>
          <w:tcPr>
            <w:tcW w:w="14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MVC</w:t>
            </w:r>
          </w:p>
        </w:tc>
        <w:tc>
          <w:tcPr>
            <w:tcW w:w="876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minimum volume commitment</w:t>
            </w:r>
          </w:p>
        </w:tc>
      </w:tr>
      <w:tr>
        <w:trPr/>
        <w:tc>
          <w:tcPr>
            <w:tcW w:w="14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NGLs</w:t>
            </w:r>
          </w:p>
        </w:tc>
        <w:tc>
          <w:tcPr>
            <w:tcW w:w="876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liquids; the combination of ethane, propane, normal butane, iso-butane and natural gasolines that when removed from unprocessed natural gas streams become liquid under various levels of higher pressure and lower temperature</w:t>
            </w:r>
          </w:p>
          <w:p>
            <w:pPr>
              <w:pStyle w:val="TableContents"/>
              <w:bidi w:val="0"/>
              <w:spacing w:before="0" w:after="0"/>
              <w:jc w:val="left"/>
              <w:rPr/>
            </w:pPr>
            <w:r>
              <w:rPr/>
            </w:r>
          </w:p>
        </w:tc>
      </w:tr>
      <w:tr>
        <w:trPr/>
        <w:tc>
          <w:tcPr>
            <w:tcW w:w="1439" w:type="dxa"/>
            <w:gridSpan w:val="3"/>
            <w:tcBorders/>
            <w:vAlign w:val="center"/>
          </w:tcPr>
          <w:p>
            <w:pPr>
              <w:pStyle w:val="TableContents"/>
              <w:bidi w:val="0"/>
              <w:spacing w:before="0" w:after="283"/>
              <w:jc w:val="left"/>
              <w:rPr>
                <w:sz w:val="4"/>
                <w:szCs w:val="4"/>
              </w:rPr>
            </w:pPr>
            <w:r>
              <w:rPr>
                <w:sz w:val="4"/>
                <w:szCs w:val="4"/>
              </w:rPr>
            </w:r>
          </w:p>
        </w:tc>
        <w:tc>
          <w:tcPr>
            <w:tcW w:w="8766"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222885"/>
                <wp:effectExtent l="0" t="0" r="0" b="0"/>
                <wp:wrapNone/>
                <wp:docPr id="5" name="Frame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120" w:after="283"/>
        <w:jc w:val="left"/>
        <w:rPr/>
      </w:pPr>
      <w:hyperlink w:anchor="i69ee8b4d644242bf8ed471293c41640a_7">
        <w:r>
          <w:rPr>
            <w:rStyle w:val="InternetLink"/>
            <w:rFonts w:ascii="Times New Roman;sans-serif" w:hAnsi="Times New Roman;sans-serif"/>
            <w:b w:val="false"/>
            <w:color w:val="000080"/>
            <w:sz w:val="20"/>
            <w:u w:val="single"/>
          </w:rPr>
          <w:t xml:space="preserve">Table </w:t>
        </w:r>
      </w:hyperlink>
      <w:hyperlink w:anchor="i69ee8b4d644242bf8ed471293c41640a_7">
        <w:r>
          <w:rPr>
            <w:rStyle w:val="InternetLink"/>
            <w:rFonts w:ascii="Times New Roman;sans-serif" w:hAnsi="Times New Roman;sans-serif"/>
            <w:b w:val="false"/>
            <w:color w:val="000080"/>
            <w:sz w:val="20"/>
            <w:u w:val="single"/>
          </w:rPr>
          <w:t>of</w:t>
        </w:r>
      </w:hyperlink>
      <w:hyperlink w:anchor="i69ee8b4d644242bf8ed471293c41640a_7">
        <w:r>
          <w:rPr>
            <w:rStyle w:val="InternetLink"/>
            <w:rFonts w:ascii="Times New Roman;sans-serif" w:hAnsi="Times New Roman;sans-serif"/>
            <w:b w:val="false"/>
            <w:color w:val="000080"/>
            <w:sz w:val="20"/>
            <w:u w:val="single"/>
          </w:rPr>
          <w:t xml:space="preserve"> Contents</w:t>
        </w:r>
      </w:hyperlink>
    </w:p>
    <w:tbl>
      <w:tblPr>
        <w:tblW w:w="10205" w:type="dxa"/>
        <w:jc w:val="left"/>
        <w:tblInd w:w="0" w:type="dxa"/>
        <w:tblLayout w:type="fixed"/>
        <w:tblCellMar>
          <w:top w:w="28" w:type="dxa"/>
          <w:left w:w="28" w:type="dxa"/>
          <w:bottom w:w="28" w:type="dxa"/>
          <w:right w:w="28" w:type="dxa"/>
        </w:tblCellMar>
      </w:tblPr>
      <w:tblGrid>
        <w:gridCol w:w="580"/>
        <w:gridCol w:w="447"/>
        <w:gridCol w:w="450"/>
        <w:gridCol w:w="2906"/>
        <w:gridCol w:w="2405"/>
        <w:gridCol w:w="3417"/>
      </w:tblGrid>
      <w:tr>
        <w:trPr/>
        <w:tc>
          <w:tcPr>
            <w:tcW w:w="580"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2906" w:type="dxa"/>
            <w:tcBorders/>
            <w:vAlign w:val="center"/>
          </w:tcPr>
          <w:p>
            <w:pPr>
              <w:pStyle w:val="TableContents"/>
              <w:bidi w:val="0"/>
              <w:spacing w:before="0" w:after="283"/>
              <w:jc w:val="left"/>
              <w:rPr>
                <w:sz w:val="4"/>
                <w:szCs w:val="4"/>
              </w:rPr>
            </w:pPr>
            <w:r>
              <w:rPr>
                <w:sz w:val="4"/>
                <w:szCs w:val="4"/>
              </w:rPr>
            </w:r>
          </w:p>
        </w:tc>
        <w:tc>
          <w:tcPr>
            <w:tcW w:w="2405" w:type="dxa"/>
            <w:tcBorders/>
            <w:vAlign w:val="center"/>
          </w:tcPr>
          <w:p>
            <w:pPr>
              <w:pStyle w:val="TableContents"/>
              <w:bidi w:val="0"/>
              <w:spacing w:before="0" w:after="283"/>
              <w:jc w:val="left"/>
              <w:rPr>
                <w:sz w:val="4"/>
                <w:szCs w:val="4"/>
              </w:rPr>
            </w:pPr>
            <w:r>
              <w:rPr>
                <w:sz w:val="4"/>
                <w:szCs w:val="4"/>
              </w:rPr>
            </w:r>
          </w:p>
        </w:tc>
        <w:tc>
          <w:tcPr>
            <w:tcW w:w="3417" w:type="dxa"/>
            <w:tcBorders/>
            <w:vAlign w:val="center"/>
          </w:tcPr>
          <w:p>
            <w:pPr>
              <w:pStyle w:val="TableContents"/>
              <w:bidi w:val="0"/>
              <w:spacing w:before="0" w:after="283"/>
              <w:jc w:val="left"/>
              <w:rPr>
                <w:sz w:val="4"/>
                <w:szCs w:val="4"/>
              </w:rPr>
            </w:pPr>
            <w:r>
              <w:rPr>
                <w:sz w:val="4"/>
                <w:szCs w:val="4"/>
              </w:rPr>
            </w:r>
          </w:p>
        </w:tc>
      </w:tr>
      <w:tr>
        <w:trPr/>
        <w:tc>
          <w:tcPr>
            <w:tcW w:w="14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NYSE</w:t>
            </w:r>
          </w:p>
        </w:tc>
        <w:tc>
          <w:tcPr>
            <w:tcW w:w="8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New York Stock Exchange</w:t>
            </w:r>
          </w:p>
        </w:tc>
      </w:tr>
      <w:tr>
        <w:trPr/>
        <w:tc>
          <w:tcPr>
            <w:tcW w:w="1477" w:type="dxa"/>
            <w:gridSpan w:val="3"/>
            <w:tcBorders/>
            <w:vAlign w:val="center"/>
          </w:tcPr>
          <w:p>
            <w:pPr>
              <w:pStyle w:val="TableContents"/>
              <w:bidi w:val="0"/>
              <w:spacing w:before="0" w:after="283"/>
              <w:jc w:val="left"/>
              <w:rPr>
                <w:sz w:val="4"/>
                <w:szCs w:val="4"/>
              </w:rPr>
            </w:pPr>
            <w:r>
              <w:rPr>
                <w:sz w:val="4"/>
                <w:szCs w:val="4"/>
              </w:rPr>
            </w:r>
          </w:p>
        </w:tc>
        <w:tc>
          <w:tcPr>
            <w:tcW w:w="8728" w:type="dxa"/>
            <w:gridSpan w:val="3"/>
            <w:tcBorders/>
            <w:vAlign w:val="center"/>
          </w:tcPr>
          <w:p>
            <w:pPr>
              <w:pStyle w:val="TableContents"/>
              <w:bidi w:val="0"/>
              <w:spacing w:before="0" w:after="283"/>
              <w:jc w:val="left"/>
              <w:rPr>
                <w:sz w:val="4"/>
                <w:szCs w:val="4"/>
              </w:rPr>
            </w:pPr>
            <w:r>
              <w:rPr>
                <w:sz w:val="4"/>
                <w:szCs w:val="4"/>
              </w:rPr>
            </w:r>
          </w:p>
        </w:tc>
      </w:tr>
      <w:tr>
        <w:trPr/>
        <w:tc>
          <w:tcPr>
            <w:tcW w:w="1477" w:type="dxa"/>
            <w:gridSpan w:val="3"/>
            <w:tcBorders/>
            <w:vAlign w:val="center"/>
          </w:tcPr>
          <w:p>
            <w:pPr>
              <w:pStyle w:val="TableContents"/>
              <w:bidi w:val="0"/>
              <w:spacing w:before="0" w:after="283"/>
              <w:jc w:val="left"/>
              <w:rPr>
                <w:sz w:val="4"/>
                <w:szCs w:val="4"/>
              </w:rPr>
            </w:pPr>
            <w:r>
              <w:rPr>
                <w:sz w:val="4"/>
                <w:szCs w:val="4"/>
              </w:rPr>
            </w:r>
          </w:p>
        </w:tc>
        <w:tc>
          <w:tcPr>
            <w:tcW w:w="8728" w:type="dxa"/>
            <w:gridSpan w:val="3"/>
            <w:tcBorders/>
            <w:vAlign w:val="center"/>
          </w:tcPr>
          <w:p>
            <w:pPr>
              <w:pStyle w:val="TableContents"/>
              <w:bidi w:val="0"/>
              <w:spacing w:before="0" w:after="283"/>
              <w:jc w:val="left"/>
              <w:rPr>
                <w:sz w:val="4"/>
                <w:szCs w:val="4"/>
              </w:rPr>
            </w:pPr>
            <w:r>
              <w:rPr>
                <w:sz w:val="4"/>
                <w:szCs w:val="4"/>
              </w:rPr>
            </w:r>
          </w:p>
        </w:tc>
      </w:tr>
      <w:tr>
        <w:trPr/>
        <w:tc>
          <w:tcPr>
            <w:tcW w:w="14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OCC</w:t>
            </w:r>
          </w:p>
        </w:tc>
        <w:tc>
          <w:tcPr>
            <w:tcW w:w="8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 Condensate Company, L.L.C.</w:t>
            </w:r>
          </w:p>
        </w:tc>
      </w:tr>
      <w:tr>
        <w:trPr/>
        <w:tc>
          <w:tcPr>
            <w:tcW w:w="14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OGC</w:t>
            </w:r>
          </w:p>
        </w:tc>
        <w:tc>
          <w:tcPr>
            <w:tcW w:w="8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 Gathering Company, L.L.C.</w:t>
            </w:r>
          </w:p>
        </w:tc>
      </w:tr>
      <w:tr>
        <w:trPr/>
        <w:tc>
          <w:tcPr>
            <w:tcW w:w="14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 Gathering</w:t>
            </w:r>
          </w:p>
        </w:tc>
        <w:tc>
          <w:tcPr>
            <w:tcW w:w="8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 Gathering Company, L.L.C. and Ohio Condensate Company, L.L.C.</w:t>
            </w:r>
          </w:p>
        </w:tc>
      </w:tr>
      <w:tr>
        <w:trPr/>
        <w:tc>
          <w:tcPr>
            <w:tcW w:w="14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OpCo</w:t>
            </w:r>
          </w:p>
        </w:tc>
        <w:tc>
          <w:tcPr>
            <w:tcW w:w="8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OpCo, LP</w:t>
            </w:r>
          </w:p>
        </w:tc>
      </w:tr>
      <w:tr>
        <w:trPr/>
        <w:tc>
          <w:tcPr>
            <w:tcW w:w="14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play</w:t>
            </w:r>
          </w:p>
        </w:tc>
        <w:tc>
          <w:tcPr>
            <w:tcW w:w="8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proven geological formation that contains commercial amounts of hydrocarbons</w:t>
            </w:r>
          </w:p>
        </w:tc>
      </w:tr>
      <w:tr>
        <w:trPr/>
        <w:tc>
          <w:tcPr>
            <w:tcW w:w="1477" w:type="dxa"/>
            <w:gridSpan w:val="3"/>
            <w:tcBorders/>
            <w:vAlign w:val="center"/>
          </w:tcPr>
          <w:p>
            <w:pPr>
              <w:pStyle w:val="TableContents"/>
              <w:bidi w:val="0"/>
              <w:spacing w:before="0" w:after="283"/>
              <w:jc w:val="left"/>
              <w:rPr>
                <w:sz w:val="4"/>
                <w:szCs w:val="4"/>
              </w:rPr>
            </w:pPr>
            <w:r>
              <w:rPr>
                <w:sz w:val="4"/>
                <w:szCs w:val="4"/>
              </w:rPr>
            </w:r>
          </w:p>
        </w:tc>
        <w:tc>
          <w:tcPr>
            <w:tcW w:w="8728" w:type="dxa"/>
            <w:gridSpan w:val="3"/>
            <w:tcBorders/>
            <w:vAlign w:val="center"/>
          </w:tcPr>
          <w:p>
            <w:pPr>
              <w:pStyle w:val="TableContents"/>
              <w:bidi w:val="0"/>
              <w:spacing w:before="0" w:after="283"/>
              <w:jc w:val="left"/>
              <w:rPr>
                <w:sz w:val="4"/>
                <w:szCs w:val="4"/>
              </w:rPr>
            </w:pPr>
            <w:r>
              <w:rPr>
                <w:sz w:val="4"/>
                <w:szCs w:val="4"/>
              </w:rPr>
            </w:r>
          </w:p>
        </w:tc>
      </w:tr>
      <w:tr>
        <w:trPr/>
        <w:tc>
          <w:tcPr>
            <w:tcW w:w="14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 Holdco</w:t>
            </w:r>
          </w:p>
        </w:tc>
        <w:tc>
          <w:tcPr>
            <w:tcW w:w="8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Summit Permian Transmission Holdco, LLC</w:t>
            </w:r>
          </w:p>
        </w:tc>
      </w:tr>
      <w:tr>
        <w:trPr/>
        <w:tc>
          <w:tcPr>
            <w:tcW w:w="14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 Term Loan Facility</w:t>
            </w:r>
          </w:p>
        </w:tc>
        <w:tc>
          <w:tcPr>
            <w:tcW w:w="872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term loan governed by the Credit Agreement, dated as of March 8, 2021, among Summit Permian Transmission, LLC, as borrower, MUFG Bank Ltd., as administrative agent, Mizuho Bank (USA), as collateral agent, ING Capital LLC, Mizuho Bank, Ltd. and MUFG Union Bank, N.A., as L/C issuers, coordinating lead arrangers and joint bookrunners, and the lenders from time to time party thereto</w:t>
            </w:r>
          </w:p>
          <w:p>
            <w:pPr>
              <w:pStyle w:val="TableContents"/>
              <w:bidi w:val="0"/>
              <w:spacing w:before="0" w:after="0"/>
              <w:jc w:val="left"/>
              <w:rPr/>
            </w:pPr>
            <w:r>
              <w:rPr/>
            </w:r>
          </w:p>
        </w:tc>
      </w:tr>
      <w:tr>
        <w:trPr/>
        <w:tc>
          <w:tcPr>
            <w:tcW w:w="1477"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Permian Transmission Credit Facilities</w:t>
            </w:r>
          </w:p>
        </w:tc>
        <w:tc>
          <w:tcPr>
            <w:tcW w:w="872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facilities governed by the Credit Agreement, dated as of March 8, 2021, among Summit Permian Transmission, LLC, as borrower, MUFG Bank Ltd., as administrative agent, Mizuho Bank (USA), as collateral agent, ING Capital LLC, Mizuho Bank, Ltd. and MUFG Union Bank, N.A., as L/C issuers, coordinating lead arrangers and joint bookrunners, and the lenders from time to time party thereto</w:t>
            </w:r>
          </w:p>
          <w:p>
            <w:pPr>
              <w:pStyle w:val="TableContents"/>
              <w:bidi w:val="0"/>
              <w:spacing w:before="0" w:after="0"/>
              <w:jc w:val="left"/>
              <w:rPr/>
            </w:pPr>
            <w:r>
              <w:rPr/>
            </w:r>
          </w:p>
        </w:tc>
      </w:tr>
      <w:tr>
        <w:trPr/>
        <w:tc>
          <w:tcPr>
            <w:tcW w:w="1477" w:type="dxa"/>
            <w:gridSpan w:val="3"/>
            <w:tcBorders/>
            <w:vAlign w:val="center"/>
          </w:tcPr>
          <w:p>
            <w:pPr>
              <w:pStyle w:val="TableContents"/>
              <w:bidi w:val="0"/>
              <w:spacing w:before="0" w:after="283"/>
              <w:jc w:val="left"/>
              <w:rPr>
                <w:sz w:val="4"/>
                <w:szCs w:val="4"/>
              </w:rPr>
            </w:pPr>
            <w:r>
              <w:rPr>
                <w:sz w:val="4"/>
                <w:szCs w:val="4"/>
              </w:rPr>
            </w:r>
          </w:p>
        </w:tc>
        <w:tc>
          <w:tcPr>
            <w:tcW w:w="8728" w:type="dxa"/>
            <w:gridSpan w:val="3"/>
            <w:tcBorders/>
            <w:vAlign w:val="center"/>
          </w:tcPr>
          <w:p>
            <w:pPr>
              <w:pStyle w:val="TableContents"/>
              <w:bidi w:val="0"/>
              <w:spacing w:before="0" w:after="283"/>
              <w:jc w:val="left"/>
              <w:rPr>
                <w:sz w:val="4"/>
                <w:szCs w:val="4"/>
              </w:rPr>
            </w:pPr>
            <w:r>
              <w:rPr>
                <w:sz w:val="4"/>
                <w:szCs w:val="4"/>
              </w:rPr>
            </w:r>
          </w:p>
        </w:tc>
      </w:tr>
      <w:tr>
        <w:trPr/>
        <w:tc>
          <w:tcPr>
            <w:tcW w:w="14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produced water</w:t>
            </w:r>
          </w:p>
        </w:tc>
        <w:tc>
          <w:tcPr>
            <w:tcW w:w="872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color w:val="000000"/>
              </w:rPr>
            </w:pPr>
            <w:r>
              <w:rPr>
                <w:color w:val="000000"/>
              </w:rPr>
              <w:t>   </w:t>
            </w:r>
            <w:r>
              <w:rPr>
                <w:rFonts w:ascii="Times New Roman;sans-serif" w:hAnsi="Times New Roman;sans-serif"/>
                <w:b w:val="false"/>
                <w:color w:val="000000"/>
                <w:sz w:val="20"/>
              </w:rPr>
              <w:t>water from underground geologic formations that is a by-product of natural gas and crude oil production</w:t>
            </w:r>
          </w:p>
          <w:p>
            <w:pPr>
              <w:pStyle w:val="TableContents"/>
              <w:bidi w:val="0"/>
              <w:spacing w:before="0" w:after="0"/>
              <w:ind w:left="0" w:right="0" w:hanging="180"/>
              <w:jc w:val="left"/>
              <w:rPr/>
            </w:pPr>
            <w:r>
              <w:rPr/>
            </w:r>
          </w:p>
        </w:tc>
      </w:tr>
      <w:tr>
        <w:trPr/>
        <w:tc>
          <w:tcPr>
            <w:tcW w:w="14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 Rock Gathering</w:t>
            </w:r>
          </w:p>
        </w:tc>
        <w:tc>
          <w:tcPr>
            <w:tcW w:w="8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Red Rock Gathering Company, LLC</w:t>
            </w:r>
          </w:p>
        </w:tc>
      </w:tr>
      <w:tr>
        <w:trPr/>
        <w:tc>
          <w:tcPr>
            <w:tcW w:w="14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w:t>
            </w:r>
          </w:p>
        </w:tc>
        <w:tc>
          <w:tcPr>
            <w:tcW w:w="8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and Exchange Commission</w:t>
            </w:r>
          </w:p>
        </w:tc>
      </w:tr>
      <w:tr>
        <w:trPr/>
        <w:tc>
          <w:tcPr>
            <w:tcW w:w="14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Act</w:t>
            </w:r>
          </w:p>
        </w:tc>
        <w:tc>
          <w:tcPr>
            <w:tcW w:w="872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Securities Act of 1933, as amended</w:t>
            </w:r>
          </w:p>
        </w:tc>
      </w:tr>
      <w:tr>
        <w:trPr/>
        <w:tc>
          <w:tcPr>
            <w:tcW w:w="147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w:t>
            </w:r>
          </w:p>
        </w:tc>
        <w:tc>
          <w:tcPr>
            <w:tcW w:w="872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color w:val="000000"/>
              </w:rPr>
            </w:pPr>
            <w:r>
              <w:rPr>
                <w:color w:val="000000"/>
              </w:rPr>
              <w:t>   </w:t>
            </w:r>
            <w:r>
              <w:rPr>
                <w:rFonts w:ascii="Times New Roman;sans-serif" w:hAnsi="Times New Roman;sans-serif"/>
                <w:b w:val="false"/>
                <w:color w:val="000000"/>
                <w:sz w:val="20"/>
              </w:rPr>
              <w:t>total revenues less total costs and expenses; plus (i) other income excluding interest income, (ii) our proportional adjusted EBITDA for equity method investees, (iii) depreciation and amortization, (iv) adjustments related to MVC shortfall payments, (v) adjustments related to capital reimbursement activity, (vi) unit-based and noncash compensation, (vii) impairments and (viii) other noncash expenses or losses, less other noncash income or gains</w:t>
            </w:r>
          </w:p>
          <w:p>
            <w:pPr>
              <w:pStyle w:val="TableContents"/>
              <w:bidi w:val="0"/>
              <w:spacing w:before="0" w:after="0"/>
              <w:ind w:left="0" w:right="0" w:hanging="180"/>
              <w:jc w:val="left"/>
              <w:rPr/>
            </w:pPr>
            <w:r>
              <w:rPr/>
            </w:r>
          </w:p>
        </w:tc>
      </w:tr>
      <w:tr>
        <w:trPr/>
        <w:tc>
          <w:tcPr>
            <w:tcW w:w="14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Senior Notes</w:t>
            </w:r>
          </w:p>
        </w:tc>
        <w:tc>
          <w:tcPr>
            <w:tcW w:w="872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The 2025 Senior Notes, the 2026 Unsecured Notes and the 2026 Secured Notes, collectively</w:t>
            </w:r>
          </w:p>
          <w:p>
            <w:pPr>
              <w:pStyle w:val="TableContents"/>
              <w:bidi w:val="0"/>
              <w:spacing w:before="0" w:after="0"/>
              <w:jc w:val="left"/>
              <w:rPr/>
            </w:pPr>
            <w:r>
              <w:rPr/>
            </w:r>
          </w:p>
        </w:tc>
      </w:tr>
      <w:tr>
        <w:trPr/>
        <w:tc>
          <w:tcPr>
            <w:tcW w:w="14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 Preferred Units</w:t>
            </w:r>
          </w:p>
        </w:tc>
        <w:tc>
          <w:tcPr>
            <w:tcW w:w="8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Series A Fixed-to-Floating Rate Cumulative Redeemable Perpetual Preferred Units issued</w:t>
              <w:br/>
              <w:t>by the Partnership</w:t>
            </w:r>
          </w:p>
        </w:tc>
      </w:tr>
      <w:tr>
        <w:trPr/>
        <w:tc>
          <w:tcPr>
            <w:tcW w:w="14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shortfall payment</w:t>
            </w:r>
          </w:p>
        </w:tc>
        <w:tc>
          <w:tcPr>
            <w:tcW w:w="872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color w:val="000000"/>
              </w:rPr>
            </w:pPr>
            <w:r>
              <w:rPr>
                <w:color w:val="000000"/>
              </w:rPr>
              <w:t>   </w:t>
            </w:r>
            <w:r>
              <w:rPr>
                <w:rFonts w:ascii="Times New Roman;sans-serif" w:hAnsi="Times New Roman;sans-serif"/>
                <w:b w:val="false"/>
                <w:color w:val="000000"/>
                <w:sz w:val="20"/>
              </w:rPr>
              <w:t>the payment received from a counterparty when its volume throughput does not meet its MVC for the applicable period</w:t>
            </w:r>
          </w:p>
          <w:p>
            <w:pPr>
              <w:pStyle w:val="TableContents"/>
              <w:bidi w:val="0"/>
              <w:spacing w:before="0" w:after="0"/>
              <w:ind w:left="0" w:right="0" w:hanging="180"/>
              <w:jc w:val="left"/>
              <w:rPr/>
            </w:pPr>
            <w:r>
              <w:rPr/>
            </w:r>
          </w:p>
        </w:tc>
      </w:tr>
      <w:tr>
        <w:trPr/>
        <w:tc>
          <w:tcPr>
            <w:tcW w:w="147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SMLP</w:t>
            </w:r>
          </w:p>
        </w:tc>
        <w:tc>
          <w:tcPr>
            <w:tcW w:w="872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Partners, LP</w:t>
            </w:r>
          </w:p>
        </w:tc>
      </w:tr>
      <w:tr>
        <w:trPr/>
        <w:tc>
          <w:tcPr>
            <w:tcW w:w="147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SMLP LTIP</w:t>
            </w:r>
          </w:p>
        </w:tc>
        <w:tc>
          <w:tcPr>
            <w:tcW w:w="872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SMLP 2022 Long-Term Incentive Plan</w:t>
            </w:r>
          </w:p>
          <w:p>
            <w:pPr>
              <w:pStyle w:val="TableContents"/>
              <w:bidi w:val="0"/>
              <w:spacing w:before="0" w:after="0"/>
              <w:jc w:val="left"/>
              <w:rPr/>
            </w:pPr>
            <w:r>
              <w:rPr/>
            </w:r>
          </w:p>
        </w:tc>
      </w:tr>
      <w:tr>
        <w:trPr/>
        <w:tc>
          <w:tcPr>
            <w:tcW w:w="1477" w:type="dxa"/>
            <w:gridSpan w:val="3"/>
            <w:tcBorders/>
            <w:vAlign w:val="center"/>
          </w:tcPr>
          <w:p>
            <w:pPr>
              <w:pStyle w:val="TableContents"/>
              <w:bidi w:val="0"/>
              <w:spacing w:before="0" w:after="283"/>
              <w:jc w:val="left"/>
              <w:rPr>
                <w:sz w:val="4"/>
                <w:szCs w:val="4"/>
              </w:rPr>
            </w:pPr>
            <w:r>
              <w:rPr>
                <w:sz w:val="4"/>
                <w:szCs w:val="4"/>
              </w:rPr>
            </w:r>
          </w:p>
        </w:tc>
        <w:tc>
          <w:tcPr>
            <w:tcW w:w="8728" w:type="dxa"/>
            <w:gridSpan w:val="3"/>
            <w:tcBorders/>
            <w:vAlign w:val="center"/>
          </w:tcPr>
          <w:p>
            <w:pPr>
              <w:pStyle w:val="TableContents"/>
              <w:bidi w:val="0"/>
              <w:spacing w:before="0" w:after="283"/>
              <w:jc w:val="left"/>
              <w:rPr>
                <w:sz w:val="4"/>
                <w:szCs w:val="4"/>
              </w:rPr>
            </w:pPr>
            <w:r>
              <w:rPr>
                <w:sz w:val="4"/>
                <w:szCs w:val="4"/>
              </w:rPr>
            </w:r>
          </w:p>
        </w:tc>
      </w:tr>
      <w:tr>
        <w:trPr/>
        <w:tc>
          <w:tcPr>
            <w:tcW w:w="1477" w:type="dxa"/>
            <w:gridSpan w:val="3"/>
            <w:tcBorders/>
            <w:vAlign w:val="center"/>
          </w:tcPr>
          <w:p>
            <w:pPr>
              <w:pStyle w:val="TableContents"/>
              <w:bidi w:val="0"/>
              <w:spacing w:before="0" w:after="283"/>
              <w:jc w:val="left"/>
              <w:rPr>
                <w:sz w:val="4"/>
                <w:szCs w:val="4"/>
              </w:rPr>
            </w:pPr>
            <w:r>
              <w:rPr>
                <w:sz w:val="4"/>
                <w:szCs w:val="4"/>
              </w:rPr>
            </w:r>
          </w:p>
        </w:tc>
        <w:tc>
          <w:tcPr>
            <w:tcW w:w="8728"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222885"/>
                <wp:effectExtent l="0" t="0" r="0" b="0"/>
                <wp:wrapNone/>
                <wp:docPr id="6" name="Frame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120" w:after="283"/>
        <w:jc w:val="left"/>
        <w:rPr/>
      </w:pPr>
      <w:hyperlink w:anchor="i69ee8b4d644242bf8ed471293c41640a_7">
        <w:r>
          <w:rPr>
            <w:rStyle w:val="InternetLink"/>
            <w:rFonts w:ascii="Times New Roman;sans-serif" w:hAnsi="Times New Roman;sans-serif"/>
            <w:b w:val="false"/>
            <w:color w:val="000080"/>
            <w:sz w:val="20"/>
            <w:u w:val="single"/>
          </w:rPr>
          <w:t xml:space="preserve">Table </w:t>
        </w:r>
      </w:hyperlink>
      <w:hyperlink w:anchor="i69ee8b4d644242bf8ed471293c41640a_7">
        <w:r>
          <w:rPr>
            <w:rStyle w:val="InternetLink"/>
            <w:rFonts w:ascii="Times New Roman;sans-serif" w:hAnsi="Times New Roman;sans-serif"/>
            <w:b w:val="false"/>
            <w:color w:val="000080"/>
            <w:sz w:val="20"/>
            <w:u w:val="single"/>
          </w:rPr>
          <w:t>of</w:t>
        </w:r>
      </w:hyperlink>
      <w:hyperlink w:anchor="i69ee8b4d644242bf8ed471293c41640a_7">
        <w:r>
          <w:rPr>
            <w:rStyle w:val="InternetLink"/>
            <w:rFonts w:ascii="Times New Roman;sans-serif" w:hAnsi="Times New Roman;sans-serif"/>
            <w:b w:val="false"/>
            <w:color w:val="000080"/>
            <w:sz w:val="20"/>
            <w:u w:val="single"/>
          </w:rPr>
          <w:t xml:space="preserve"> Contents</w:t>
        </w:r>
      </w:hyperlink>
    </w:p>
    <w:tbl>
      <w:tblPr>
        <w:tblW w:w="10205" w:type="dxa"/>
        <w:jc w:val="left"/>
        <w:tblInd w:w="0" w:type="dxa"/>
        <w:tblLayout w:type="fixed"/>
        <w:tblCellMar>
          <w:top w:w="28" w:type="dxa"/>
          <w:left w:w="28" w:type="dxa"/>
          <w:bottom w:w="28" w:type="dxa"/>
          <w:right w:w="28" w:type="dxa"/>
        </w:tblCellMar>
      </w:tblPr>
      <w:tblGrid>
        <w:gridCol w:w="825"/>
        <w:gridCol w:w="478"/>
        <w:gridCol w:w="487"/>
        <w:gridCol w:w="2690"/>
        <w:gridCol w:w="2367"/>
        <w:gridCol w:w="3358"/>
      </w:tblGrid>
      <w:tr>
        <w:trPr/>
        <w:tc>
          <w:tcPr>
            <w:tcW w:w="825"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2690" w:type="dxa"/>
            <w:tcBorders/>
            <w:vAlign w:val="center"/>
          </w:tcPr>
          <w:p>
            <w:pPr>
              <w:pStyle w:val="TableContents"/>
              <w:bidi w:val="0"/>
              <w:spacing w:before="0" w:after="283"/>
              <w:jc w:val="left"/>
              <w:rPr>
                <w:sz w:val="4"/>
                <w:szCs w:val="4"/>
              </w:rPr>
            </w:pPr>
            <w:r>
              <w:rPr>
                <w:sz w:val="4"/>
                <w:szCs w:val="4"/>
              </w:rPr>
            </w:r>
          </w:p>
        </w:tc>
        <w:tc>
          <w:tcPr>
            <w:tcW w:w="2367" w:type="dxa"/>
            <w:tcBorders/>
            <w:vAlign w:val="center"/>
          </w:tcPr>
          <w:p>
            <w:pPr>
              <w:pStyle w:val="TableContents"/>
              <w:bidi w:val="0"/>
              <w:spacing w:before="0" w:after="283"/>
              <w:jc w:val="left"/>
              <w:rPr>
                <w:sz w:val="4"/>
                <w:szCs w:val="4"/>
              </w:rPr>
            </w:pPr>
            <w:r>
              <w:rPr>
                <w:sz w:val="4"/>
                <w:szCs w:val="4"/>
              </w:rPr>
            </w:r>
          </w:p>
        </w:tc>
        <w:tc>
          <w:tcPr>
            <w:tcW w:w="3358" w:type="dxa"/>
            <w:tcBorders/>
            <w:vAlign w:val="center"/>
          </w:tcPr>
          <w:p>
            <w:pPr>
              <w:pStyle w:val="TableContents"/>
              <w:bidi w:val="0"/>
              <w:spacing w:before="0" w:after="283"/>
              <w:jc w:val="left"/>
              <w:rPr>
                <w:sz w:val="4"/>
                <w:szCs w:val="4"/>
              </w:rPr>
            </w:pPr>
            <w:r>
              <w:rPr>
                <w:sz w:val="4"/>
                <w:szCs w:val="4"/>
              </w:rPr>
            </w:r>
          </w:p>
        </w:tc>
      </w:tr>
      <w:tr>
        <w:trPr/>
        <w:tc>
          <w:tcPr>
            <w:tcW w:w="1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SOFR</w:t>
            </w:r>
          </w:p>
        </w:tc>
        <w:tc>
          <w:tcPr>
            <w:tcW w:w="841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Secured Overnight Financing Rate </w:t>
            </w:r>
          </w:p>
          <w:p>
            <w:pPr>
              <w:pStyle w:val="TableContents"/>
              <w:bidi w:val="0"/>
              <w:spacing w:before="0" w:after="0"/>
              <w:ind w:left="0" w:right="0" w:hanging="180"/>
              <w:jc w:val="left"/>
              <w:rPr/>
            </w:pPr>
            <w:r>
              <w:rPr/>
            </w:r>
          </w:p>
        </w:tc>
      </w:tr>
      <w:tr>
        <w:trPr/>
        <w:tc>
          <w:tcPr>
            <w:tcW w:w="179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Subsidiary Series A Preferred Units</w:t>
            </w:r>
          </w:p>
        </w:tc>
        <w:tc>
          <w:tcPr>
            <w:tcW w:w="841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Series A Fixed Rate Cumulative Redeemable Preferred Units issued by Permian Holdco</w:t>
            </w:r>
          </w:p>
        </w:tc>
      </w:tr>
      <w:tr>
        <w:trPr/>
        <w:tc>
          <w:tcPr>
            <w:tcW w:w="1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Holdings</w:t>
            </w:r>
          </w:p>
        </w:tc>
        <w:tc>
          <w:tcPr>
            <w:tcW w:w="8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Holdings, LLC</w:t>
            </w:r>
          </w:p>
        </w:tc>
      </w:tr>
      <w:tr>
        <w:trPr/>
        <w:tc>
          <w:tcPr>
            <w:tcW w:w="1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Investments</w:t>
            </w:r>
          </w:p>
        </w:tc>
        <w:tc>
          <w:tcPr>
            <w:tcW w:w="8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Partners, LLC</w:t>
            </w:r>
          </w:p>
        </w:tc>
      </w:tr>
      <w:tr>
        <w:trPr/>
        <w:tc>
          <w:tcPr>
            <w:tcW w:w="1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Marketing</w:t>
            </w:r>
          </w:p>
        </w:tc>
        <w:tc>
          <w:tcPr>
            <w:tcW w:w="8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Marketing, LLC</w:t>
            </w:r>
          </w:p>
        </w:tc>
      </w:tr>
      <w:tr>
        <w:trPr/>
        <w:tc>
          <w:tcPr>
            <w:tcW w:w="1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Niobrara</w:t>
            </w:r>
          </w:p>
        </w:tc>
        <w:tc>
          <w:tcPr>
            <w:tcW w:w="8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Niobrara, LLC</w:t>
            </w:r>
          </w:p>
        </w:tc>
      </w:tr>
      <w:tr>
        <w:trPr/>
        <w:tc>
          <w:tcPr>
            <w:tcW w:w="1790" w:type="dxa"/>
            <w:gridSpan w:val="3"/>
            <w:tcBorders/>
            <w:vAlign w:val="center"/>
          </w:tcPr>
          <w:p>
            <w:pPr>
              <w:pStyle w:val="TableContents"/>
              <w:bidi w:val="0"/>
              <w:spacing w:before="0" w:after="283"/>
              <w:jc w:val="left"/>
              <w:rPr>
                <w:sz w:val="4"/>
                <w:szCs w:val="4"/>
              </w:rPr>
            </w:pPr>
            <w:r>
              <w:rPr>
                <w:sz w:val="4"/>
                <w:szCs w:val="4"/>
              </w:rPr>
            </w:r>
          </w:p>
        </w:tc>
        <w:tc>
          <w:tcPr>
            <w:tcW w:w="8415" w:type="dxa"/>
            <w:gridSpan w:val="3"/>
            <w:tcBorders/>
            <w:vAlign w:val="center"/>
          </w:tcPr>
          <w:p>
            <w:pPr>
              <w:pStyle w:val="TableContents"/>
              <w:bidi w:val="0"/>
              <w:spacing w:before="0" w:after="283"/>
              <w:jc w:val="left"/>
              <w:rPr>
                <w:sz w:val="4"/>
                <w:szCs w:val="4"/>
              </w:rPr>
            </w:pPr>
            <w:r>
              <w:rPr>
                <w:sz w:val="4"/>
                <w:szCs w:val="4"/>
              </w:rPr>
            </w:r>
          </w:p>
        </w:tc>
      </w:tr>
      <w:tr>
        <w:trPr/>
        <w:tc>
          <w:tcPr>
            <w:tcW w:w="1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Permian II</w:t>
            </w:r>
          </w:p>
        </w:tc>
        <w:tc>
          <w:tcPr>
            <w:tcW w:w="8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Permian II, LLC</w:t>
            </w:r>
          </w:p>
        </w:tc>
      </w:tr>
      <w:tr>
        <w:trPr/>
        <w:tc>
          <w:tcPr>
            <w:tcW w:w="1790"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Summit Permian Transmission</w:t>
            </w:r>
          </w:p>
        </w:tc>
        <w:tc>
          <w:tcPr>
            <w:tcW w:w="8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Permian Transmission, LLC</w:t>
            </w:r>
          </w:p>
        </w:tc>
      </w:tr>
      <w:tr>
        <w:trPr/>
        <w:tc>
          <w:tcPr>
            <w:tcW w:w="17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Utica</w:t>
            </w:r>
          </w:p>
        </w:tc>
        <w:tc>
          <w:tcPr>
            <w:tcW w:w="84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Utica, LLC</w:t>
            </w:r>
          </w:p>
        </w:tc>
      </w:tr>
      <w:tr>
        <w:trPr/>
        <w:tc>
          <w:tcPr>
            <w:tcW w:w="1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Partnership</w:t>
            </w:r>
          </w:p>
        </w:tc>
        <w:tc>
          <w:tcPr>
            <w:tcW w:w="84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Partners, LP and its subsidiaries</w:t>
            </w:r>
          </w:p>
        </w:tc>
      </w:tr>
      <w:tr>
        <w:trPr/>
        <w:tc>
          <w:tcPr>
            <w:tcW w:w="179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the Partnership Agreement</w:t>
            </w:r>
          </w:p>
        </w:tc>
        <w:tc>
          <w:tcPr>
            <w:tcW w:w="841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color w:val="000000"/>
              </w:rPr>
            </w:pPr>
            <w:r>
              <w:rPr>
                <w:color w:val="000000"/>
              </w:rPr>
              <w:t>   </w:t>
            </w:r>
            <w:r>
              <w:rPr>
                <w:rFonts w:ascii="Times New Roman;sans-serif" w:hAnsi="Times New Roman;sans-serif"/>
                <w:b w:val="false"/>
                <w:color w:val="000000"/>
                <w:sz w:val="20"/>
              </w:rPr>
              <w:t>the Fourth Amended and Restated Agreement of Limited Partnership of the Partnership dated May 28, 2020, as amended</w:t>
            </w:r>
          </w:p>
          <w:p>
            <w:pPr>
              <w:pStyle w:val="TableContents"/>
              <w:bidi w:val="0"/>
              <w:spacing w:before="0" w:after="0"/>
              <w:ind w:left="0" w:right="0" w:hanging="180"/>
              <w:jc w:val="left"/>
              <w:rPr/>
            </w:pPr>
            <w:r>
              <w:rPr/>
            </w:r>
          </w:p>
        </w:tc>
      </w:tr>
      <w:tr>
        <w:trPr/>
        <w:tc>
          <w:tcPr>
            <w:tcW w:w="1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throughput volume</w:t>
            </w:r>
          </w:p>
        </w:tc>
        <w:tc>
          <w:tcPr>
            <w:tcW w:w="841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color w:val="000000"/>
              </w:rPr>
            </w:pPr>
            <w:r>
              <w:rPr>
                <w:color w:val="000000"/>
              </w:rPr>
              <w:t>   </w:t>
            </w:r>
            <w:r>
              <w:rPr>
                <w:rFonts w:ascii="Times New Roman;sans-serif" w:hAnsi="Times New Roman;sans-serif"/>
                <w:b w:val="false"/>
                <w:color w:val="000000"/>
                <w:sz w:val="20"/>
              </w:rPr>
              <w:t>the volume of natural gas, crude oil or produced water gathered, transported or passing through a pipeline, plant or other facility during a particular period; also referred to as volume throughput</w:t>
            </w:r>
          </w:p>
          <w:p>
            <w:pPr>
              <w:pStyle w:val="TableContents"/>
              <w:bidi w:val="0"/>
              <w:spacing w:before="0" w:after="0"/>
              <w:ind w:left="0" w:right="0" w:hanging="180"/>
              <w:jc w:val="left"/>
              <w:rPr/>
            </w:pPr>
            <w:r>
              <w:rPr/>
            </w:r>
          </w:p>
        </w:tc>
      </w:tr>
      <w:tr>
        <w:trPr/>
        <w:tc>
          <w:tcPr>
            <w:tcW w:w="1790"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unconventional resource basin</w:t>
            </w:r>
          </w:p>
        </w:tc>
        <w:tc>
          <w:tcPr>
            <w:tcW w:w="841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color w:val="000000"/>
              </w:rPr>
            </w:pPr>
            <w:r>
              <w:rPr>
                <w:color w:val="000000"/>
              </w:rPr>
              <w:t>   </w:t>
            </w:r>
            <w:r>
              <w:rPr>
                <w:rFonts w:ascii="Times New Roman;sans-serif" w:hAnsi="Times New Roman;sans-serif"/>
                <w:b w:val="false"/>
                <w:color w:val="000000"/>
                <w:sz w:val="20"/>
              </w:rPr>
              <w:t>a basin where natural gas or crude oil production is developed from unconventional sources that require hydraulic fracturing as part of the completion process, for instance, natural gas produced from shale formations and coalbeds; also referred to as an unconventional resource play</w:t>
            </w:r>
          </w:p>
          <w:p>
            <w:pPr>
              <w:pStyle w:val="TableContents"/>
              <w:bidi w:val="0"/>
              <w:spacing w:before="0" w:after="0"/>
              <w:ind w:left="0" w:right="0" w:hanging="180"/>
              <w:jc w:val="left"/>
              <w:rPr/>
            </w:pPr>
            <w:r>
              <w:rPr/>
            </w:r>
          </w:p>
        </w:tc>
      </w:tr>
      <w:tr>
        <w:trPr/>
        <w:tc>
          <w:tcPr>
            <w:tcW w:w="17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wellhead</w:t>
            </w:r>
          </w:p>
        </w:tc>
        <w:tc>
          <w:tcPr>
            <w:tcW w:w="8415"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color w:val="000000"/>
              </w:rPr>
            </w:pPr>
            <w:r>
              <w:rPr>
                <w:color w:val="000000"/>
              </w:rPr>
              <w:t>   </w:t>
            </w:r>
            <w:r>
              <w:rPr>
                <w:rFonts w:ascii="Times New Roman;sans-serif" w:hAnsi="Times New Roman;sans-serif"/>
                <w:b w:val="false"/>
                <w:color w:val="000000"/>
                <w:sz w:val="20"/>
              </w:rPr>
              <w:t>the equipment at the surface of a well, used to control the well's pressure; also, the point at which the hydrocarbons and water exit the ground</w:t>
            </w:r>
          </w:p>
          <w:p>
            <w:pPr>
              <w:pStyle w:val="TableContents"/>
              <w:bidi w:val="0"/>
              <w:spacing w:before="0" w:after="0"/>
              <w:ind w:left="0" w:right="0" w:hanging="180"/>
              <w:jc w:val="left"/>
              <w:rPr/>
            </w:pPr>
            <w:r>
              <w:rPr/>
            </w:r>
          </w:p>
        </w:tc>
      </w:tr>
    </w:tbl>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222885"/>
                <wp:effectExtent l="0" t="0" r="0" b="0"/>
                <wp:wrapNone/>
                <wp:docPr id="7" name="Frame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120" w:after="283"/>
        <w:jc w:val="left"/>
        <w:rPr/>
      </w:pPr>
      <w:hyperlink w:anchor="i69ee8b4d644242bf8ed471293c41640a_7">
        <w:r>
          <w:rPr>
            <w:rStyle w:val="InternetLink"/>
            <w:rFonts w:ascii="Times New Roman;sans-serif" w:hAnsi="Times New Roman;sans-serif"/>
            <w:b w:val="false"/>
            <w:color w:val="000080"/>
            <w:sz w:val="20"/>
            <w:u w:val="single"/>
          </w:rPr>
          <w:t xml:space="preserve">Table </w:t>
        </w:r>
      </w:hyperlink>
      <w:hyperlink w:anchor="i69ee8b4d644242bf8ed471293c41640a_7">
        <w:r>
          <w:rPr>
            <w:rStyle w:val="InternetLink"/>
            <w:rFonts w:ascii="Times New Roman;sans-serif" w:hAnsi="Times New Roman;sans-serif"/>
            <w:b w:val="false"/>
            <w:color w:val="000080"/>
            <w:sz w:val="20"/>
            <w:u w:val="single"/>
          </w:rPr>
          <w:t>of</w:t>
        </w:r>
      </w:hyperlink>
      <w:hyperlink w:anchor="i69ee8b4d644242bf8ed471293c41640a_7">
        <w:r>
          <w:rPr>
            <w:rStyle w:val="InternetLink"/>
            <w:rFonts w:ascii="Times New Roman;sans-serif" w:hAnsi="Times New Roman;sans-serif"/>
            <w:b w:val="false"/>
            <w:color w:val="000080"/>
            <w:sz w:val="20"/>
            <w:u w:val="single"/>
          </w:rPr>
          <w:t xml:space="preserve"> Contents</w:t>
        </w:r>
      </w:hyperlink>
    </w:p>
    <w:p>
      <w:pPr>
        <w:pStyle w:val="TextBody"/>
        <w:bidi w:val="0"/>
        <w:spacing w:lineRule="auto" w:line="288" w:before="120" w:after="283"/>
        <w:jc w:val="left"/>
        <w:rPr>
          <w:rFonts w:ascii="Times New Roman;sans-serif" w:hAnsi="Times New Roman;sans-serif"/>
          <w:b/>
          <w:color w:val="000000"/>
          <w:sz w:val="22"/>
        </w:rPr>
      </w:pPr>
      <w:r>
        <w:rPr>
          <w:rFonts w:ascii="Times New Roman;sans-serif" w:hAnsi="Times New Roman;sans-serif"/>
          <w:b/>
          <w:color w:val="000000"/>
          <w:sz w:val="22"/>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2"/>
        </w:rPr>
      </w:pPr>
      <w:r>
        <w:rPr>
          <w:rFonts w:ascii="Times New Roman;sans-serif" w:hAnsi="Times New Roman;sans-serif"/>
          <w:b/>
          <w:color w:val="000000"/>
          <w:sz w:val="22"/>
        </w:rPr>
        <w:t>Item 1.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20" w:after="283"/>
        <w:jc w:val="center"/>
        <w:rPr/>
      </w:pPr>
      <w:r>
        <w:rPr/>
      </w:r>
    </w:p>
    <w:p>
      <w:pPr>
        <w:pStyle w:val="TextBody"/>
        <w:bidi w:val="0"/>
        <w:spacing w:lineRule="auto" w:line="288" w:before="120" w:after="283"/>
        <w:ind w:left="0" w:right="0" w:hanging="90"/>
        <w:jc w:val="center"/>
        <w:rPr>
          <w:rFonts w:ascii="Times New Roman;sans-serif" w:hAnsi="Times New Roman;sans-serif"/>
          <w:b/>
          <w:color w:val="000000"/>
          <w:sz w:val="22"/>
        </w:rPr>
      </w:pPr>
      <w:r>
        <w:rPr>
          <w:rFonts w:ascii="Times New Roman;sans-serif" w:hAnsi="Times New Roman;sans-serif"/>
          <w:b/>
          <w:color w:val="000000"/>
          <w:sz w:val="22"/>
        </w:rPr>
        <w:t>SUMMIT MIDSTREAM PARTNERS, LP AND SUBSIDIARIES</w:t>
      </w:r>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UNAUDITED CONDENSED CONSOLIDATED BALANCE SHEETS</w:t>
      </w:r>
    </w:p>
    <w:tbl>
      <w:tblPr>
        <w:tblW w:w="10205" w:type="dxa"/>
        <w:jc w:val="left"/>
        <w:tblInd w:w="0" w:type="dxa"/>
        <w:tblLayout w:type="fixed"/>
        <w:tblCellMar>
          <w:top w:w="28" w:type="dxa"/>
          <w:left w:w="28" w:type="dxa"/>
          <w:bottom w:w="28" w:type="dxa"/>
          <w:right w:w="28" w:type="dxa"/>
        </w:tblCellMar>
      </w:tblPr>
      <w:tblGrid>
        <w:gridCol w:w="2693"/>
        <w:gridCol w:w="2264"/>
        <w:gridCol w:w="2282"/>
        <w:gridCol w:w="211"/>
        <w:gridCol w:w="976"/>
        <w:gridCol w:w="109"/>
        <w:gridCol w:w="109"/>
        <w:gridCol w:w="109"/>
        <w:gridCol w:w="109"/>
        <w:gridCol w:w="211"/>
        <w:gridCol w:w="976"/>
        <w:gridCol w:w="156"/>
      </w:tblGrid>
      <w:tr>
        <w:trPr/>
        <w:tc>
          <w:tcPr>
            <w:tcW w:w="2693" w:type="dxa"/>
            <w:tcBorders/>
            <w:vAlign w:val="center"/>
          </w:tcPr>
          <w:p>
            <w:pPr>
              <w:pStyle w:val="TableContents"/>
              <w:bidi w:val="0"/>
              <w:spacing w:before="0" w:after="283"/>
              <w:jc w:val="left"/>
              <w:rPr>
                <w:sz w:val="4"/>
                <w:szCs w:val="4"/>
              </w:rPr>
            </w:pPr>
            <w:r>
              <w:rPr>
                <w:sz w:val="4"/>
                <w:szCs w:val="4"/>
              </w:rPr>
            </w:r>
          </w:p>
        </w:tc>
        <w:tc>
          <w:tcPr>
            <w:tcW w:w="2264" w:type="dxa"/>
            <w:tcBorders/>
            <w:vAlign w:val="center"/>
          </w:tcPr>
          <w:p>
            <w:pPr>
              <w:pStyle w:val="TableContents"/>
              <w:bidi w:val="0"/>
              <w:spacing w:before="0" w:after="283"/>
              <w:jc w:val="left"/>
              <w:rPr>
                <w:sz w:val="4"/>
                <w:szCs w:val="4"/>
              </w:rPr>
            </w:pPr>
            <w:r>
              <w:rPr>
                <w:sz w:val="4"/>
                <w:szCs w:val="4"/>
              </w:rPr>
            </w:r>
          </w:p>
        </w:tc>
        <w:tc>
          <w:tcPr>
            <w:tcW w:w="228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72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unit amounts)</w:t>
            </w:r>
          </w:p>
        </w:tc>
      </w:tr>
      <w:tr>
        <w:trPr/>
        <w:tc>
          <w:tcPr>
            <w:tcW w:w="72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14,044 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76,275 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221,434 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98,422 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1,698,585 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175,592 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equity method investees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486,434 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2,032,938 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2,494,198 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LIABILITIES AND CAPITAL</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accounts payable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32,377 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 valorem taxes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8,543 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 and employee benefits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interest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environmental remediation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settlement payable</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portion of long-term debt</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166,645 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134,012 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 net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861,676 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1,455,166 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deferred revenue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accrued environmental remediation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30,266 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1,080,854 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1,650,983 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pPr>
            <w:r>
              <w:rPr>
                <w:rFonts w:ascii="Times New Roman;sans-serif" w:hAnsi="Times New Roman;sans-serif"/>
                <w:b w:val="false"/>
                <w:color w:val="000000"/>
                <w:sz w:val="20"/>
              </w:rPr>
              <w:t>Commitments and contingencies (Note</w:t>
            </w:r>
            <w:r>
              <w:rPr>
                <w:color w:val="000000"/>
              </w:rPr>
              <w:t xml:space="preserve"> </w:t>
            </w:r>
            <w:r>
              <w:rPr>
                <w:rFonts w:ascii="Times New Roman;sans-serif" w:hAnsi="Times New Roman;sans-serif"/>
                <w:b w:val="false"/>
                <w:color w:val="000000"/>
                <w:sz w:val="20"/>
              </w:rPr>
              <w:t>14)</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Mezzanine Capital</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Subsidiary Series A Preferred Units (93,039 units issued and outstanding at June 30, 2024 and December 31, 2023)</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124,652 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Partners' Capital</w:t>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Series A Preferred Units (65,508 units issued and outstanding at June 30, 2024 and December 31, 2023)</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96,893 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limited partner capital (10,648,685 and 10,376,189 units issued and outstanding at June 30, 2024 and December 31, 2023, respectively)</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719,626 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621,670 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partners' capital</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823,052 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718,563 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CAPITAL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2,032,938 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2,494,198 </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222885"/>
                <wp:effectExtent l="0" t="0" r="0" b="0"/>
                <wp:wrapNone/>
                <wp:docPr id="8" name="Frame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120" w:after="283"/>
        <w:jc w:val="left"/>
        <w:rPr/>
      </w:pPr>
      <w:hyperlink w:anchor="i69ee8b4d644242bf8ed471293c41640a_7">
        <w:r>
          <w:rPr>
            <w:rStyle w:val="InternetLink"/>
            <w:rFonts w:ascii="Times New Roman;sans-serif" w:hAnsi="Times New Roman;sans-serif"/>
            <w:b w:val="false"/>
            <w:color w:val="000080"/>
            <w:sz w:val="20"/>
            <w:u w:val="single"/>
          </w:rPr>
          <w:t xml:space="preserve">Table </w:t>
        </w:r>
      </w:hyperlink>
      <w:hyperlink w:anchor="i69ee8b4d644242bf8ed471293c41640a_7">
        <w:r>
          <w:rPr>
            <w:rStyle w:val="InternetLink"/>
            <w:rFonts w:ascii="Times New Roman;sans-serif" w:hAnsi="Times New Roman;sans-serif"/>
            <w:b w:val="false"/>
            <w:color w:val="000080"/>
            <w:sz w:val="20"/>
            <w:u w:val="single"/>
          </w:rPr>
          <w:t>of</w:t>
        </w:r>
      </w:hyperlink>
      <w:hyperlink w:anchor="i69ee8b4d644242bf8ed471293c41640a_7">
        <w:r>
          <w:rPr>
            <w:rStyle w:val="InternetLink"/>
            <w:rFonts w:ascii="Times New Roman;sans-serif" w:hAnsi="Times New Roman;sans-serif"/>
            <w:b w:val="false"/>
            <w:color w:val="000080"/>
            <w:sz w:val="20"/>
            <w:u w:val="single"/>
          </w:rPr>
          <w:t xml:space="preserve"> Contents</w:t>
        </w:r>
      </w:hyperlink>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SUMMIT MIDSTREAM PARTNERS, LP AND SUBSIDIARIES</w:t>
      </w:r>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UNAUDITED CONDENSED CONSOLIDATED STATEMENTS OF OPERATIONS</w:t>
      </w:r>
    </w:p>
    <w:tbl>
      <w:tblPr>
        <w:tblW w:w="10205" w:type="dxa"/>
        <w:jc w:val="left"/>
        <w:tblInd w:w="0" w:type="dxa"/>
        <w:tblLayout w:type="fixed"/>
        <w:tblCellMar>
          <w:top w:w="28" w:type="dxa"/>
          <w:left w:w="28" w:type="dxa"/>
          <w:bottom w:w="28" w:type="dxa"/>
          <w:right w:w="28" w:type="dxa"/>
        </w:tblCellMar>
      </w:tblPr>
      <w:tblGrid>
        <w:gridCol w:w="1848"/>
        <w:gridCol w:w="1417"/>
        <w:gridCol w:w="1425"/>
        <w:gridCol w:w="211"/>
        <w:gridCol w:w="777"/>
        <w:gridCol w:w="109"/>
        <w:gridCol w:w="109"/>
        <w:gridCol w:w="109"/>
        <w:gridCol w:w="109"/>
        <w:gridCol w:w="211"/>
        <w:gridCol w:w="777"/>
        <w:gridCol w:w="109"/>
        <w:gridCol w:w="109"/>
        <w:gridCol w:w="109"/>
        <w:gridCol w:w="109"/>
        <w:gridCol w:w="211"/>
        <w:gridCol w:w="826"/>
        <w:gridCol w:w="109"/>
        <w:gridCol w:w="109"/>
        <w:gridCol w:w="109"/>
        <w:gridCol w:w="109"/>
        <w:gridCol w:w="211"/>
        <w:gridCol w:w="826"/>
        <w:gridCol w:w="157"/>
      </w:tblGrid>
      <w:tr>
        <w:trPr/>
        <w:tc>
          <w:tcPr>
            <w:tcW w:w="1848" w:type="dxa"/>
            <w:tcBorders/>
            <w:vAlign w:val="center"/>
          </w:tcPr>
          <w:p>
            <w:pPr>
              <w:pStyle w:val="TableContents"/>
              <w:bidi w:val="0"/>
              <w:spacing w:before="0" w:after="283"/>
              <w:jc w:val="left"/>
              <w:rPr>
                <w:sz w:val="4"/>
                <w:szCs w:val="4"/>
              </w:rPr>
            </w:pPr>
            <w:r>
              <w:rPr>
                <w:sz w:val="4"/>
                <w:szCs w:val="4"/>
              </w:rPr>
            </w:r>
          </w:p>
        </w:tc>
        <w:tc>
          <w:tcPr>
            <w:tcW w:w="1417" w:type="dxa"/>
            <w:tcBorders/>
            <w:vAlign w:val="center"/>
          </w:tcPr>
          <w:p>
            <w:pPr>
              <w:pStyle w:val="TableContents"/>
              <w:bidi w:val="0"/>
              <w:spacing w:before="0" w:after="283"/>
              <w:jc w:val="left"/>
              <w:rPr>
                <w:sz w:val="4"/>
                <w:szCs w:val="4"/>
              </w:rPr>
            </w:pPr>
            <w:r>
              <w:rPr>
                <w:sz w:val="4"/>
                <w:szCs w:val="4"/>
              </w:rPr>
            </w:r>
          </w:p>
        </w:tc>
        <w:tc>
          <w:tcPr>
            <w:tcW w:w="142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w:t>
            </w:r>
          </w:p>
        </w:tc>
      </w:tr>
      <w:tr>
        <w:trPr/>
        <w:tc>
          <w:tcPr>
            <w:tcW w:w="4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6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per-unit amounts)</w:t>
            </w:r>
          </w:p>
        </w:tc>
      </w:tr>
      <w:tr>
        <w:trPr/>
        <w:tc>
          <w:tcPr>
            <w:tcW w:w="4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services and related fees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114,457 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NGLs and condensate sales</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85,245 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210,392 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0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natural gas and NGLs</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50,857 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and maintenance</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49,130 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59,956 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integration costs</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asset sales, net</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 impairments</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268,031 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184,061 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net</w:t>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interest rate swaps</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sale of business</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Ohio Gathering</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(69,398)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early extinguishment of debt</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 and equity method investment income</w:t>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(40,046)</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equity method investees</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(27,703)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Subsidiary Series A Preferred Units</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(5,242)</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Summit Midstream Partners, LP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(32,945)</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Series A Preferred Units</w:t>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(5,438)</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 attributable to common limited partners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(30,957)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(38,383)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Net income (loss) per limited partner unit:</w:t>
            </w:r>
          </w:p>
        </w:tc>
        <w:tc>
          <w:tcPr>
            <w:tcW w:w="10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unit – basic</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unit – diluted</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Weighted-average limited partner units outstanding:</w:t>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units – basic</w:t>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10,291 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units – diluted</w:t>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222885"/>
                <wp:effectExtent l="0" t="0" r="0" b="0"/>
                <wp:wrapNone/>
                <wp:docPr id="9" name="Frame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120" w:after="283"/>
        <w:jc w:val="left"/>
        <w:rPr/>
      </w:pPr>
      <w:hyperlink w:anchor="i69ee8b4d644242bf8ed471293c41640a_7">
        <w:r>
          <w:rPr>
            <w:rStyle w:val="InternetLink"/>
            <w:rFonts w:ascii="Times New Roman;sans-serif" w:hAnsi="Times New Roman;sans-serif"/>
            <w:b w:val="false"/>
            <w:color w:val="000080"/>
            <w:sz w:val="20"/>
            <w:u w:val="single"/>
          </w:rPr>
          <w:t xml:space="preserve">Table </w:t>
        </w:r>
      </w:hyperlink>
      <w:hyperlink w:anchor="i69ee8b4d644242bf8ed471293c41640a_7">
        <w:r>
          <w:rPr>
            <w:rStyle w:val="InternetLink"/>
            <w:rFonts w:ascii="Times New Roman;sans-serif" w:hAnsi="Times New Roman;sans-serif"/>
            <w:b w:val="false"/>
            <w:color w:val="000080"/>
            <w:sz w:val="20"/>
            <w:u w:val="single"/>
          </w:rPr>
          <w:t>of</w:t>
        </w:r>
      </w:hyperlink>
      <w:hyperlink w:anchor="i69ee8b4d644242bf8ed471293c41640a_7">
        <w:r>
          <w:rPr>
            <w:rStyle w:val="InternetLink"/>
            <w:rFonts w:ascii="Times New Roman;sans-serif" w:hAnsi="Times New Roman;sans-serif"/>
            <w:b w:val="false"/>
            <w:color w:val="000080"/>
            <w:sz w:val="20"/>
            <w:u w:val="single"/>
          </w:rPr>
          <w:t xml:space="preserve"> Contents</w:t>
        </w:r>
      </w:hyperlink>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SUMMIT MIDSTREAM PARTNERS, LP AND SUBSIDIARIES</w:t>
      </w:r>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UNAUDITED CONDENSED CONSOLIDATED STATEMENTS OF PARTNERS' CAPITAL</w:t>
      </w:r>
    </w:p>
    <w:tbl>
      <w:tblPr>
        <w:tblW w:w="10205" w:type="dxa"/>
        <w:jc w:val="left"/>
        <w:tblInd w:w="0" w:type="dxa"/>
        <w:tblLayout w:type="fixed"/>
        <w:tblCellMar>
          <w:top w:w="28" w:type="dxa"/>
          <w:left w:w="28" w:type="dxa"/>
          <w:bottom w:w="28" w:type="dxa"/>
          <w:right w:w="28" w:type="dxa"/>
        </w:tblCellMar>
      </w:tblPr>
      <w:tblGrid>
        <w:gridCol w:w="1625"/>
        <w:gridCol w:w="1311"/>
        <w:gridCol w:w="1320"/>
        <w:gridCol w:w="109"/>
        <w:gridCol w:w="109"/>
        <w:gridCol w:w="109"/>
        <w:gridCol w:w="109"/>
        <w:gridCol w:w="293"/>
        <w:gridCol w:w="1148"/>
        <w:gridCol w:w="150"/>
        <w:gridCol w:w="109"/>
        <w:gridCol w:w="109"/>
        <w:gridCol w:w="109"/>
        <w:gridCol w:w="381"/>
        <w:gridCol w:w="1494"/>
        <w:gridCol w:w="196"/>
        <w:gridCol w:w="109"/>
        <w:gridCol w:w="109"/>
        <w:gridCol w:w="109"/>
        <w:gridCol w:w="211"/>
        <w:gridCol w:w="826"/>
        <w:gridCol w:w="160"/>
      </w:tblGrid>
      <w:tr>
        <w:trPr/>
        <w:tc>
          <w:tcPr>
            <w:tcW w:w="1625"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1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49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4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9"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Partners'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4" w:type="dxa"/>
            <w:gridSpan w:val="6"/>
            <w:tcBorders/>
          </w:tcPr>
          <w:p>
            <w:pPr>
              <w:pStyle w:val="TableContents"/>
              <w:bidi w:val="0"/>
              <w:spacing w:before="0" w:after="283"/>
              <w:jc w:val="left"/>
              <w:rPr>
                <w:sz w:val="4"/>
                <w:szCs w:val="4"/>
              </w:rPr>
            </w:pPr>
            <w:r>
              <w:rPr>
                <w:sz w:val="4"/>
                <w:szCs w:val="4"/>
              </w:rPr>
            </w:r>
          </w:p>
        </w:tc>
      </w:tr>
      <w:tr>
        <w:trPr/>
        <w:tc>
          <w:tcPr>
            <w:tcW w:w="4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A Preferred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Limited Partners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2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1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Partners' capital, December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96,893 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621,670 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718,563 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125,937 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129,157 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Tax withholdings and associated payments on vested SMLP LTIP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(1,878)</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4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Partners' capital, March 31,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100,113 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748,501 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848,614 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(30,957)</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(27,644)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Tax withholdings and associated payments on vested SMLP LTIP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Partners' capital, June 30, 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4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103,426 </w:t>
            </w:r>
          </w:p>
        </w:tc>
        <w:tc>
          <w:tcPr>
            <w:tcW w:w="15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4"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719,626 </w:t>
            </w:r>
          </w:p>
        </w:tc>
        <w:tc>
          <w:tcPr>
            <w:tcW w:w="19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823,052 </w:t>
            </w:r>
          </w:p>
        </w:tc>
        <w:tc>
          <w:tcPr>
            <w:tcW w:w="160"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2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42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42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42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42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42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42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r>
        <w:trPr/>
        <w:tc>
          <w:tcPr>
            <w:tcW w:w="425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pStyle w:val="TextBody"/>
        <w:bidi w:val="0"/>
        <w:spacing w:before="100" w:after="283"/>
        <w:jc w:val="left"/>
        <w:rPr/>
      </w:pPr>
      <w:r>
        <w:rPr/>
      </w:r>
    </w:p>
    <w:tbl>
      <w:tblPr>
        <w:tblW w:w="10205" w:type="dxa"/>
        <w:jc w:val="left"/>
        <w:tblInd w:w="0" w:type="dxa"/>
        <w:tblLayout w:type="fixed"/>
        <w:tblCellMar>
          <w:top w:w="28" w:type="dxa"/>
          <w:left w:w="28" w:type="dxa"/>
          <w:bottom w:w="28" w:type="dxa"/>
          <w:right w:w="28" w:type="dxa"/>
        </w:tblCellMar>
      </w:tblPr>
      <w:tblGrid>
        <w:gridCol w:w="1631"/>
        <w:gridCol w:w="1318"/>
        <w:gridCol w:w="1327"/>
        <w:gridCol w:w="109"/>
        <w:gridCol w:w="109"/>
        <w:gridCol w:w="114"/>
        <w:gridCol w:w="114"/>
        <w:gridCol w:w="315"/>
        <w:gridCol w:w="1079"/>
        <w:gridCol w:w="162"/>
        <w:gridCol w:w="109"/>
        <w:gridCol w:w="109"/>
        <w:gridCol w:w="109"/>
        <w:gridCol w:w="382"/>
        <w:gridCol w:w="1498"/>
        <w:gridCol w:w="197"/>
        <w:gridCol w:w="109"/>
        <w:gridCol w:w="109"/>
        <w:gridCol w:w="109"/>
        <w:gridCol w:w="211"/>
        <w:gridCol w:w="826"/>
        <w:gridCol w:w="159"/>
      </w:tblGrid>
      <w:tr>
        <w:trPr/>
        <w:tc>
          <w:tcPr>
            <w:tcW w:w="1631" w:type="dxa"/>
            <w:tcBorders/>
            <w:vAlign w:val="center"/>
          </w:tcPr>
          <w:p>
            <w:pPr>
              <w:pStyle w:val="TableContents"/>
              <w:bidi w:val="0"/>
              <w:spacing w:before="0" w:after="283"/>
              <w:jc w:val="left"/>
              <w:rPr>
                <w:sz w:val="4"/>
                <w:szCs w:val="4"/>
              </w:rPr>
            </w:pPr>
            <w:r>
              <w:rPr>
                <w:sz w:val="4"/>
                <w:szCs w:val="4"/>
              </w:rPr>
            </w:r>
          </w:p>
        </w:tc>
        <w:tc>
          <w:tcPr>
            <w:tcW w:w="1318" w:type="dxa"/>
            <w:tcBorders/>
            <w:vAlign w:val="center"/>
          </w:tcPr>
          <w:p>
            <w:pPr>
              <w:pStyle w:val="TableContents"/>
              <w:bidi w:val="0"/>
              <w:spacing w:before="0" w:after="283"/>
              <w:jc w:val="left"/>
              <w:rPr>
                <w:sz w:val="4"/>
                <w:szCs w:val="4"/>
              </w:rPr>
            </w:pPr>
            <w:r>
              <w:rPr>
                <w:sz w:val="4"/>
                <w:szCs w:val="4"/>
              </w:rPr>
            </w:r>
          </w:p>
        </w:tc>
        <w:tc>
          <w:tcPr>
            <w:tcW w:w="13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4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84" w:type="dxa"/>
            <w:gridSpan w:val="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Partners'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3" w:type="dxa"/>
            <w:gridSpan w:val="6"/>
            <w:tcBorders/>
          </w:tcPr>
          <w:p>
            <w:pPr>
              <w:pStyle w:val="TableContents"/>
              <w:bidi w:val="0"/>
              <w:spacing w:before="0" w:after="283"/>
              <w:jc w:val="left"/>
              <w:rPr>
                <w:sz w:val="4"/>
                <w:szCs w:val="4"/>
              </w:rPr>
            </w:pPr>
            <w:r>
              <w:rPr>
                <w:sz w:val="4"/>
                <w:szCs w:val="4"/>
              </w:rPr>
            </w:r>
          </w:p>
        </w:tc>
      </w:tr>
      <w:tr>
        <w:trPr/>
        <w:tc>
          <w:tcPr>
            <w:tcW w:w="4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Series A Preferred Units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Limited Partners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548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27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Partners' capital, December 31, 2022</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15"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9"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85,327 </w:t>
            </w:r>
          </w:p>
        </w:tc>
        <w:tc>
          <w:tcPr>
            <w:tcW w:w="16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8"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679,491 </w:t>
            </w:r>
          </w:p>
        </w:tc>
        <w:tc>
          <w:tcPr>
            <w:tcW w:w="19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764,818 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(18,548)</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(15,909)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1,929 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Tax withholdings and associated payments on vested SMLP LTIP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27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Partners' capital, March 31,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87,966 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661,736 </w:t>
            </w:r>
          </w:p>
        </w:tc>
        <w:tc>
          <w:tcPr>
            <w:tcW w:w="19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749,702 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(17,036)</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Unit-based compensation</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1,833 </w:t>
            </w:r>
          </w:p>
        </w:tc>
        <w:tc>
          <w:tcPr>
            <w:tcW w:w="19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6"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Tax withholdings and associated payments on vested SMLP LTIP awards</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3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6" w:type="dxa"/>
            <w:gridSpan w:val="3"/>
            <w:tcBorders/>
            <w:shd w:fill="CFF0FC"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Partners' capital, June 30, 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90,765 </w:t>
            </w:r>
          </w:p>
        </w:tc>
        <w:tc>
          <w:tcPr>
            <w:tcW w:w="16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498"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643,586 </w:t>
            </w:r>
          </w:p>
        </w:tc>
        <w:tc>
          <w:tcPr>
            <w:tcW w:w="197"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734,351 </w:t>
            </w:r>
          </w:p>
        </w:tc>
        <w:tc>
          <w:tcPr>
            <w:tcW w:w="159" w:type="dxa"/>
            <w:tcBorders>
              <w:top w:val="single" w:sz="8" w:space="0" w:color="000000"/>
              <w:bottom w:val="sing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r>
        <w:trPr/>
        <w:tc>
          <w:tcPr>
            <w:tcW w:w="427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5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7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222885"/>
                <wp:effectExtent l="0" t="0" r="0" b="0"/>
                <wp:wrapNone/>
                <wp:docPr id="10" name="Frame1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120" w:after="283"/>
        <w:jc w:val="left"/>
        <w:rPr/>
      </w:pPr>
      <w:hyperlink w:anchor="i69ee8b4d644242bf8ed471293c41640a_7">
        <w:r>
          <w:rPr>
            <w:rStyle w:val="InternetLink"/>
            <w:rFonts w:ascii="Times New Roman;sans-serif" w:hAnsi="Times New Roman;sans-serif"/>
            <w:b w:val="false"/>
            <w:color w:val="000080"/>
            <w:sz w:val="20"/>
            <w:u w:val="single"/>
          </w:rPr>
          <w:t xml:space="preserve">Table </w:t>
        </w:r>
      </w:hyperlink>
      <w:hyperlink w:anchor="i69ee8b4d644242bf8ed471293c41640a_7">
        <w:r>
          <w:rPr>
            <w:rStyle w:val="InternetLink"/>
            <w:rFonts w:ascii="Times New Roman;sans-serif" w:hAnsi="Times New Roman;sans-serif"/>
            <w:b w:val="false"/>
            <w:color w:val="000080"/>
            <w:sz w:val="20"/>
            <w:u w:val="single"/>
          </w:rPr>
          <w:t>of</w:t>
        </w:r>
      </w:hyperlink>
      <w:hyperlink w:anchor="i69ee8b4d644242bf8ed471293c41640a_7">
        <w:r>
          <w:rPr>
            <w:rStyle w:val="InternetLink"/>
            <w:rFonts w:ascii="Times New Roman;sans-serif" w:hAnsi="Times New Roman;sans-serif"/>
            <w:b w:val="false"/>
            <w:color w:val="000080"/>
            <w:sz w:val="20"/>
            <w:u w:val="single"/>
          </w:rPr>
          <w:t xml:space="preserve"> Contents</w:t>
        </w:r>
      </w:hyperlink>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SUMMIT MIDSTREAM PARTNERS, LP AND SUBSIDIARIES</w:t>
      </w:r>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UNAUDITED CONDENSED CONSOLIDATED STATEMENTS OF CASH FLOWS</w:t>
      </w:r>
    </w:p>
    <w:tbl>
      <w:tblPr>
        <w:tblW w:w="8154" w:type="dxa"/>
        <w:jc w:val="left"/>
        <w:tblInd w:w="0" w:type="dxa"/>
        <w:tblLayout w:type="fixed"/>
        <w:tblCellMar>
          <w:top w:w="28" w:type="dxa"/>
          <w:left w:w="28" w:type="dxa"/>
          <w:bottom w:w="28" w:type="dxa"/>
          <w:right w:w="28" w:type="dxa"/>
        </w:tblCellMar>
      </w:tblPr>
      <w:tblGrid>
        <w:gridCol w:w="2069"/>
        <w:gridCol w:w="1820"/>
        <w:gridCol w:w="1826"/>
        <w:gridCol w:w="196"/>
        <w:gridCol w:w="736"/>
        <w:gridCol w:w="109"/>
        <w:gridCol w:w="109"/>
        <w:gridCol w:w="109"/>
        <w:gridCol w:w="109"/>
        <w:gridCol w:w="196"/>
        <w:gridCol w:w="721"/>
        <w:gridCol w:w="154"/>
      </w:tblGrid>
      <w:tr>
        <w:trPr/>
        <w:tc>
          <w:tcPr>
            <w:tcW w:w="2069" w:type="dxa"/>
            <w:tcBorders/>
            <w:vAlign w:val="center"/>
          </w:tcPr>
          <w:p>
            <w:pPr>
              <w:pStyle w:val="TableContents"/>
              <w:bidi w:val="0"/>
              <w:spacing w:before="0" w:after="283"/>
              <w:jc w:val="left"/>
              <w:rPr>
                <w:sz w:val="4"/>
                <w:szCs w:val="4"/>
              </w:rPr>
            </w:pPr>
            <w:r>
              <w:rPr>
                <w:sz w:val="4"/>
                <w:szCs w:val="4"/>
              </w:rPr>
            </w:r>
          </w:p>
        </w:tc>
        <w:tc>
          <w:tcPr>
            <w:tcW w:w="1820" w:type="dxa"/>
            <w:tcBorders/>
            <w:vAlign w:val="center"/>
          </w:tcPr>
          <w:p>
            <w:pPr>
              <w:pStyle w:val="TableContents"/>
              <w:bidi w:val="0"/>
              <w:spacing w:before="0" w:after="283"/>
              <w:jc w:val="left"/>
              <w:rPr>
                <w:sz w:val="4"/>
                <w:szCs w:val="4"/>
              </w:rPr>
            </w:pPr>
            <w:r>
              <w:rPr>
                <w:sz w:val="4"/>
                <w:szCs w:val="4"/>
              </w:rPr>
            </w:r>
          </w:p>
        </w:tc>
        <w:tc>
          <w:tcPr>
            <w:tcW w:w="18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7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Net income (loss)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109,149 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(27,703)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Adjustments to reconcile net loss to net cash provided by operating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60,425 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Noncash lease expense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Amortization of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6,325 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Unit-based and noncash compensation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Income from equity method investees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(14,918)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from equity method investees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23,659 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23,904 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Interest income and other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(2,498)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Loss on early extinguishment of debt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sale of business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(84,010)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Gain on sale of equity method investment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(126,261)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Unrealized (gain) loss on interest rate swaps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Long-lived asset impairment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67,936 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Changes in operating assets and liabilities: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Accounts receivable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14,783 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Trade accounts payable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expenses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Deferred revenue,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Ad valorem taxes payable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(4,247)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Accrued environmental remediation,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(10,610)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(13,862)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operating activities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30,973 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51,640 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investing activities: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Capital expenditures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(26,920)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(32,178)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Summit Utica Sale (excluding Ohio Gathering)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292,266 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sale of Ohio Gathering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332,734 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Mountaineer Transaction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Proceeds from asset sale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Investment in Double E equity method investee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(2,667)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provided by (used in) investing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672,038 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(38,217)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Cash flows from financing activities: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repayments - ABL Facility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(313,000)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(37,000)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repayments - Redemption of 2026 Unsecured Notes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(209,510)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repayments - 2026 Secured Notes (Excess Cash Flow Offer)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(13,626)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repayments - 2026 Secured Notes (Asset Sale Offer)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(6,910)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repayments - Permian Transmission Term Loan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(7,621)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(5,120)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Borrowings on ABL Facility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35,000 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Distributions on Subsidiary Series A Preferred Units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(3,256)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extinguishment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(2,095)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1" w:type="dxa"/>
            <w:gridSpan w:val="3"/>
            <w:tcBorders/>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(3,422)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cash used in financing activities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(559,440)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(12,077)</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change in cash, cash equivalents and restricted cash</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143,571 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beginning of period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16,645 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Cash, cash equivalents and restricted cash,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160,216 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14,877 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222885"/>
                <wp:effectExtent l="0" t="0" r="0" b="0"/>
                <wp:wrapNone/>
                <wp:docPr id="11" name="Frame1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120" w:after="283"/>
        <w:jc w:val="left"/>
        <w:rPr/>
      </w:pPr>
      <w:hyperlink w:anchor="i69ee8b4d644242bf8ed471293c41640a_7">
        <w:r>
          <w:rPr>
            <w:rStyle w:val="InternetLink"/>
            <w:rFonts w:ascii="Times New Roman;sans-serif" w:hAnsi="Times New Roman;sans-serif"/>
            <w:b w:val="false"/>
            <w:color w:val="000080"/>
            <w:sz w:val="20"/>
            <w:u w:val="single"/>
          </w:rPr>
          <w:t xml:space="preserve">Table </w:t>
        </w:r>
      </w:hyperlink>
      <w:hyperlink w:anchor="i69ee8b4d644242bf8ed471293c41640a_7">
        <w:r>
          <w:rPr>
            <w:rStyle w:val="InternetLink"/>
            <w:rFonts w:ascii="Times New Roman;sans-serif" w:hAnsi="Times New Roman;sans-serif"/>
            <w:b w:val="false"/>
            <w:color w:val="000080"/>
            <w:sz w:val="20"/>
            <w:u w:val="single"/>
          </w:rPr>
          <w:t>of</w:t>
        </w:r>
      </w:hyperlink>
      <w:hyperlink w:anchor="i69ee8b4d644242bf8ed471293c41640a_7">
        <w:r>
          <w:rPr>
            <w:rStyle w:val="InternetLink"/>
            <w:rFonts w:ascii="Times New Roman;sans-serif" w:hAnsi="Times New Roman;sans-serif"/>
            <w:b w:val="false"/>
            <w:color w:val="000080"/>
            <w:sz w:val="20"/>
            <w:u w:val="single"/>
          </w:rPr>
          <w:t xml:space="preserve"> Contents</w:t>
        </w:r>
      </w:hyperlink>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SUMMIT MIDSTREAM PARTNERS, LP AND SUBSIDIARIES</w:t>
      </w:r>
    </w:p>
    <w:p>
      <w:pPr>
        <w:pStyle w:val="TextBody"/>
        <w:bidi w:val="0"/>
        <w:spacing w:lineRule="auto" w:line="288" w:before="120" w:after="283"/>
        <w:jc w:val="center"/>
        <w:rPr>
          <w:rFonts w:ascii="Times New Roman;sans-serif" w:hAnsi="Times New Roman;sans-serif"/>
          <w:b/>
          <w:color w:val="000000"/>
          <w:sz w:val="22"/>
        </w:rPr>
      </w:pPr>
      <w:r>
        <w:rPr>
          <w:rFonts w:ascii="Times New Roman;sans-serif" w:hAnsi="Times New Roman;sans-serif"/>
          <w:b/>
          <w:color w:val="000000"/>
          <w:sz w:val="22"/>
        </w:rPr>
        <w:t>NOTES TO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 ORGANIZATION, BUSINESS OPERATIONS AND PRESENTATION AND CONSOLIDATION</w:t>
      </w:r>
    </w:p>
    <w:p>
      <w:pPr>
        <w:pStyle w:val="TextBody"/>
        <w:bidi w:val="0"/>
        <w:spacing w:lineRule="auto" w:line="288" w:before="120" w:after="283"/>
        <w:jc w:val="left"/>
        <w:rPr/>
      </w:pPr>
      <w:r>
        <w:rPr>
          <w:rFonts w:ascii="Times New Roman;sans-serif" w:hAnsi="Times New Roman;sans-serif"/>
          <w:b/>
          <w:i/>
          <w:color w:val="000000"/>
          <w:sz w:val="20"/>
        </w:rPr>
        <w:t>Organization.</w:t>
      </w:r>
      <w:r>
        <w:rPr>
          <w:color w:val="000000"/>
        </w:rPr>
        <w:t> </w:t>
      </w:r>
      <w:r>
        <w:rPr>
          <w:rFonts w:ascii="Times New Roman;sans-serif" w:hAnsi="Times New Roman;sans-serif"/>
          <w:b w:val="false"/>
          <w:color w:val="000000"/>
          <w:sz w:val="20"/>
        </w:rPr>
        <w:t>Summit Midstream Partners, LP (including its subsidiaries, collectively “SMLP” or the “Partnership”) is a Delaware limited partnership that was formed in May 2012 and began operations in October 2012. SMLP is a value-oriented limited partnership focused on developing, owning and operating midstream energy infrastructure assets that are strategically located in unconventional resource basins, primarily shale formations, in the continental United States. The Partnership’s business activities are primarily conducted through various operating subsidiaries, each of which is owned or controlled by its wholly owned subsidiary holding company, Summit Holdings, a Delaware limited liability company.</w:t>
      </w:r>
    </w:p>
    <w:p>
      <w:pPr>
        <w:pStyle w:val="TextBody"/>
        <w:bidi w:val="0"/>
        <w:spacing w:lineRule="auto" w:line="288" w:before="120" w:after="283"/>
        <w:jc w:val="left"/>
        <w:rPr/>
      </w:pPr>
      <w:r>
        <w:rPr>
          <w:rFonts w:ascii="Times New Roman;sans-serif" w:hAnsi="Times New Roman;sans-serif"/>
          <w:b/>
          <w:i/>
          <w:color w:val="000000"/>
          <w:sz w:val="20"/>
        </w:rPr>
        <w:t>Business Operations.</w:t>
      </w:r>
      <w:r>
        <w:rPr>
          <w:color w:val="000000"/>
        </w:rPr>
        <w:t> </w:t>
      </w:r>
      <w:r>
        <w:rPr>
          <w:rFonts w:ascii="Times New Roman;sans-serif" w:hAnsi="Times New Roman;sans-serif"/>
          <w:b w:val="false"/>
          <w:color w:val="000000"/>
          <w:sz w:val="20"/>
        </w:rPr>
        <w:t>The Partnership provides natural gas gathering, compression, treating and processing services as well as crude oil and produced water gathering services pursuant to primarily long-term, fee-based agreements with its customers. In addition to these services, the Partnership also provides freshwater delivery services pursuant to short-term agreements with customers. The Partnership’s results are primarily driven by the volumes of natural gas that it gathers, compresses, treats and/or processes as well as by the volumes of crude oil and produced water that it gathers. As of June 30, 2024, other than the Partnership’s investment in Double E, all of its business activities are conducted through wholly owned operating subsidiaries.</w:t>
      </w:r>
    </w:p>
    <w:p>
      <w:pPr>
        <w:pStyle w:val="TextBody"/>
        <w:bidi w:val="0"/>
        <w:spacing w:lineRule="auto" w:line="288" w:before="120" w:after="283"/>
        <w:jc w:val="left"/>
        <w:rPr/>
      </w:pPr>
      <w:r>
        <w:rPr>
          <w:rFonts w:ascii="Times New Roman;sans-serif" w:hAnsi="Times New Roman;sans-serif"/>
          <w:b/>
          <w:i/>
          <w:color w:val="000000"/>
          <w:sz w:val="20"/>
        </w:rPr>
        <w:t>Presentation and Consolidation.</w:t>
      </w:r>
      <w:r>
        <w:rPr>
          <w:color w:val="000000"/>
        </w:rPr>
        <w:t> </w:t>
      </w:r>
      <w:r>
        <w:rPr>
          <w:rFonts w:ascii="Times New Roman;sans-serif" w:hAnsi="Times New Roman;sans-serif"/>
          <w:b w:val="false"/>
          <w:color w:val="000000"/>
          <w:sz w:val="20"/>
        </w:rPr>
        <w:t>The Partnership prepares its condensed consolidated financial statements in accordance with GAAP as established by the FASB and pursuant to the rules and regulations of the SEC pertaining to interim financial information. The unaudited condensed consolidated financial statements contained in this report include all normal and recurring material adjustments that, in the opinion of management, are necessary for a fair statement of the financial position, results of operations and cash flows for the interim periods presented herein. These unaudited condensed consolidated financial statements and notes thereto should be read in conjunction with the consolidated financial statements and related notes that are included in the Partnership’s Annual Report on Form 10-K for the year ended December 31, 2023.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Partnership makes estimates and assumptions that affect the reported amounts of assets and liabilities at the balance sheet dates, including fair value measurements, the reported amounts of revenues and expenses and the disclosure of commitments and contingencies. Although management believes these estimates are reasonable, actual results could differ from its estimates.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unaudited condensed consolidated financial statements include the assets, liabilities and results of operations of SMLP and its subsidiaries. All intercompany transactions among the consolidated entities have been eliminated in consolidation. Comprehensive income or loss is the same as net income or loss for all periods presented.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2. SUMMARY OF SIGNIFICANT ACCOUNTING POLICIES AND RECENTLY ISSUED ACCOUNTING STANDARDS APPLICABLE TO THE PARTNERSHIP</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to the Partnership’s significant accounting policies since December 31, 2023.</w:t>
      </w:r>
    </w:p>
    <w:p>
      <w:pPr>
        <w:pStyle w:val="TextBody"/>
        <w:bidi w:val="0"/>
        <w:spacing w:lineRule="auto" w:line="288" w:before="120" w:after="283"/>
        <w:jc w:val="left"/>
        <w:rPr/>
      </w:pPr>
      <w:r>
        <w:rPr>
          <w:rFonts w:ascii="Times New Roman;sans-serif" w:hAnsi="Times New Roman;sans-serif"/>
          <w:b/>
          <w:i/>
          <w:color w:val="000000"/>
          <w:sz w:val="20"/>
        </w:rPr>
        <w:t xml:space="preserve">Accounting standards recently implemented. </w:t>
      </w:r>
      <w:r>
        <w:rPr>
          <w:rFonts w:ascii="Times New Roman;sans-serif" w:hAnsi="Times New Roman;sans-serif"/>
          <w:b w:val="false"/>
          <w:color w:val="000000"/>
          <w:sz w:val="20"/>
        </w:rPr>
        <w:t>ASU No. 2020-06 Debt – Debt with Conversion and Other Options (Subtopic 470-20) and Derivatives and Hedging – Contracts in Entity’s Own Equity (Subtopic 815–40) (“ASU 2020-06”). ASU 2020-06 simplifies the accounting for certain financial instruments with characteristics of liabilities and equity, including convertible instruments and contracts on an entity’s own equity. The ASU is part of the FASB’s simplification initiative, which aims to reduce unnecessary complexity in GAAP. The ASU’s amendments are effective for fiscal years beginning after December 15, 2023, and interim periods within those fiscal years. The provisions of ASU 2020-06 did not have a material impact on the Partnership’s condensed consolidated financial statements and disclosures.</w:t>
      </w:r>
    </w:p>
    <w:p>
      <w:pPr>
        <w:pStyle w:val="TextBody"/>
        <w:bidi w:val="0"/>
        <w:spacing w:lineRule="auto" w:line="288" w:before="120" w:after="283"/>
        <w:jc w:val="left"/>
        <w:rPr/>
      </w:pPr>
      <w:r>
        <w:rPr>
          <w:rFonts w:ascii="Times New Roman;sans-serif" w:hAnsi="Times New Roman;sans-serif"/>
          <w:b/>
          <w:i/>
          <w:color w:val="000000"/>
          <w:sz w:val="20"/>
        </w:rPr>
        <w:t xml:space="preserve">New accounting standards not yet implemented. </w:t>
      </w:r>
      <w:r>
        <w:rPr>
          <w:rFonts w:ascii="Times New Roman;sans-serif" w:hAnsi="Times New Roman;sans-serif"/>
          <w:b w:val="false"/>
          <w:color w:val="000000"/>
          <w:sz w:val="20"/>
        </w:rPr>
        <w:t>ASU No. 2023-07, Segment Reporting (Topic 280): Improvements to Reportable Segment Disclosures (“ASU 2023-07”). ASU 2023-07 enhances disclosures on reportable segments and provides additional detailed information about significant segment expenses. The guidance in ASU 2023-07 is effective for fiscal years beginning after December 15, 2023 and interim periods within fiscal years beginning after December 15, 2024. The Partnership continues to assess the impact of the new guidance, but does not expect the provisions of ASU 2023-07 will have a material impact on its consolidated financial statements and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222885"/>
                <wp:effectExtent l="0" t="0" r="0" b="0"/>
                <wp:wrapNone/>
                <wp:docPr id="12" name="Frame1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120" w:after="283"/>
        <w:jc w:val="left"/>
        <w:rPr/>
      </w:pPr>
      <w:hyperlink w:anchor="i69ee8b4d644242bf8ed471293c41640a_7">
        <w:r>
          <w:rPr>
            <w:rStyle w:val="InternetLink"/>
            <w:rFonts w:ascii="Times New Roman;sans-serif" w:hAnsi="Times New Roman;sans-serif"/>
            <w:b w:val="false"/>
            <w:color w:val="000080"/>
            <w:sz w:val="20"/>
            <w:u w:val="single"/>
          </w:rPr>
          <w:t xml:space="preserve">Table </w:t>
        </w:r>
      </w:hyperlink>
      <w:hyperlink w:anchor="i69ee8b4d644242bf8ed471293c41640a_7">
        <w:r>
          <w:rPr>
            <w:rStyle w:val="InternetLink"/>
            <w:rFonts w:ascii="Times New Roman;sans-serif" w:hAnsi="Times New Roman;sans-serif"/>
            <w:b w:val="false"/>
            <w:color w:val="000080"/>
            <w:sz w:val="20"/>
            <w:u w:val="single"/>
          </w:rPr>
          <w:t>of</w:t>
        </w:r>
      </w:hyperlink>
      <w:hyperlink w:anchor="i69ee8b4d644242bf8ed471293c41640a_7">
        <w:r>
          <w:rPr>
            <w:rStyle w:val="InternetLink"/>
            <w:rFonts w:ascii="Times New Roman;sans-serif" w:hAnsi="Times New Roman;sans-serif"/>
            <w:b w:val="false"/>
            <w:color w:val="000080"/>
            <w:sz w:val="20"/>
            <w:u w:val="single"/>
          </w:rPr>
          <w:t xml:space="preserve">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3. DIVESTITURES</w:t>
      </w:r>
    </w:p>
    <w:p>
      <w:pPr>
        <w:pStyle w:val="TextBody"/>
        <w:bidi w:val="0"/>
        <w:spacing w:lineRule="auto" w:line="288" w:before="120" w:after="120"/>
        <w:jc w:val="left"/>
        <w:rPr/>
      </w:pPr>
      <w:r>
        <w:rPr>
          <w:rFonts w:ascii="Times New Roman;sans-serif" w:hAnsi="Times New Roman;sans-serif"/>
          <w:b/>
          <w:i/>
          <w:color w:val="000000"/>
          <w:sz w:val="20"/>
        </w:rPr>
        <w:t>Summit Utica Sale.</w:t>
      </w:r>
      <w:r>
        <w:rPr>
          <w:color w:val="000000"/>
        </w:rPr>
        <w:t xml:space="preserve"> </w:t>
      </w:r>
      <w:r>
        <w:rPr>
          <w:rFonts w:ascii="Times New Roman;sans-serif" w:hAnsi="Times New Roman;sans-serif"/>
          <w:b w:val="false"/>
          <w:color w:val="000000"/>
          <w:sz w:val="20"/>
        </w:rPr>
        <w:t xml:space="preserve">On March 22, 2024, the Partnership completed the disposition of Summit Utica, LLC (“Summit Utica”) to a subsidiary of MPLX LP (“MPLX”) for a cash sale price of $625.0 million, subject to customary post-closing adjustments (the “Utica Sale”). Summit Utica was the owner of (i) approximately 36% of the issued and outstanding equity interests in OGC, (ii) approximately 38% of the issued and outstanding equity interests in OCC, together with OGC, Ohio Gathering and (iii) midstream assets located in the Utica Shale. Ohio Gathering was the owner of a natural gas gathering system and condensate stabilization facility located in Belmont and Monroe counties in the Utica Shale in southeastern Ohio.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During the quarterly period ended March 31, 2024, the Partnership recognized a total gain on the disposition of Summit Utica of $212.5 million based on total cash proceeds received of $625.0 million and net assets sold of $412.5 million. A portion of the cash proceeds was used to reduce amounts outstanding under the ABL Facility and pay the costs and expenses in connection with the Asset Sale Offer (as defined below) (see Note 8 - Debt, for additional information) and are subject to final working capital adjustments.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$625.0 million sale price did not discretely list values for either OGC, OCC or the Partnership’s midstream assets located in the Utica Shale. Using fair value methods allowed by GAAP, the Partnership derived a preliminary fair value estimate for the disposed assets and then determined the appropriate gain recognition amount for each disposal to include in its unaudited condensed consolidated financial statements. The estimated fair values were determined utilizing a discounted cash flow technique based on estimated revenues, costs, capital expenditures and an appropriate discount rate. Given the unobservable nature of the inputs, the fair value measurement is deemed to use Level 3 inputs. These fair value estimates are preliminary, and subject to change and such changes could be material. Based on these preliminary fair values, the Partnership recognized a gain on the disposition of the Utica midstream business of $85.6 million, which is recorded within gain on sale of business in the unaudited condensed consolidated statements of operations, and a gain of $126.3 million related to the disposition of Ohio Gathering, which is recorded within gain on sale of Ohio Gathering in the unaudited condensed consolidated statements of operations. </w:t>
      </w:r>
    </w:p>
    <w:p>
      <w:pPr>
        <w:pStyle w:val="TextBody"/>
        <w:bidi w:val="0"/>
        <w:spacing w:lineRule="auto" w:line="288" w:before="120" w:after="120"/>
        <w:jc w:val="left"/>
        <w:rPr/>
      </w:pPr>
      <w:r>
        <w:rPr>
          <w:rFonts w:ascii="Times New Roman;sans-serif" w:hAnsi="Times New Roman;sans-serif"/>
          <w:b/>
          <w:i/>
          <w:color w:val="000000"/>
          <w:sz w:val="20"/>
        </w:rPr>
        <w:t>Mountaineer Midstream System.</w:t>
      </w:r>
      <w:r>
        <w:rPr>
          <w:color w:val="000000"/>
        </w:rPr>
        <w:t xml:space="preserve"> </w:t>
      </w:r>
      <w:r>
        <w:rPr>
          <w:rFonts w:ascii="Times New Roman;sans-serif" w:hAnsi="Times New Roman;sans-serif"/>
          <w:b w:val="false"/>
          <w:color w:val="000000"/>
          <w:sz w:val="20"/>
        </w:rPr>
        <w:t>On May 1, 2024, the Partnership completed the sale of its Mountaineer Midstream system, to Antero Midstream LLC for a cash sale price of $70.0 million, subject to customary post-closing adjustments (the “Mountaineer Transaction”). Mountaineer Midstream was the owner of midstream assets located in the Marcellus Shale. Prior to closing the Mountaineer Transaction, the Partnership sold related compression assets located in the Marcellus Shale to a compression service provider for cash consideration of approximately $5 million in April 2024.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2024, the Partnership recognized an impairment of $68 million in connection with the Mountaineer Transaction and the sale of compression assets based on their estimated fair value and net assets of approximately $143 million.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4. REVENUE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estimated revenue, as of June 30, 2024, expected to be recognized during the remainder of 2024 and over the remaining contract period related to performance obligations that are unsatisfied and are comprised of estimated MVC shortfall payments.</w:t>
      </w:r>
    </w:p>
    <w:tbl>
      <w:tblPr>
        <w:tblW w:w="10205" w:type="dxa"/>
        <w:jc w:val="left"/>
        <w:tblInd w:w="0" w:type="dxa"/>
        <w:tblLayout w:type="fixed"/>
        <w:tblCellMar>
          <w:top w:w="28" w:type="dxa"/>
          <w:left w:w="28" w:type="dxa"/>
          <w:bottom w:w="28" w:type="dxa"/>
          <w:right w:w="28" w:type="dxa"/>
        </w:tblCellMar>
      </w:tblPr>
      <w:tblGrid>
        <w:gridCol w:w="956"/>
        <w:gridCol w:w="840"/>
        <w:gridCol w:w="846"/>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54"/>
        <w:gridCol w:w="490"/>
        <w:gridCol w:w="189"/>
      </w:tblGrid>
      <w:tr>
        <w:trPr/>
        <w:tc>
          <w:tcPr>
            <w:tcW w:w="956" w:type="dxa"/>
            <w:tcBorders/>
            <w:vAlign w:val="center"/>
          </w:tcPr>
          <w:p>
            <w:pPr>
              <w:pStyle w:val="TableContents"/>
              <w:bidi w:val="0"/>
              <w:spacing w:before="0" w:after="283"/>
              <w:jc w:val="left"/>
              <w:rPr>
                <w:sz w:val="4"/>
                <w:szCs w:val="4"/>
              </w:rPr>
            </w:pPr>
            <w:r>
              <w:rPr>
                <w:sz w:val="4"/>
                <w:szCs w:val="4"/>
              </w:rPr>
            </w:r>
          </w:p>
        </w:tc>
        <w:tc>
          <w:tcPr>
            <w:tcW w:w="840"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r>
      <w:tr>
        <w:trPr/>
        <w:tc>
          <w:tcPr>
            <w:tcW w:w="264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 thousands)</w:t>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Thereafter</w:t>
            </w:r>
          </w:p>
        </w:tc>
      </w:tr>
      <w:tr>
        <w:trPr/>
        <w:tc>
          <w:tcPr>
            <w:tcW w:w="26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4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services and related fees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i/>
          <w:color w:val="000000"/>
          <w:sz w:val="20"/>
        </w:rPr>
        <w:t>Revenue by category.</w:t>
      </w:r>
      <w:r>
        <w:rPr>
          <w:color w:val="000000"/>
        </w:rPr>
        <w:t> </w:t>
      </w:r>
      <w:r>
        <w:rPr>
          <w:rFonts w:ascii="Times New Roman;sans-serif" w:hAnsi="Times New Roman;sans-serif"/>
          <w:b w:val="false"/>
          <w:color w:val="000000"/>
          <w:sz w:val="20"/>
        </w:rPr>
        <w:t>In the following tables, revenue is disaggregated by geographic area and major products and services. For more detailed information about reportable segments, see Note 15 – Segment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222885"/>
                <wp:effectExtent l="0" t="0" r="0" b="0"/>
                <wp:wrapNone/>
                <wp:docPr id="13" name="Frame1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120" w:after="283"/>
        <w:jc w:val="left"/>
        <w:rPr/>
      </w:pPr>
      <w:hyperlink w:anchor="i69ee8b4d644242bf8ed471293c41640a_7">
        <w:r>
          <w:rPr>
            <w:rStyle w:val="InternetLink"/>
            <w:rFonts w:ascii="Times New Roman;sans-serif" w:hAnsi="Times New Roman;sans-serif"/>
            <w:b w:val="false"/>
            <w:color w:val="000080"/>
            <w:sz w:val="20"/>
            <w:u w:val="single"/>
          </w:rPr>
          <w:t xml:space="preserve">Table </w:t>
        </w:r>
      </w:hyperlink>
      <w:hyperlink w:anchor="i69ee8b4d644242bf8ed471293c41640a_7">
        <w:r>
          <w:rPr>
            <w:rStyle w:val="InternetLink"/>
            <w:rFonts w:ascii="Times New Roman;sans-serif" w:hAnsi="Times New Roman;sans-serif"/>
            <w:b w:val="false"/>
            <w:color w:val="000080"/>
            <w:sz w:val="20"/>
            <w:u w:val="single"/>
          </w:rPr>
          <w:t>of</w:t>
        </w:r>
      </w:hyperlink>
      <w:hyperlink w:anchor="i69ee8b4d644242bf8ed471293c41640a_7">
        <w:r>
          <w:rPr>
            <w:rStyle w:val="InternetLink"/>
            <w:rFonts w:ascii="Times New Roman;sans-serif" w:hAnsi="Times New Roman;sans-serif"/>
            <w:b w:val="false"/>
            <w:color w:val="000080"/>
            <w:sz w:val="20"/>
            <w:u w:val="single"/>
          </w:rPr>
          <w:t xml:space="preserve"> Contents</w:t>
        </w:r>
      </w:hyperlink>
    </w:p>
    <w:tbl>
      <w:tblPr>
        <w:tblW w:w="10205" w:type="dxa"/>
        <w:jc w:val="left"/>
        <w:tblInd w:w="0" w:type="dxa"/>
        <w:tblLayout w:type="fixed"/>
        <w:tblCellMar>
          <w:top w:w="28" w:type="dxa"/>
          <w:left w:w="28" w:type="dxa"/>
          <w:bottom w:w="28" w:type="dxa"/>
          <w:right w:w="28" w:type="dxa"/>
        </w:tblCellMar>
      </w:tblPr>
      <w:tblGrid>
        <w:gridCol w:w="716"/>
        <w:gridCol w:w="629"/>
        <w:gridCol w:w="632"/>
        <w:gridCol w:w="467"/>
        <w:gridCol w:w="1597"/>
        <w:gridCol w:w="241"/>
        <w:gridCol w:w="109"/>
        <w:gridCol w:w="109"/>
        <w:gridCol w:w="109"/>
        <w:gridCol w:w="525"/>
        <w:gridCol w:w="1794"/>
        <w:gridCol w:w="271"/>
        <w:gridCol w:w="109"/>
        <w:gridCol w:w="109"/>
        <w:gridCol w:w="109"/>
        <w:gridCol w:w="260"/>
        <w:gridCol w:w="761"/>
        <w:gridCol w:w="134"/>
        <w:gridCol w:w="109"/>
        <w:gridCol w:w="109"/>
        <w:gridCol w:w="109"/>
        <w:gridCol w:w="211"/>
        <w:gridCol w:w="826"/>
        <w:gridCol w:w="160"/>
      </w:tblGrid>
      <w:tr>
        <w:trPr/>
        <w:tc>
          <w:tcPr>
            <w:tcW w:w="71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597"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2024</w:t>
            </w:r>
          </w:p>
        </w:tc>
      </w:tr>
      <w:tr>
        <w:trPr/>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Gathering services and related fees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Natural gas, NGLs and condensate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Reportable Segments:</w:t>
            </w:r>
          </w:p>
        </w:tc>
        <w:tc>
          <w:tcPr>
            <w:tcW w:w="23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Northeast</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Rockies</w:t>
            </w:r>
          </w:p>
        </w:tc>
        <w:tc>
          <w:tcPr>
            <w:tcW w:w="2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47,214 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66,858 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w:t>
            </w:r>
          </w:p>
        </w:tc>
        <w:tc>
          <w:tcPr>
            <w:tcW w:w="2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Piceance</w:t>
            </w:r>
          </w:p>
        </w:tc>
        <w:tc>
          <w:tcPr>
            <w:tcW w:w="2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18,063 </w:t>
            </w:r>
          </w:p>
        </w:tc>
        <w:tc>
          <w:tcPr>
            <w:tcW w:w="24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Barnett</w:t>
            </w:r>
          </w:p>
        </w:tc>
        <w:tc>
          <w:tcPr>
            <w:tcW w:w="2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8,829 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10,934 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reportable segments</w:t>
            </w:r>
          </w:p>
        </w:tc>
        <w:tc>
          <w:tcPr>
            <w:tcW w:w="20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45,213 </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47,959 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7,492 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100,664 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2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5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45,213 </w:t>
            </w:r>
          </w:p>
        </w:tc>
        <w:tc>
          <w:tcPr>
            <w:tcW w:w="2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9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47,959 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8,143 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101,315 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12"/>
        <w:gridCol w:w="626"/>
        <w:gridCol w:w="629"/>
        <w:gridCol w:w="426"/>
        <w:gridCol w:w="1668"/>
        <w:gridCol w:w="220"/>
        <w:gridCol w:w="109"/>
        <w:gridCol w:w="109"/>
        <w:gridCol w:w="109"/>
        <w:gridCol w:w="521"/>
        <w:gridCol w:w="1782"/>
        <w:gridCol w:w="269"/>
        <w:gridCol w:w="109"/>
        <w:gridCol w:w="109"/>
        <w:gridCol w:w="109"/>
        <w:gridCol w:w="238"/>
        <w:gridCol w:w="815"/>
        <w:gridCol w:w="123"/>
        <w:gridCol w:w="109"/>
        <w:gridCol w:w="109"/>
        <w:gridCol w:w="109"/>
        <w:gridCol w:w="211"/>
        <w:gridCol w:w="826"/>
        <w:gridCol w:w="158"/>
      </w:tblGrid>
      <w:tr>
        <w:trPr/>
        <w:tc>
          <w:tcPr>
            <w:tcW w:w="712"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2024</w:t>
            </w:r>
          </w:p>
        </w:tc>
      </w:tr>
      <w:tr>
        <w:trPr/>
        <w:tc>
          <w:tcPr>
            <w:tcW w:w="1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Gathering services and related fees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Natural gas, NGLs and condensate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Reportable Segments:</w:t>
            </w:r>
          </w:p>
        </w:tc>
        <w:tc>
          <w:tcPr>
            <w:tcW w:w="2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Northeast</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18,851 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Rockies</w:t>
            </w:r>
          </w:p>
        </w:tc>
        <w:tc>
          <w:tcPr>
            <w:tcW w:w="2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32,839 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95,184 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135,452 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w:t>
            </w:r>
          </w:p>
        </w:tc>
        <w:tc>
          <w:tcPr>
            <w:tcW w:w="2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Piceance</w:t>
            </w:r>
          </w:p>
        </w:tc>
        <w:tc>
          <w:tcPr>
            <w:tcW w:w="2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38,450 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42,543 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Barnett</w:t>
            </w:r>
          </w:p>
        </w:tc>
        <w:tc>
          <w:tcPr>
            <w:tcW w:w="2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17,058 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20,794 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reportable segments</w:t>
            </w:r>
          </w:p>
        </w:tc>
        <w:tc>
          <w:tcPr>
            <w:tcW w:w="2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107,198 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97,051 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15,212 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219,461 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2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107,198 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97,051 </w:t>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15,937 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220,186 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725"/>
        <w:gridCol w:w="637"/>
        <w:gridCol w:w="640"/>
        <w:gridCol w:w="474"/>
        <w:gridCol w:w="1620"/>
        <w:gridCol w:w="244"/>
        <w:gridCol w:w="109"/>
        <w:gridCol w:w="109"/>
        <w:gridCol w:w="109"/>
        <w:gridCol w:w="533"/>
        <w:gridCol w:w="1823"/>
        <w:gridCol w:w="275"/>
        <w:gridCol w:w="109"/>
        <w:gridCol w:w="109"/>
        <w:gridCol w:w="109"/>
        <w:gridCol w:w="262"/>
        <w:gridCol w:w="765"/>
        <w:gridCol w:w="134"/>
        <w:gridCol w:w="109"/>
        <w:gridCol w:w="109"/>
        <w:gridCol w:w="109"/>
        <w:gridCol w:w="211"/>
        <w:gridCol w:w="721"/>
        <w:gridCol w:w="160"/>
      </w:tblGrid>
      <w:tr>
        <w:trPr/>
        <w:tc>
          <w:tcPr>
            <w:tcW w:w="72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620"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3" w:type="dxa"/>
            <w:tcBorders/>
            <w:vAlign w:val="center"/>
          </w:tcPr>
          <w:p>
            <w:pPr>
              <w:pStyle w:val="TableContents"/>
              <w:bidi w:val="0"/>
              <w:spacing w:before="0" w:after="283"/>
              <w:jc w:val="left"/>
              <w:rPr>
                <w:sz w:val="4"/>
                <w:szCs w:val="4"/>
              </w:rPr>
            </w:pPr>
            <w:r>
              <w:rPr>
                <w:sz w:val="4"/>
                <w:szCs w:val="4"/>
              </w:rPr>
            </w:r>
          </w:p>
        </w:tc>
        <w:tc>
          <w:tcPr>
            <w:tcW w:w="18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2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 2023</w:t>
            </w:r>
          </w:p>
        </w:tc>
      </w:tr>
      <w:tr>
        <w:trPr/>
        <w:tc>
          <w:tcPr>
            <w:tcW w:w="2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Gathering services and related fees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Natural gas, NGLs and condensate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2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3"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Reportable Segments:</w:t>
            </w:r>
          </w:p>
        </w:tc>
        <w:tc>
          <w:tcPr>
            <w:tcW w:w="233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Northeast</w:t>
            </w:r>
          </w:p>
        </w:tc>
        <w:tc>
          <w:tcPr>
            <w:tcW w:w="4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12,805 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12,805 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Rockies</w:t>
            </w:r>
          </w:p>
        </w:tc>
        <w:tc>
          <w:tcPr>
            <w:tcW w:w="2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14,909 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34,575 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50,209 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w:t>
            </w:r>
          </w:p>
        </w:tc>
        <w:tc>
          <w:tcPr>
            <w:tcW w:w="2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Piceance</w:t>
            </w:r>
          </w:p>
        </w:tc>
        <w:tc>
          <w:tcPr>
            <w:tcW w:w="2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20,014 </w:t>
            </w:r>
          </w:p>
        </w:tc>
        <w:tc>
          <w:tcPr>
            <w:tcW w:w="2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1,335 </w:t>
            </w:r>
          </w:p>
        </w:tc>
        <w:tc>
          <w:tcPr>
            <w:tcW w:w="2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22,722 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Barnett</w:t>
            </w:r>
          </w:p>
        </w:tc>
        <w:tc>
          <w:tcPr>
            <w:tcW w:w="2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9,358 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11,266 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reportable segments</w:t>
            </w:r>
          </w:p>
        </w:tc>
        <w:tc>
          <w:tcPr>
            <w:tcW w:w="2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57,086 </w:t>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36,082 </w:t>
            </w:r>
          </w:p>
        </w:tc>
        <w:tc>
          <w:tcPr>
            <w:tcW w:w="2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4,726 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97,894 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2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57,086 </w:t>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36,082 </w:t>
            </w:r>
          </w:p>
        </w:tc>
        <w:tc>
          <w:tcPr>
            <w:tcW w:w="2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4,725 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97,893 </w:t>
            </w:r>
          </w:p>
        </w:tc>
        <w:tc>
          <w:tcPr>
            <w:tcW w:w="1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222885"/>
                <wp:effectExtent l="0" t="0" r="0" b="0"/>
                <wp:wrapNone/>
                <wp:docPr id="14" name="Frame1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120" w:after="283"/>
        <w:jc w:val="left"/>
        <w:rPr/>
      </w:pPr>
      <w:hyperlink w:anchor="i69ee8b4d644242bf8ed471293c41640a_7">
        <w:r>
          <w:rPr>
            <w:rStyle w:val="InternetLink"/>
            <w:rFonts w:ascii="Times New Roman;sans-serif" w:hAnsi="Times New Roman;sans-serif"/>
            <w:b w:val="false"/>
            <w:color w:val="000080"/>
            <w:sz w:val="20"/>
            <w:u w:val="single"/>
          </w:rPr>
          <w:t xml:space="preserve">Table </w:t>
        </w:r>
      </w:hyperlink>
      <w:hyperlink w:anchor="i69ee8b4d644242bf8ed471293c41640a_7">
        <w:r>
          <w:rPr>
            <w:rStyle w:val="InternetLink"/>
            <w:rFonts w:ascii="Times New Roman;sans-serif" w:hAnsi="Times New Roman;sans-serif"/>
            <w:b w:val="false"/>
            <w:color w:val="000080"/>
            <w:sz w:val="20"/>
            <w:u w:val="single"/>
          </w:rPr>
          <w:t>of</w:t>
        </w:r>
      </w:hyperlink>
      <w:hyperlink w:anchor="i69ee8b4d644242bf8ed471293c41640a_7">
        <w:r>
          <w:rPr>
            <w:rStyle w:val="InternetLink"/>
            <w:rFonts w:ascii="Times New Roman;sans-serif" w:hAnsi="Times New Roman;sans-serif"/>
            <w:b w:val="false"/>
            <w:color w:val="000080"/>
            <w:sz w:val="20"/>
            <w:u w:val="single"/>
          </w:rPr>
          <w:t xml:space="preserve"> Contents</w:t>
        </w:r>
      </w:hyperlink>
    </w:p>
    <w:tbl>
      <w:tblPr>
        <w:tblW w:w="10205" w:type="dxa"/>
        <w:jc w:val="left"/>
        <w:tblInd w:w="0" w:type="dxa"/>
        <w:tblLayout w:type="fixed"/>
        <w:tblCellMar>
          <w:top w:w="28" w:type="dxa"/>
          <w:left w:w="28" w:type="dxa"/>
          <w:bottom w:w="28" w:type="dxa"/>
          <w:right w:w="28" w:type="dxa"/>
        </w:tblCellMar>
      </w:tblPr>
      <w:tblGrid>
        <w:gridCol w:w="712"/>
        <w:gridCol w:w="626"/>
        <w:gridCol w:w="629"/>
        <w:gridCol w:w="426"/>
        <w:gridCol w:w="1668"/>
        <w:gridCol w:w="220"/>
        <w:gridCol w:w="109"/>
        <w:gridCol w:w="109"/>
        <w:gridCol w:w="109"/>
        <w:gridCol w:w="521"/>
        <w:gridCol w:w="1782"/>
        <w:gridCol w:w="269"/>
        <w:gridCol w:w="109"/>
        <w:gridCol w:w="109"/>
        <w:gridCol w:w="109"/>
        <w:gridCol w:w="238"/>
        <w:gridCol w:w="815"/>
        <w:gridCol w:w="123"/>
        <w:gridCol w:w="109"/>
        <w:gridCol w:w="109"/>
        <w:gridCol w:w="109"/>
        <w:gridCol w:w="211"/>
        <w:gridCol w:w="826"/>
        <w:gridCol w:w="158"/>
      </w:tblGrid>
      <w:tr>
        <w:trPr/>
        <w:tc>
          <w:tcPr>
            <w:tcW w:w="712"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668"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1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 2023</w:t>
            </w:r>
          </w:p>
        </w:tc>
      </w:tr>
      <w:tr>
        <w:trPr/>
        <w:tc>
          <w:tcPr>
            <w:tcW w:w="1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Gathering services and related fees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Natural gas, NGLs and condensate sales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Other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38"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Reportable Segments:</w:t>
            </w:r>
          </w:p>
        </w:tc>
        <w:tc>
          <w:tcPr>
            <w:tcW w:w="231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Northeast</w:t>
            </w:r>
          </w:p>
        </w:tc>
        <w:tc>
          <w:tcPr>
            <w:tcW w:w="4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25,560 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25,560 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Rockies</w:t>
            </w:r>
          </w:p>
        </w:tc>
        <w:tc>
          <w:tcPr>
            <w:tcW w:w="2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30,212 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81,904 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3,344 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115,460 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w:t>
            </w:r>
          </w:p>
        </w:tc>
        <w:tc>
          <w:tcPr>
            <w:tcW w:w="2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Piceance</w:t>
            </w:r>
          </w:p>
        </w:tc>
        <w:tc>
          <w:tcPr>
            <w:tcW w:w="20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39,133 </w:t>
            </w:r>
          </w:p>
        </w:tc>
        <w:tc>
          <w:tcPr>
            <w:tcW w:w="2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2,976 </w:t>
            </w:r>
          </w:p>
        </w:tc>
        <w:tc>
          <w:tcPr>
            <w:tcW w:w="2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2,799 </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44,908 </w:t>
            </w:r>
          </w:p>
        </w:tc>
        <w:tc>
          <w:tcPr>
            <w:tcW w:w="15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Barnett</w:t>
            </w:r>
          </w:p>
        </w:tc>
        <w:tc>
          <w:tcPr>
            <w:tcW w:w="2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19,552 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22,717 </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reportable segments</w:t>
            </w:r>
          </w:p>
        </w:tc>
        <w:tc>
          <w:tcPr>
            <w:tcW w:w="209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114,457 </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85,245 </w:t>
            </w:r>
          </w:p>
        </w:tc>
        <w:tc>
          <w:tcPr>
            <w:tcW w:w="2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10,728 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210,430 </w:t>
            </w:r>
          </w:p>
        </w:tc>
        <w:tc>
          <w:tcPr>
            <w:tcW w:w="15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20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4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114,457 </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7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85,245 </w:t>
            </w:r>
          </w:p>
        </w:tc>
        <w:tc>
          <w:tcPr>
            <w:tcW w:w="2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10,690 </w:t>
            </w:r>
          </w:p>
        </w:tc>
        <w:tc>
          <w:tcPr>
            <w:tcW w:w="1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210,392 </w:t>
            </w:r>
          </w:p>
        </w:tc>
        <w:tc>
          <w:tcPr>
            <w:tcW w:w="1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5. PROPERTY, PLANT AND EQUIPMENT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Details on the Partnership’s property, plant and equipment follow.</w:t>
      </w:r>
    </w:p>
    <w:tbl>
      <w:tblPr>
        <w:tblW w:w="7893" w:type="dxa"/>
        <w:jc w:val="left"/>
        <w:tblInd w:w="0" w:type="dxa"/>
        <w:tblLayout w:type="fixed"/>
        <w:tblCellMar>
          <w:top w:w="28" w:type="dxa"/>
          <w:left w:w="28" w:type="dxa"/>
          <w:bottom w:w="28" w:type="dxa"/>
          <w:right w:w="28" w:type="dxa"/>
        </w:tblCellMar>
      </w:tblPr>
      <w:tblGrid>
        <w:gridCol w:w="1712"/>
        <w:gridCol w:w="1502"/>
        <w:gridCol w:w="1511"/>
        <w:gridCol w:w="211"/>
        <w:gridCol w:w="976"/>
        <w:gridCol w:w="109"/>
        <w:gridCol w:w="109"/>
        <w:gridCol w:w="109"/>
        <w:gridCol w:w="109"/>
        <w:gridCol w:w="243"/>
        <w:gridCol w:w="1125"/>
        <w:gridCol w:w="177"/>
      </w:tblGrid>
      <w:tr>
        <w:trPr/>
        <w:tc>
          <w:tcPr>
            <w:tcW w:w="1712"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4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and processing systems and related equipment</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1,932,418 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2,335,980 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progress</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56,064 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Land and line fill</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11,534 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65,029 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2,051,124 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2,468,607 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(684,602)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(770,022)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2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1,366,522 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1,698,585 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 and capitalized interest for the Partnership follow.</w:t>
      </w:r>
    </w:p>
    <w:tbl>
      <w:tblPr>
        <w:tblW w:w="7600" w:type="dxa"/>
        <w:jc w:val="left"/>
        <w:tblInd w:w="0" w:type="dxa"/>
        <w:tblLayout w:type="fixed"/>
        <w:tblCellMar>
          <w:top w:w="28" w:type="dxa"/>
          <w:left w:w="28" w:type="dxa"/>
          <w:bottom w:w="28" w:type="dxa"/>
          <w:right w:w="28" w:type="dxa"/>
        </w:tblCellMar>
      </w:tblPr>
      <w:tblGrid>
        <w:gridCol w:w="679"/>
        <w:gridCol w:w="597"/>
        <w:gridCol w:w="599"/>
        <w:gridCol w:w="211"/>
        <w:gridCol w:w="721"/>
        <w:gridCol w:w="109"/>
        <w:gridCol w:w="109"/>
        <w:gridCol w:w="109"/>
        <w:gridCol w:w="109"/>
        <w:gridCol w:w="211"/>
        <w:gridCol w:w="721"/>
        <w:gridCol w:w="109"/>
        <w:gridCol w:w="109"/>
        <w:gridCol w:w="109"/>
        <w:gridCol w:w="109"/>
        <w:gridCol w:w="231"/>
        <w:gridCol w:w="790"/>
        <w:gridCol w:w="119"/>
        <w:gridCol w:w="109"/>
        <w:gridCol w:w="109"/>
        <w:gridCol w:w="109"/>
        <w:gridCol w:w="211"/>
        <w:gridCol w:w="721"/>
        <w:gridCol w:w="109"/>
        <w:gridCol w:w="109"/>
        <w:gridCol w:w="109"/>
        <w:gridCol w:w="109"/>
        <w:gridCol w:w="154"/>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expense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23,285 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43,928 </w:t>
            </w:r>
          </w:p>
        </w:tc>
        <w:tc>
          <w:tcPr>
            <w:tcW w:w="11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interest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6. EQUITY METHOD INVESTMENTS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the Partnership has an equity method investment in Double E, the balance of which is included in the Investment in equity method investees caption on the unaudited condensed consolidated balance sheets. On March 22, 2024, in connection with the Utica Sale, the Partnership sold its investment in Ohio Gathering and recognized an estimated $126.3 million gain, which is recorded within Gain on sale of Ohio Gathering within the unaudited condensed consolidated statements of operations. See Note 3 - Divestitures for additional information.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Details of the Partnership’s equity method investments follow.</w:t>
      </w:r>
    </w:p>
    <w:tbl>
      <w:tblPr>
        <w:tblW w:w="4396" w:type="dxa"/>
        <w:jc w:val="left"/>
        <w:tblInd w:w="0" w:type="dxa"/>
        <w:tblLayout w:type="fixed"/>
        <w:tblCellMar>
          <w:top w:w="28" w:type="dxa"/>
          <w:left w:w="28" w:type="dxa"/>
          <w:bottom w:w="28" w:type="dxa"/>
          <w:right w:w="28" w:type="dxa"/>
        </w:tblCellMar>
      </w:tblPr>
      <w:tblGrid>
        <w:gridCol w:w="499"/>
        <w:gridCol w:w="437"/>
        <w:gridCol w:w="443"/>
        <w:gridCol w:w="211"/>
        <w:gridCol w:w="826"/>
        <w:gridCol w:w="109"/>
        <w:gridCol w:w="109"/>
        <w:gridCol w:w="109"/>
        <w:gridCol w:w="109"/>
        <w:gridCol w:w="273"/>
        <w:gridCol w:w="1072"/>
        <w:gridCol w:w="199"/>
      </w:tblGrid>
      <w:tr>
        <w:trPr/>
        <w:tc>
          <w:tcPr>
            <w:tcW w:w="499"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Double E</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276,221 </w:t>
            </w:r>
          </w:p>
        </w:tc>
        <w:tc>
          <w:tcPr>
            <w:tcW w:w="19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Ohio Gathering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210,213 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271,622 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486,434 </w:t>
            </w:r>
          </w:p>
        </w:tc>
        <w:tc>
          <w:tcPr>
            <w:tcW w:w="1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222885"/>
                <wp:effectExtent l="0" t="0" r="0" b="0"/>
                <wp:wrapNone/>
                <wp:docPr id="15" name="Frame1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120" w:after="283"/>
        <w:jc w:val="left"/>
        <w:rPr/>
      </w:pPr>
      <w:hyperlink w:anchor="i69ee8b4d644242bf8ed471293c41640a_7">
        <w:r>
          <w:rPr>
            <w:rStyle w:val="InternetLink"/>
            <w:rFonts w:ascii="Times New Roman;sans-serif" w:hAnsi="Times New Roman;sans-serif"/>
            <w:b w:val="false"/>
            <w:color w:val="000080"/>
            <w:sz w:val="20"/>
            <w:u w:val="single"/>
          </w:rPr>
          <w:t xml:space="preserve">Table </w:t>
        </w:r>
      </w:hyperlink>
      <w:hyperlink w:anchor="i69ee8b4d644242bf8ed471293c41640a_7">
        <w:r>
          <w:rPr>
            <w:rStyle w:val="InternetLink"/>
            <w:rFonts w:ascii="Times New Roman;sans-serif" w:hAnsi="Times New Roman;sans-serif"/>
            <w:b w:val="false"/>
            <w:color w:val="000080"/>
            <w:sz w:val="20"/>
            <w:u w:val="single"/>
          </w:rPr>
          <w:t>of</w:t>
        </w:r>
      </w:hyperlink>
      <w:hyperlink w:anchor="i69ee8b4d644242bf8ed471293c41640a_7">
        <w:r>
          <w:rPr>
            <w:rStyle w:val="InternetLink"/>
            <w:rFonts w:ascii="Times New Roman;sans-serif" w:hAnsi="Times New Roman;sans-serif"/>
            <w:b w:val="false"/>
            <w:color w:val="000080"/>
            <w:sz w:val="20"/>
            <w:u w:val="single"/>
          </w:rPr>
          <w:t xml:space="preserve">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7. DEFERRED REVENUE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balances in deferred revenue as of June 30, 2024 and December 31, 2023 are primarily related to contributions in aid of construction which will be recognized as revenue over the life of the contract. An update of current deferred revenue follows.</w:t>
      </w:r>
    </w:p>
    <w:tbl>
      <w:tblPr>
        <w:tblW w:w="5174" w:type="dxa"/>
        <w:jc w:val="left"/>
        <w:tblInd w:w="0" w:type="dxa"/>
        <w:tblLayout w:type="fixed"/>
        <w:tblCellMar>
          <w:top w:w="28" w:type="dxa"/>
          <w:left w:w="28" w:type="dxa"/>
          <w:bottom w:w="28" w:type="dxa"/>
          <w:right w:w="28" w:type="dxa"/>
        </w:tblCellMar>
      </w:tblPr>
      <w:tblGrid>
        <w:gridCol w:w="1442"/>
        <w:gridCol w:w="1271"/>
        <w:gridCol w:w="1276"/>
        <w:gridCol w:w="230"/>
        <w:gridCol w:w="787"/>
        <w:gridCol w:w="168"/>
      </w:tblGrid>
      <w:tr>
        <w:trPr/>
        <w:tc>
          <w:tcPr>
            <w:tcW w:w="1442"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deferred revenue, December 31, 2023</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10,196 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 additions</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revenue recognized and other</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(5,721)</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Current deferred revenue, June 30, 2024</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8,305 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 update of noncurrent deferred revenue follows.</w:t>
      </w:r>
    </w:p>
    <w:tbl>
      <w:tblPr>
        <w:tblW w:w="6030" w:type="dxa"/>
        <w:jc w:val="left"/>
        <w:tblInd w:w="0" w:type="dxa"/>
        <w:tblLayout w:type="fixed"/>
        <w:tblCellMar>
          <w:top w:w="28" w:type="dxa"/>
          <w:left w:w="28" w:type="dxa"/>
          <w:bottom w:w="28" w:type="dxa"/>
          <w:right w:w="28" w:type="dxa"/>
        </w:tblCellMar>
      </w:tblPr>
      <w:tblGrid>
        <w:gridCol w:w="1755"/>
        <w:gridCol w:w="1543"/>
        <w:gridCol w:w="1547"/>
        <w:gridCol w:w="230"/>
        <w:gridCol w:w="787"/>
        <w:gridCol w:w="168"/>
      </w:tblGrid>
      <w:tr>
        <w:trPr/>
        <w:tc>
          <w:tcPr>
            <w:tcW w:w="1755"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Noncurrent deferred revenue, December 31, 2023</w:t>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30,085 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Add: additions</w:t>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3,378 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reclassification to current deferred revenue and other</w:t>
            </w:r>
          </w:p>
        </w:tc>
        <w:tc>
          <w:tcPr>
            <w:tcW w:w="10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(3,967)</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Noncurrent deferred revenue, June 30, 2024</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29,496 </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8. DEBT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for the Partnership at June 30, 2024 and December 31, 2023, follows:</w:t>
      </w:r>
    </w:p>
    <w:tbl>
      <w:tblPr>
        <w:tblW w:w="10205" w:type="dxa"/>
        <w:jc w:val="left"/>
        <w:tblInd w:w="0" w:type="dxa"/>
        <w:tblLayout w:type="fixed"/>
        <w:tblCellMar>
          <w:top w:w="28" w:type="dxa"/>
          <w:left w:w="28" w:type="dxa"/>
          <w:bottom w:w="28" w:type="dxa"/>
          <w:right w:w="28" w:type="dxa"/>
        </w:tblCellMar>
      </w:tblPr>
      <w:tblGrid>
        <w:gridCol w:w="2712"/>
        <w:gridCol w:w="2268"/>
        <w:gridCol w:w="2275"/>
        <w:gridCol w:w="211"/>
        <w:gridCol w:w="826"/>
        <w:gridCol w:w="109"/>
        <w:gridCol w:w="109"/>
        <w:gridCol w:w="109"/>
        <w:gridCol w:w="109"/>
        <w:gridCol w:w="232"/>
        <w:gridCol w:w="1074"/>
        <w:gridCol w:w="171"/>
      </w:tblGrid>
      <w:tr>
        <w:trPr/>
        <w:tc>
          <w:tcPr>
            <w:tcW w:w="2712" w:type="dxa"/>
            <w:tcBorders/>
            <w:vAlign w:val="center"/>
          </w:tcPr>
          <w:p>
            <w:pPr>
              <w:pStyle w:val="TableContents"/>
              <w:bidi w:val="0"/>
              <w:spacing w:before="0" w:after="283"/>
              <w:jc w:val="left"/>
              <w:rPr>
                <w:sz w:val="4"/>
                <w:szCs w:val="4"/>
              </w:rPr>
            </w:pPr>
            <w:r>
              <w:rPr>
                <w:sz w:val="4"/>
                <w:szCs w:val="4"/>
              </w:rPr>
            </w:r>
          </w:p>
        </w:tc>
        <w:tc>
          <w:tcPr>
            <w:tcW w:w="2268"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7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7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72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ABL Facility</w:t>
            </w:r>
            <w:r>
              <w:rPr>
                <w:rFonts w:ascii="Times New Roman;sans-serif" w:hAnsi="Times New Roman;sans-serif"/>
                <w:b w:val="false"/>
                <w:color w:val="000000"/>
                <w:sz w:val="20"/>
              </w:rPr>
              <w:t>: Summit Holdings' asset based credit facility due May 1, 2026</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313,000 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5"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7" w:type="dxa"/>
            <w:gridSpan w:val="3"/>
            <w:tcBorders/>
            <w:vAlign w:val="center"/>
          </w:tcPr>
          <w:p>
            <w:pPr>
              <w:pStyle w:val="TableContents"/>
              <w:bidi w:val="0"/>
              <w:spacing w:before="0" w:after="283"/>
              <w:jc w:val="left"/>
              <w:rPr>
                <w:sz w:val="4"/>
                <w:szCs w:val="4"/>
              </w:rPr>
            </w:pPr>
            <w:r>
              <w:rPr>
                <w:sz w:val="4"/>
                <w:szCs w:val="4"/>
              </w:rPr>
            </w:r>
          </w:p>
        </w:tc>
      </w:tr>
      <w:tr>
        <w:trPr/>
        <w:tc>
          <w:tcPr>
            <w:tcW w:w="72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Permian Transmission Term Loan</w:t>
            </w:r>
            <w:r>
              <w:rPr>
                <w:rFonts w:ascii="Times New Roman;sans-serif" w:hAnsi="Times New Roman;sans-serif"/>
                <w:b w:val="false"/>
                <w:color w:val="000000"/>
                <w:sz w:val="20"/>
              </w:rPr>
              <w:t>: Summit Permian Transmission's variable rate senior secured term loan due January 2028</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144,846 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2026 Unsecured Notes</w:t>
            </w:r>
            <w:r>
              <w:rPr>
                <w:rFonts w:ascii="Times New Roman;sans-serif" w:hAnsi="Times New Roman;sans-serif"/>
                <w:b w:val="false"/>
                <w:color w:val="000000"/>
                <w:sz w:val="20"/>
              </w:rPr>
              <w:t>: 12.00% senior unsecured notes due October 15, 2026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209,510 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2025 Senior Notes</w:t>
            </w:r>
            <w:r>
              <w:rPr>
                <w:rFonts w:ascii="Times New Roman;sans-serif" w:hAnsi="Times New Roman;sans-serif"/>
                <w:b w:val="false"/>
                <w:color w:val="000000"/>
                <w:sz w:val="20"/>
              </w:rPr>
              <w:t>: 5.75% senior unsecured notes due April 15, 2025</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49,783 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2026 Secured Notes</w:t>
            </w:r>
            <w:r>
              <w:rPr>
                <w:rFonts w:ascii="Times New Roman;sans-serif" w:hAnsi="Times New Roman;sans-serif"/>
                <w:b w:val="false"/>
                <w:color w:val="000000"/>
                <w:sz w:val="20"/>
              </w:rPr>
              <w:t>: 8.50% senior second lien notes due October 15, 2026</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764,464 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785,000 </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unamortized debt discount and debt issuance costs </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(31,449)</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 net of unamortized debt discount and debt issuance costs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927,384 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1,470,690 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Less: current portion of Permian Transmission Term Loan and 2025 Senior Notes redemption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(15,524)</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861,676 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1,455,166 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i/>
          <w:color w:val="000000"/>
          <w:sz w:val="20"/>
        </w:rPr>
        <w:t xml:space="preserve">ABL Facility. </w:t>
      </w:r>
      <w:r>
        <w:rPr>
          <w:rFonts w:ascii="Times New Roman;sans-serif" w:hAnsi="Times New Roman;sans-serif"/>
          <w:b w:val="false"/>
          <w:color w:val="000000"/>
          <w:sz w:val="20"/>
        </w:rPr>
        <w:t xml:space="preserve">On November 2, 2021, the Partnership, the Partnership’s subsidiary, Summit Holdings, and certain subsidiaries of Summit Holdings party thereto entered into a first-lien, senior secured credit facility, consisting of a $400.0 million asset-based revolving credit facility (the “ABL Facility”), subject to a borrowing base comprised of a percentage of eligible accounts receivable of Summit Holdings and its subsidiaries that guarantee the ABL Facility (collectively, the “ABL Facility Subsidiary Guarantors”) and a percentage of eligible above-ground fixed assets including eligible compression units, processing plants, compression stations and related equipment of Summit Holdings and the ABL Facility Subsidiary Guarantors. As of June 30, 2024, the most recent borrowing base determination of eligible assets totaled $632.1 million, an amount greater than the $400.0 million of aggregate lending commitments.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the ABL Facility will mature on May 1, 2026; provided that if the outstanding amount of the 2025 Senior Notes (or any permitted refinancing indebtedness in respect thereof that has a final maturity, scheduled amortization or any other scheduled repayment, mandatory prepayment, mandatory redemption or sinking fund obligation prior to the date that is 120 days after the Termination Date (as defined in the ABL Agreement)) on such date equals or exceeds $50.0 million, then the ABL Facility will mature on December 13, 2024. As of June 30, 2024, the outstanding balance of the 2025 Senior Notes was $49.8 million.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the available borrowing capacity of the ABL Facility totaled $371.7 million after giving effect to the issuance of $4.3 million in outstanding but undrawn irrevocable standby letters of credit and $24.0 million of commitment reserves.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222885"/>
                <wp:effectExtent l="0" t="0" r="0" b="0"/>
                <wp:wrapNone/>
                <wp:docPr id="16" name="Frame1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120" w:after="283"/>
        <w:jc w:val="left"/>
        <w:rPr/>
      </w:pPr>
      <w:hyperlink w:anchor="i69ee8b4d644242bf8ed471293c41640a_7">
        <w:r>
          <w:rPr>
            <w:rStyle w:val="InternetLink"/>
            <w:rFonts w:ascii="Times New Roman;sans-serif" w:hAnsi="Times New Roman;sans-serif"/>
            <w:b w:val="false"/>
            <w:color w:val="000080"/>
            <w:sz w:val="20"/>
            <w:u w:val="single"/>
          </w:rPr>
          <w:t xml:space="preserve">Table </w:t>
        </w:r>
      </w:hyperlink>
      <w:hyperlink w:anchor="i69ee8b4d644242bf8ed471293c41640a_7">
        <w:r>
          <w:rPr>
            <w:rStyle w:val="InternetLink"/>
            <w:rFonts w:ascii="Times New Roman;sans-serif" w:hAnsi="Times New Roman;sans-serif"/>
            <w:b w:val="false"/>
            <w:color w:val="000080"/>
            <w:sz w:val="20"/>
            <w:u w:val="single"/>
          </w:rPr>
          <w:t>of</w:t>
        </w:r>
      </w:hyperlink>
      <w:hyperlink w:anchor="i69ee8b4d644242bf8ed471293c41640a_7">
        <w:r>
          <w:rPr>
            <w:rStyle w:val="InternetLink"/>
            <w:rFonts w:ascii="Times New Roman;sans-serif" w:hAnsi="Times New Roman;sans-serif"/>
            <w:b w:val="false"/>
            <w:color w:val="000080"/>
            <w:sz w:val="20"/>
            <w:u w:val="single"/>
          </w:rPr>
          <w:t xml:space="preserve">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closing of the Utica Sale, the ABL Facility was amended to, among other things, (i) permit the Utica Sale, (ii) amend the change of control provision and certain other provisions to permit certain structural changes in connection with a conversion to a C-corporation and (iii) amend the Interest Coverage Ratio (as defined in the ABL Agreement) covenant such that the Interest Coverage Ratio as of the last day of any fiscal quarter must be less than (a) for any fiscal quarter ending on or before December 31, 2024, (x) if no loans under the Credit Agreement are outstanding and unrestricted cash exceeds $200.0 million on such date, 1.50:1.00 and (y) if any loans under the Credit Agreement are outstanding or unrestricted cash is less than such threshold on such date, 1.75:1.00 and (b) for any fiscal quarter ending after December 31, 2024, 1.90:1.00.</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ABL Facility also requires that Summit Holdings not permit the First Lien Net Leverage Ratio (as defined in the ABL Agreement) as of the last day of any fiscal quarter to be greater than 2.50:1.00. The Partnership is in compliance with the financial covenants of the ABL Facility.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portion of the proceeds from the Utica Sale were used to repay all amounts outstanding under the ABL Facility. As of June 30, 2024, there were no amounts outstanding under the ABL Facility.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see Note 16 – Subsequent Events.</w:t>
      </w:r>
    </w:p>
    <w:p>
      <w:pPr>
        <w:pStyle w:val="TextBody"/>
        <w:bidi w:val="0"/>
        <w:spacing w:lineRule="auto" w:line="288" w:before="120" w:after="283"/>
        <w:jc w:val="left"/>
        <w:rPr/>
      </w:pPr>
      <w:r>
        <w:rPr>
          <w:rFonts w:ascii="Times New Roman;sans-serif" w:hAnsi="Times New Roman;sans-serif"/>
          <w:b/>
          <w:i/>
          <w:color w:val="000000"/>
          <w:sz w:val="20"/>
        </w:rPr>
        <w:t>Permian Transmission Credit Facilities.</w:t>
      </w:r>
      <w:r>
        <w:rPr>
          <w:color w:val="000000"/>
        </w:rPr>
        <w:t xml:space="preserve"> </w:t>
      </w:r>
      <w:r>
        <w:rPr>
          <w:rFonts w:ascii="Times New Roman;sans-serif" w:hAnsi="Times New Roman;sans-serif"/>
          <w:b w:val="false"/>
          <w:color w:val="000000"/>
          <w:sz w:val="20"/>
        </w:rPr>
        <w:t>On March 8, 2021, the Partnership’s unrestricted subsidiary, Summit Permian Transmission, entered into a Credit Agreement which allows for $175.0 million of senior secured credit facilities (the “Permian Transmission Credit Facilities”), including a $160.0 million Term Loan Facility and a $15.0 million working capital facility. The Permian Transmission Credit Facilities can be used to finance Summit Permian Transmission’s capital calls associated with its investment in Double E, debt service and other general corporate purposes. Unexpended proceeds from draws on the Permian Transmission Credit Facilities are classified as restricted cash on the accompanying unaudited condensed consolidated balance sheets.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the applicable margin under adjusted term SOFR borrowings was 2.475%, the average interest rate was 7.79% and the unused portion of the Permian Transmission Credit Facilities totaled $4.5 million, subject to a commitment fee of 0.7% after giving effect to the issuance of $10.5 million in outstanding but undrawn irrevocable standby letters of credit. Summit Permian Transmission, LLC entered into interest rate hedges with notional amounts representing approximately 90% of the Permian Term Loan facility at a fixed SOFR rate of 1.23%. The Partnership is in compliance with the financial covenants of the Permian Transmission Credit Facilities. </w:t>
      </w:r>
    </w:p>
    <w:p>
      <w:pPr>
        <w:pStyle w:val="TextBody"/>
        <w:bidi w:val="0"/>
        <w:spacing w:lineRule="auto" w:line="288" w:before="120" w:after="283"/>
        <w:jc w:val="left"/>
        <w:rPr/>
      </w:pPr>
      <w:r>
        <w:rPr>
          <w:rFonts w:ascii="Times New Roman;sans-serif" w:hAnsi="Times New Roman;sans-serif"/>
          <w:b/>
          <w:i/>
          <w:color w:val="000000"/>
          <w:sz w:val="20"/>
        </w:rPr>
        <w:t xml:space="preserve">Permian Transmission Term Loan. </w:t>
      </w:r>
      <w:r>
        <w:rPr>
          <w:rFonts w:ascii="Times New Roman;sans-serif" w:hAnsi="Times New Roman;sans-serif"/>
          <w:b w:val="false"/>
          <w:color w:val="000000"/>
          <w:sz w:val="20"/>
        </w:rPr>
        <w:t xml:space="preserve">In accordance with the terms of the Permian Transmission Credit Facilities, in January 2022, the Permian Term Loan Facility was converted into a Term Loan (the “Permian Transmission Term Loan”). The Permian Transmission Term Loan is due January 2028. As of June 30, 2024, the applicable margin under adjusted term SOFR borrowings was 2.475% and the average interest rate was 7.79%. The Partnership is in compliance with the financial covenants governing the Permian Transmission Term Loan.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accordance with the terms of the Permian Transmission Term Loan, Summit Permian Transmission is required to make mandatory principal repayments. Below is a summary of the remaining mandatory principal repayments as of June 30, 2024: </w:t>
      </w:r>
    </w:p>
    <w:tbl>
      <w:tblPr>
        <w:tblW w:w="10205" w:type="dxa"/>
        <w:jc w:val="left"/>
        <w:tblInd w:w="0" w:type="dxa"/>
        <w:tblLayout w:type="fixed"/>
        <w:tblCellMar>
          <w:top w:w="28" w:type="dxa"/>
          <w:left w:w="28" w:type="dxa"/>
          <w:bottom w:w="28" w:type="dxa"/>
          <w:right w:w="28" w:type="dxa"/>
        </w:tblCellMar>
      </w:tblPr>
      <w:tblGrid>
        <w:gridCol w:w="744"/>
        <w:gridCol w:w="609"/>
        <w:gridCol w:w="598"/>
        <w:gridCol w:w="109"/>
        <w:gridCol w:w="109"/>
        <w:gridCol w:w="109"/>
        <w:gridCol w:w="211"/>
        <w:gridCol w:w="82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5"/>
      </w:tblGrid>
      <w:tr>
        <w:trPr/>
        <w:tc>
          <w:tcPr>
            <w:tcW w:w="744"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95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2028</w:t>
            </w:r>
          </w:p>
        </w:tc>
      </w:tr>
      <w:tr>
        <w:trPr/>
        <w:tc>
          <w:tcPr>
            <w:tcW w:w="19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Amortizing principal repayments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78,006 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i/>
          <w:color w:val="000000"/>
          <w:sz w:val="20"/>
        </w:rPr>
        <w:t xml:space="preserve">2026 Secured Notes. </w:t>
      </w:r>
      <w:r>
        <w:rPr>
          <w:rFonts w:ascii="Times New Roman;sans-serif" w:hAnsi="Times New Roman;sans-serif"/>
          <w:b w:val="false"/>
          <w:color w:val="000000"/>
          <w:sz w:val="20"/>
        </w:rPr>
        <w:t xml:space="preserve">In 2021, the Co-Issuers issued $700.0 million of 8.500% Senior Secured Second Lien Notes due 2026 to eligible purchasers pursuant to Rule 144A and Regulation S of the Securities Act, at a price of 98.5% of their face value. Additionally, in November 2022, in connection with the 2022 DJ Acquisitions, the Co-Issuers issued an additional $85.0 million of 2026 Secured Notes at a price of 99.26% of their face value. The 2026 Secured Notes will pay interest semi-annually on April 15 and October 15 of each year, commencing on April 15, 2022 and are jointly and severally guaranteed, on a senior second-priority secured basis (subject to permitted liens), by the Partnership and each restricted subsidiary of the Partnership (other than the Co-Issuers) that is an obligor under the ABL Agreement, or under the Co-Issuers’ 2025 Senior Notes on the issue date of the 2026 Secured Notes.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2026 Secured Notes are effectively subordinated to any of our or the guarantors’ current and future secured first lien indebtedness, including indebtedness incurred under the ABL Facility, to the extent of the value of the collateral securing such indebtedness, and our and the guarantors’ current and future debt that is secured by liens on assets other than the collateral, to the extent of the value of such assets. The 2026 Secured Notes are structurally subordinated to all indebtedness and other liabilities of our subsidiaries that do not guarantee the 2026 Secured Notes (including, but not limited to, the Permian Transmission Credit Facilities and the Subsidiary Series A Preferred Units). The 2026 Secured Notes are effectively equal to our and the guarantors’ obligations under any future second lien indebtedness and effectively senior to all of our future junior lien indebtedness and existing and future unsecured indebtedness, including our outstanding senior unsecured notes, to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222885"/>
                <wp:effectExtent l="0" t="0" r="0" b="0"/>
                <wp:wrapNone/>
                <wp:docPr id="17" name="Frame1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120" w:after="283"/>
        <w:jc w:val="left"/>
        <w:rPr/>
      </w:pPr>
      <w:hyperlink w:anchor="i69ee8b4d644242bf8ed471293c41640a_7">
        <w:r>
          <w:rPr>
            <w:rStyle w:val="InternetLink"/>
            <w:rFonts w:ascii="Times New Roman;sans-serif" w:hAnsi="Times New Roman;sans-serif"/>
            <w:b w:val="false"/>
            <w:color w:val="000080"/>
            <w:sz w:val="20"/>
            <w:u w:val="single"/>
          </w:rPr>
          <w:t xml:space="preserve">Table </w:t>
        </w:r>
      </w:hyperlink>
      <w:hyperlink w:anchor="i69ee8b4d644242bf8ed471293c41640a_7">
        <w:r>
          <w:rPr>
            <w:rStyle w:val="InternetLink"/>
            <w:rFonts w:ascii="Times New Roman;sans-serif" w:hAnsi="Times New Roman;sans-serif"/>
            <w:b w:val="false"/>
            <w:color w:val="000080"/>
            <w:sz w:val="20"/>
            <w:u w:val="single"/>
          </w:rPr>
          <w:t>of</w:t>
        </w:r>
      </w:hyperlink>
      <w:hyperlink w:anchor="i69ee8b4d644242bf8ed471293c41640a_7">
        <w:r>
          <w:rPr>
            <w:rStyle w:val="InternetLink"/>
            <w:rFonts w:ascii="Times New Roman;sans-serif" w:hAnsi="Times New Roman;sans-serif"/>
            <w:b w:val="false"/>
            <w:color w:val="000080"/>
            <w:sz w:val="20"/>
            <w:u w:val="single"/>
          </w:rPr>
          <w:t xml:space="preserve">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extent of the value of the collateral, and senior to any of our future subordinated indebtedness. The 2026 Secured Notes will mature on October 15, 2026.</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and after October 15, 2023, the Co-Issuers may redeem all or part of the 2026 Secured Notes at redemption prices (expressed as percentages of principal amount) equal to: (a) 104.250% for the twelve-month period beginning October 15, 2023; (b) 102.125% for the twelve-month period beginning October 15, 2024; and (c) 100.000% for the twelve-month period beginning on October 15, 2025 and at any time thereafter, in each case plus accrued and unpaid interest, if any, to, but not including the redemption date. The Partnership is in compliance with the covenants governing its 2026 Secured Notes.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Starting in the first quarter of 2023 with respect to the fiscal year ended 2022, and continuing annually through the fiscal year ended 2025, the Partnership is required under the terms of the 2026 Secured Notes Indenture to, if it has Excess Cash Flow (as defined in the 2026 Secured Notes Indenture), and subject to its ability to make such an offer under the ABL Facility, offer to purchase an amount of the 2026 Secured Notes, at 100% of the principal amount plus accrued and unpaid interest, equal to 100% of the Excess Cash Flow generated in the prior year. Excess Cash Flow is generally defined as consolidated cash flow minus the sum of capital expenditures and cash payments in respect of permitted investments and permitted restricted payments.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Generally, if the Partnership does not offer to purchase designated annual amounts of its 2026 Secured Notes or reduce its first lien capacity under the 2026 Secured Notes Indenture per annum from 2023 through 2025, the interest rate on the 2026 Secured Notes is subject to certain rate escalations. Per the terms of the 2026 Secured Notes Indenture, the designated amounts are to offer to purchase $50.0 million aggregate principal amount of the 2026 Secured Notes by April 1, 2023, otherwise the interest rate shall automatically increase by 50 basis points per annum; $100.0 million aggregate principal amount of the 2026 Secured Notes by April 1, 2024, otherwise the interest rate shall automatically increase by 100 basis points per annum (minus any amount previously increased); and $200.0 million aggregate principal amount of the 2026 Secured Notes by April 1, 2025, otherwise the interest rate shall automatically increase by 200 basis points per annum (minus any amount previously increased).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the amount of our Excess Cash Flow for the fiscal year ended 2023, on March 27, 2024, the Partnership commenced a cash tender offer to purchase up to $19.3 million aggregate principal amount of the outstanding 2026 Secured Notes at 100% of the principal amount plus accrued and unpaid interest. The cash flow offer expired on April 24, 2024 with $13.6 million tendered and validly accepted and fully discharged as of June 30, 2024 (the “Excess Cash Flow Offer”).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April 1, 2024, the Partnership had not made offers to purchase in the required amount of $100.0 million and the interest rate on the 2026 Secured Notes increased an incremental 50 basis points to 9.50% effective on such date. </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On May 7, 2024, the Co-Issuers commenced a cash tender offer to purchase up to $215.0 million of the outstanding 2026 Secured Notes (the “Asset Sale Offer”). The Asset Sale Offer expired on June 5, 2024 with $6.9 million of the 2026 Secured Notes tendered and validly accepted and fully discharged as of June 30, 2024.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the extent the Partnership makes an offer to purchase, and the offer is not fully accepted by the holders of the 2026 Secured Notes, the Partnership may use any remaining amount not accepted for any purpose not prohibited by the 2026 Secured Notes Indenture or the ABL Facility.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see Note 16 – Subsequent Events.</w:t>
      </w:r>
    </w:p>
    <w:p>
      <w:pPr>
        <w:pStyle w:val="TextBody"/>
        <w:bidi w:val="0"/>
        <w:spacing w:lineRule="auto" w:line="288" w:before="120" w:after="283"/>
        <w:jc w:val="left"/>
        <w:rPr/>
      </w:pPr>
      <w:r>
        <w:rPr>
          <w:rFonts w:ascii="Times New Roman;sans-serif" w:hAnsi="Times New Roman;sans-serif"/>
          <w:b/>
          <w:i/>
          <w:color w:val="000000"/>
          <w:sz w:val="20"/>
        </w:rPr>
        <w:t xml:space="preserve">2026 Unsecured Notes. </w:t>
      </w:r>
      <w:r>
        <w:rPr>
          <w:rFonts w:ascii="Times New Roman;sans-serif" w:hAnsi="Times New Roman;sans-serif"/>
          <w:b w:val="false"/>
          <w:color w:val="000000"/>
          <w:sz w:val="20"/>
        </w:rPr>
        <w:t xml:space="preserve">In November 2023, the Co-Issuers issued a total of $209.5 million aggregate principal amount of 2026 Unsecured Notes in exchange for $180.0 million aggregate principal amount of the 2025 Senior Notes and $29.5 million in cash. The cash raised was used to repurchase $29.7 million aggregate principal amount of the remaining 2025 Senior Notes that were not exchanged. The Partnership paid interest on the 2026 Unsecured Notes semi-annually in cash in arrears on April 15 and October 15 of each year.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June 7, 2024, the Co-Issuers delivered a redemption notice with respect to all $209.5 million of the outstanding 2026 Unsecured Notes. On June 24, 2024, the 2026 Unsecured Notes were fully repaid and discharged. As of June 30, 2024, no amounts of the 2026 Unsecured Notes remained outstanding. </w:t>
      </w:r>
    </w:p>
    <w:p>
      <w:pPr>
        <w:pStyle w:val="TextBody"/>
        <w:bidi w:val="0"/>
        <w:spacing w:lineRule="auto" w:line="288" w:before="120" w:after="120"/>
        <w:jc w:val="left"/>
        <w:rPr/>
      </w:pPr>
      <w:r>
        <w:rPr>
          <w:rFonts w:ascii="Times New Roman;sans-serif" w:hAnsi="Times New Roman;sans-serif"/>
          <w:b/>
          <w:i/>
          <w:color w:val="000000"/>
          <w:sz w:val="20"/>
        </w:rPr>
        <w:t>2025 Senior Notes.</w:t>
      </w:r>
      <w:r>
        <w:rPr>
          <w:color w:val="000000"/>
        </w:rPr>
        <w:t> </w:t>
      </w:r>
      <w:r>
        <w:rPr>
          <w:rFonts w:ascii="Times New Roman;sans-serif" w:hAnsi="Times New Roman;sans-serif"/>
          <w:b w:val="false"/>
          <w:color w:val="000000"/>
          <w:sz w:val="20"/>
        </w:rPr>
        <w:t>In February 2017, the Co-Issuers co-issued the 2025 Senior Notes. The Partnership pays interest on the 2025 Senior Notes semi-annually in cash in arrears on April 15 and October 15 of each year. The 2025 Senior Notes are senior, unsecured obligations and rank equally in right of payment with all of the Partnership’s existing and future senior obligations. The 2025 Senior Notes are effectively subordinated in right of payment to all of the Partnership’s secured indebtedness, to the extent of the collateral securing such indebtedness including indebtedness incurred under the ABL Facility and the 2026 Secured Notes.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Co-Issuers have the right to redeem all or part of the 2025 Senior Notes at a redemption price of 100.00%, plus accrued and unpaid interest, if any, to, but not including the redemption date.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222885"/>
                <wp:effectExtent l="0" t="0" r="0" b="0"/>
                <wp:wrapNone/>
                <wp:docPr id="18" name="Frame1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120" w:after="283"/>
        <w:jc w:val="left"/>
        <w:rPr/>
      </w:pPr>
      <w:hyperlink w:anchor="i69ee8b4d644242bf8ed471293c41640a_7">
        <w:r>
          <w:rPr>
            <w:rStyle w:val="InternetLink"/>
            <w:rFonts w:ascii="Times New Roman;sans-serif" w:hAnsi="Times New Roman;sans-serif"/>
            <w:b w:val="false"/>
            <w:color w:val="000080"/>
            <w:sz w:val="20"/>
            <w:u w:val="single"/>
          </w:rPr>
          <w:t xml:space="preserve">Table </w:t>
        </w:r>
      </w:hyperlink>
      <w:hyperlink w:anchor="i69ee8b4d644242bf8ed471293c41640a_7">
        <w:r>
          <w:rPr>
            <w:rStyle w:val="InternetLink"/>
            <w:rFonts w:ascii="Times New Roman;sans-serif" w:hAnsi="Times New Roman;sans-serif"/>
            <w:b w:val="false"/>
            <w:color w:val="000080"/>
            <w:sz w:val="20"/>
            <w:u w:val="single"/>
          </w:rPr>
          <w:t>of</w:t>
        </w:r>
      </w:hyperlink>
      <w:hyperlink w:anchor="i69ee8b4d644242bf8ed471293c41640a_7">
        <w:r>
          <w:rPr>
            <w:rStyle w:val="InternetLink"/>
            <w:rFonts w:ascii="Times New Roman;sans-serif" w:hAnsi="Times New Roman;sans-serif"/>
            <w:b w:val="false"/>
            <w:color w:val="000080"/>
            <w:sz w:val="20"/>
            <w:u w:val="single"/>
          </w:rPr>
          <w:t xml:space="preserve"> Contents</w:t>
        </w:r>
      </w:hyperlink>
    </w:p>
    <w:p>
      <w:pPr>
        <w:pStyle w:val="TextBody"/>
        <w:bidi w:val="0"/>
        <w:spacing w:lineRule="auto" w:line="26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discussed above, in November, 2023, the Partnership exchanged $180.0 million aggregate principal amount of the 2025 Senior Notes and repurchased $29.7 million aggregate principal amount of the remaining 2025 Senior Notes that were not exchanged.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Partnership is in compliance with the covenants of the 2025 Senior Notes. The 2025 Senior Notes mature on April 15, 2025.</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see Note 16 – Subsequent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9. FINANCIAL INSTRUMENTS</w:t>
      </w:r>
    </w:p>
    <w:p>
      <w:pPr>
        <w:pStyle w:val="TextBody"/>
        <w:bidi w:val="0"/>
        <w:spacing w:lineRule="auto" w:line="288" w:before="120" w:after="283"/>
        <w:jc w:val="left"/>
        <w:rPr/>
      </w:pPr>
      <w:r>
        <w:rPr>
          <w:rFonts w:ascii="Times New Roman;sans-serif" w:hAnsi="Times New Roman;sans-serif"/>
          <w:b/>
          <w:i/>
          <w:color w:val="000000"/>
          <w:sz w:val="20"/>
        </w:rPr>
        <w:t>Fair Value.</w:t>
      </w:r>
      <w:r>
        <w:rPr>
          <w:color w:val="000000"/>
        </w:rPr>
        <w:t> </w:t>
      </w:r>
      <w:r>
        <w:rPr>
          <w:rFonts w:ascii="Times New Roman;sans-serif" w:hAnsi="Times New Roman;sans-serif"/>
          <w:b w:val="false"/>
          <w:color w:val="000000"/>
          <w:sz w:val="20"/>
        </w:rPr>
        <w:t>A summary of the estimated fair value of our debt financial instruments follows.</w:t>
      </w:r>
    </w:p>
    <w:tbl>
      <w:tblPr>
        <w:tblW w:w="7559" w:type="dxa"/>
        <w:jc w:val="left"/>
        <w:tblInd w:w="0" w:type="dxa"/>
        <w:tblLayout w:type="fixed"/>
        <w:tblCellMar>
          <w:top w:w="28" w:type="dxa"/>
          <w:left w:w="28" w:type="dxa"/>
          <w:bottom w:w="28" w:type="dxa"/>
          <w:right w:w="28" w:type="dxa"/>
        </w:tblCellMar>
      </w:tblPr>
      <w:tblGrid>
        <w:gridCol w:w="706"/>
        <w:gridCol w:w="619"/>
        <w:gridCol w:w="624"/>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4"/>
      </w:tblGrid>
      <w:tr>
        <w:trPr/>
        <w:tc>
          <w:tcPr>
            <w:tcW w:w="70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Carrying</w:t>
            </w:r>
          </w:p>
          <w:p>
            <w:pPr>
              <w:pStyle w:val="TableContents"/>
              <w:bidi w:val="0"/>
              <w:spacing w:lineRule="auto" w:line="288" w:before="0" w:after="0"/>
              <w:jc w:val="center"/>
              <w:rPr/>
            </w:pPr>
            <w:r>
              <w:rPr>
                <w:rFonts w:ascii="Times New Roman;sans-serif" w:hAnsi="Times New Roman;sans-serif"/>
                <w:b/>
                <w:color w:val="000000"/>
                <w:sz w:val="16"/>
              </w:rPr>
              <w:t xml:space="preserve">Value </w:t>
            </w:r>
            <w:r>
              <w:rPr>
                <w:rFonts w:ascii="Times New Roman;sans-serif" w:hAnsi="Times New Roman;sans-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b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Carrying</w:t>
            </w:r>
          </w:p>
          <w:p>
            <w:pPr>
              <w:pStyle w:val="TableContents"/>
              <w:bidi w:val="0"/>
              <w:spacing w:lineRule="auto" w:line="288" w:before="0" w:after="0"/>
              <w:jc w:val="center"/>
              <w:rPr/>
            </w:pPr>
            <w:r>
              <w:rPr>
                <w:rFonts w:ascii="Times New Roman;sans-serif" w:hAnsi="Times New Roman;sans-serif"/>
                <w:b/>
                <w:color w:val="000000"/>
                <w:sz w:val="16"/>
              </w:rPr>
              <w:t xml:space="preserve">Value </w:t>
            </w:r>
            <w:r>
              <w:rPr>
                <w:rFonts w:ascii="Times New Roman;sans-serif" w:hAnsi="Times New Roman;sans-serif"/>
                <w:b/>
                <w:color w:val="000000"/>
                <w:sz w:val="13"/>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br/>
              <w:t>(Level 2)</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1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94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Senior Notes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48,414 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Secured Notes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764,464 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785,000 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778,131 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 Unsecured Notes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3"/>
        </w:rPr>
        <w:t xml:space="preserve">(1) </w:t>
      </w:r>
      <w:r>
        <w:rPr>
          <w:rFonts w:ascii="Times New Roman;sans-serif" w:hAnsi="Times New Roman;sans-serif"/>
          <w:b w:val="false"/>
          <w:color w:val="000000"/>
          <w:sz w:val="20"/>
        </w:rPr>
        <w:t>Excludes applicable unamortized debt issuance costs and debt discounts.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carrying values on the balance sheets of the ABL Facility and Permian Transmission Term Loan represent their fair value due to their floating interest rates. The fair values of the 2026 Unsecured Notes, 2026 Secured Notes and 2025 Senior Notes are based on an average of nonbinding broker quotes as of June 30, 2024 and December 31, 2023. The use of different market assumptions or valuation methodologies may have a material effect on their estimated fair value of the Senior Notes.</w:t>
      </w:r>
    </w:p>
    <w:p>
      <w:pPr>
        <w:pStyle w:val="TextBody"/>
        <w:bidi w:val="0"/>
        <w:spacing w:lineRule="auto" w:line="288" w:before="120" w:after="283"/>
        <w:jc w:val="left"/>
        <w:rPr/>
      </w:pPr>
      <w:r>
        <w:rPr>
          <w:rFonts w:ascii="Times New Roman;sans-serif" w:hAnsi="Times New Roman;sans-serif"/>
          <w:b/>
          <w:i/>
          <w:color w:val="000000"/>
          <w:sz w:val="20"/>
        </w:rPr>
        <w:t>Deferred earn-out.</w:t>
      </w:r>
      <w:r>
        <w:rPr>
          <w:color w:val="000000"/>
        </w:rPr>
        <w:t xml:space="preserve"> </w:t>
      </w:r>
      <w:r>
        <w:rPr>
          <w:rFonts w:ascii="Times New Roman;sans-serif" w:hAnsi="Times New Roman;sans-serif"/>
          <w:b w:val="false"/>
          <w:color w:val="000000"/>
          <w:sz w:val="20"/>
        </w:rPr>
        <w:t>The Partnership’s deferred earn-out liability was settled in full during the quarterly period ended June 30, 2024. As of December 31, 2023, the estimated fair value of the deferred earn-out liability was $5.1 million, and was estimated using a discounted cash flow technique based on estimated future freshwater deliveries and appropriate discount rates. Given the unobservable nature of the inputs, the fair value measurement of the deferred earn-out is deemed to use Level 3 inputs.</w:t>
      </w:r>
    </w:p>
    <w:p>
      <w:pPr>
        <w:pStyle w:val="TextBody"/>
        <w:bidi w:val="0"/>
        <w:spacing w:lineRule="auto" w:line="288" w:before="120" w:after="283"/>
        <w:jc w:val="left"/>
        <w:rPr/>
      </w:pPr>
      <w:r>
        <w:rPr>
          <w:rFonts w:ascii="Times New Roman;sans-serif" w:hAnsi="Times New Roman;sans-serif"/>
          <w:b/>
          <w:i/>
          <w:color w:val="000000"/>
          <w:sz w:val="20"/>
        </w:rPr>
        <w:t>Interest Rate Swaps.</w:t>
      </w:r>
      <w:r>
        <w:rPr>
          <w:color w:val="000000"/>
        </w:rPr>
        <w:t> </w:t>
      </w:r>
      <w:r>
        <w:rPr>
          <w:rFonts w:ascii="Times New Roman;sans-serif" w:hAnsi="Times New Roman;sans-serif"/>
          <w:b w:val="false"/>
          <w:color w:val="000000"/>
          <w:sz w:val="20"/>
        </w:rPr>
        <w:t xml:space="preserve">In connection with the Permian Transmission Term Loan, the Partnership entered into amortizing interest rate swap agreements. As of June 30, 2024 and December 31, 2023, the outstanding notional amounts of interest rate swaps were $123.5 million and $130.4 million, respectively. These interest rate swaps manage exposure to variability in expected cash flows attributable to interest rate risk. Interest rate swaps convert a portion of the Partnership’s variable rate debt to fixed rate debt. The Partnership chooses counterparties for its derivative instruments that it believes are creditworthy at the time the transactions are entered into, and the Partnership actively monitors the creditworthiness where applicable. However, there can be no assurance that a counterparty will be able to meet its obligations to the Partnership. The Partnership presents its derivative positions on a gross basis and does not net the asset and liability positions.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June 30, 2024 and December 31, 2023, the Partnership’s interest rate swap agreements had a fair value of $12.8 million and $11.9 million, respectively, and are recorded within other noncurrent assets within the unaudited condensed consolidated balance sheets. The derivative instruments’ fair value are determined using level 2 inputs from the fair value hierarchy. For the three and six months ended June 30, 2024, the Partnership recorded a gain on interest rate swaps of $0.9 million and $3.5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10. PARTNERS' CAPITAL AND MEZZANINE CAPITAL</w:t>
      </w:r>
    </w:p>
    <w:p>
      <w:pPr>
        <w:pStyle w:val="TextBody"/>
        <w:bidi w:val="0"/>
        <w:spacing w:lineRule="auto" w:line="288" w:before="120" w:after="283"/>
        <w:jc w:val="left"/>
        <w:rPr/>
      </w:pPr>
      <w:r>
        <w:rPr>
          <w:rFonts w:ascii="Times New Roman;sans-serif" w:hAnsi="Times New Roman;sans-serif"/>
          <w:b/>
          <w:i/>
          <w:color w:val="000000"/>
          <w:sz w:val="20"/>
        </w:rPr>
        <w:t>Common Units.</w:t>
      </w:r>
      <w:r>
        <w:rPr>
          <w:color w:val="000000"/>
        </w:rPr>
        <w:t> </w:t>
      </w:r>
      <w:r>
        <w:rPr>
          <w:rFonts w:ascii="Times New Roman;sans-serif" w:hAnsi="Times New Roman;sans-serif"/>
          <w:b w:val="false"/>
          <w:color w:val="000000"/>
          <w:sz w:val="20"/>
        </w:rPr>
        <w:t>An update on the number of common units is as follows for the period from December 31, 2023 to June 30, 2024.</w:t>
      </w:r>
    </w:p>
    <w:tbl>
      <w:tblPr>
        <w:tblW w:w="5087" w:type="dxa"/>
        <w:jc w:val="left"/>
        <w:tblInd w:w="0" w:type="dxa"/>
        <w:tblLayout w:type="fixed"/>
        <w:tblCellMar>
          <w:top w:w="28" w:type="dxa"/>
          <w:left w:w="28" w:type="dxa"/>
          <w:bottom w:w="28" w:type="dxa"/>
          <w:right w:w="28" w:type="dxa"/>
        </w:tblCellMar>
      </w:tblPr>
      <w:tblGrid>
        <w:gridCol w:w="1262"/>
        <w:gridCol w:w="1111"/>
        <w:gridCol w:w="1122"/>
        <w:gridCol w:w="540"/>
        <w:gridCol w:w="541"/>
        <w:gridCol w:w="511"/>
      </w:tblGrid>
      <w:tr>
        <w:trPr/>
        <w:tc>
          <w:tcPr>
            <w:tcW w:w="1262"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1122"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r>
      <w:tr>
        <w:trPr/>
        <w:tc>
          <w:tcPr>
            <w:tcW w:w="34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Units</w:t>
            </w:r>
          </w:p>
        </w:tc>
      </w:tr>
      <w:tr>
        <w:trPr/>
        <w:tc>
          <w:tcPr>
            <w:tcW w:w="34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Units, December 31, 2023</w:t>
            </w:r>
          </w:p>
        </w:tc>
        <w:tc>
          <w:tcPr>
            <w:tcW w:w="10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10,376,189 </w:t>
            </w:r>
          </w:p>
        </w:tc>
        <w:tc>
          <w:tcPr>
            <w:tcW w:w="51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vAlign w:val="center"/>
          </w:tcPr>
          <w:p>
            <w:pPr>
              <w:pStyle w:val="TableContents"/>
              <w:bidi w:val="0"/>
              <w:spacing w:before="0" w:after="283"/>
              <w:jc w:val="left"/>
              <w:rPr>
                <w:sz w:val="4"/>
                <w:szCs w:val="4"/>
              </w:rPr>
            </w:pPr>
            <w:r>
              <w:rPr>
                <w:sz w:val="4"/>
                <w:szCs w:val="4"/>
              </w:rPr>
            </w:r>
          </w:p>
        </w:tc>
        <w:tc>
          <w:tcPr>
            <w:tcW w:w="1592" w:type="dxa"/>
            <w:gridSpan w:val="3"/>
            <w:tcBorders/>
            <w:vAlign w:val="center"/>
          </w:tcPr>
          <w:p>
            <w:pPr>
              <w:pStyle w:val="TableContents"/>
              <w:bidi w:val="0"/>
              <w:spacing w:before="0" w:after="283"/>
              <w:jc w:val="left"/>
              <w:rPr>
                <w:sz w:val="4"/>
                <w:szCs w:val="4"/>
              </w:rPr>
            </w:pPr>
            <w:r>
              <w:rPr>
                <w:sz w:val="4"/>
                <w:szCs w:val="4"/>
              </w:rPr>
            </w:r>
          </w:p>
        </w:tc>
      </w:tr>
      <w:tr>
        <w:trPr/>
        <w:tc>
          <w:tcPr>
            <w:tcW w:w="349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units issued for SMLP LTIP, net</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272,496 </w:t>
            </w:r>
          </w:p>
        </w:tc>
        <w:tc>
          <w:tcPr>
            <w:tcW w:w="5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Units, June 30, 2024</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10,648,685 </w:t>
            </w:r>
          </w:p>
        </w:tc>
        <w:tc>
          <w:tcPr>
            <w:tcW w:w="5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i/>
          <w:color w:val="000000"/>
          <w:sz w:val="20"/>
        </w:rPr>
        <w:t>Series A Preferred Units.</w:t>
      </w:r>
      <w:r>
        <w:rPr>
          <w:color w:val="000000"/>
        </w:rPr>
        <w:t xml:space="preserve"> </w:t>
      </w:r>
      <w:r>
        <w:rPr>
          <w:rFonts w:ascii="Times New Roman;sans-serif" w:hAnsi="Times New Roman;sans-serif"/>
          <w:b w:val="false"/>
          <w:color w:val="000000"/>
          <w:sz w:val="20"/>
        </w:rPr>
        <w:t xml:space="preserve">As of June 30, 2024, the Partnership had 65,508 Series A Preferred Units outstanding and $39.6 million of accrued and unpaid distributions on its Series A Preferred Units. </w:t>
      </w:r>
    </w:p>
    <w:p>
      <w:pPr>
        <w:pStyle w:val="TextBody"/>
        <w:bidi w:val="0"/>
        <w:spacing w:lineRule="auto" w:line="288" w:before="120" w:after="283"/>
        <w:jc w:val="left"/>
        <w:rPr/>
      </w:pPr>
      <w:r>
        <w:rPr>
          <w:rFonts w:ascii="Times New Roman;sans-serif" w:hAnsi="Times New Roman;sans-serif"/>
          <w:b/>
          <w:i/>
          <w:color w:val="000000"/>
          <w:sz w:val="20"/>
        </w:rPr>
        <w:t>Subsidiary Series A Preferred Units.</w:t>
      </w:r>
      <w:r>
        <w:rPr>
          <w:color w:val="000000"/>
        </w:rPr>
        <w:t> </w:t>
      </w:r>
      <w:r>
        <w:rPr>
          <w:rFonts w:ascii="Times New Roman;sans-serif" w:hAnsi="Times New Roman;sans-serif"/>
          <w:b w:val="false"/>
          <w:color w:val="000000"/>
          <w:sz w:val="20"/>
        </w:rPr>
        <w:t xml:space="preserve">The Partnership records its Subsidiary Series A Preferred Units at fair value upon issuance, net of issuance costs, and subsequently records an effective interest method accretion amount each reporting period to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222885"/>
                <wp:effectExtent l="0" t="0" r="0" b="0"/>
                <wp:wrapNone/>
                <wp:docPr id="19" name="Frame1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120" w:after="283"/>
        <w:jc w:val="left"/>
        <w:rPr/>
      </w:pPr>
      <w:hyperlink w:anchor="i69ee8b4d644242bf8ed471293c41640a_7">
        <w:r>
          <w:rPr>
            <w:rStyle w:val="InternetLink"/>
            <w:rFonts w:ascii="Times New Roman;sans-serif" w:hAnsi="Times New Roman;sans-serif"/>
            <w:b w:val="false"/>
            <w:color w:val="000080"/>
            <w:sz w:val="20"/>
            <w:u w:val="single"/>
          </w:rPr>
          <w:t xml:space="preserve">Table </w:t>
        </w:r>
      </w:hyperlink>
      <w:hyperlink w:anchor="i69ee8b4d644242bf8ed471293c41640a_7">
        <w:r>
          <w:rPr>
            <w:rStyle w:val="InternetLink"/>
            <w:rFonts w:ascii="Times New Roman;sans-serif" w:hAnsi="Times New Roman;sans-serif"/>
            <w:b w:val="false"/>
            <w:color w:val="000080"/>
            <w:sz w:val="20"/>
            <w:u w:val="single"/>
          </w:rPr>
          <w:t>of</w:t>
        </w:r>
      </w:hyperlink>
      <w:hyperlink w:anchor="i69ee8b4d644242bf8ed471293c41640a_7">
        <w:r>
          <w:rPr>
            <w:rStyle w:val="InternetLink"/>
            <w:rFonts w:ascii="Times New Roman;sans-serif" w:hAnsi="Times New Roman;sans-serif"/>
            <w:b w:val="false"/>
            <w:color w:val="000080"/>
            <w:sz w:val="20"/>
            <w:u w:val="single"/>
          </w:rPr>
          <w:t xml:space="preserve">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accrete the carrying value to a most probable redemption value that is based on a predetermined internal rate of return measure. Net income (loss) attributable to common limited partners includes adjustments for PIK distributions and redemption accretion.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the Partnership had 93,039 Subsidiary Series A Preferred Units issued and outstanding.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If the Subsidiary Series A Preferred Units were redeemed on June 30, 2024, the redemption amount would be $128.8 million when considering the applicable multiple of invested capital metric and make-whole amount provisions contained in the Amended and Restated Limited Liability Company Agreement of Permian Holdco.</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the change in the Partnership’s Subsidiary Series A Preferred Unit balance from January 1, 2024 to June 30, 2024, net of $1.4 million and $1.7 million of unamortized issuance costs at June 30, 2024 and December 31, 2023, respectively:</w:t>
      </w:r>
    </w:p>
    <w:tbl>
      <w:tblPr>
        <w:tblW w:w="8061" w:type="dxa"/>
        <w:jc w:val="left"/>
        <w:tblInd w:w="0" w:type="dxa"/>
        <w:tblLayout w:type="fixed"/>
        <w:tblCellMar>
          <w:top w:w="28" w:type="dxa"/>
          <w:left w:w="28" w:type="dxa"/>
          <w:bottom w:w="28" w:type="dxa"/>
          <w:right w:w="28" w:type="dxa"/>
        </w:tblCellMar>
      </w:tblPr>
      <w:tblGrid>
        <w:gridCol w:w="2486"/>
        <w:gridCol w:w="2188"/>
        <w:gridCol w:w="2196"/>
        <w:gridCol w:w="211"/>
        <w:gridCol w:w="826"/>
        <w:gridCol w:w="154"/>
      </w:tblGrid>
      <w:tr>
        <w:trPr/>
        <w:tc>
          <w:tcPr>
            <w:tcW w:w="2486" w:type="dxa"/>
            <w:tcBorders/>
            <w:vAlign w:val="center"/>
          </w:tcPr>
          <w:p>
            <w:pPr>
              <w:pStyle w:val="TableContents"/>
              <w:bidi w:val="0"/>
              <w:spacing w:before="0" w:after="283"/>
              <w:jc w:val="left"/>
              <w:rPr>
                <w:sz w:val="4"/>
                <w:szCs w:val="4"/>
              </w:rPr>
            </w:pPr>
            <w:r>
              <w:rPr>
                <w:sz w:val="4"/>
                <w:szCs w:val="4"/>
              </w:rPr>
            </w:r>
          </w:p>
        </w:tc>
        <w:tc>
          <w:tcPr>
            <w:tcW w:w="2188" w:type="dxa"/>
            <w:tcBorders/>
            <w:vAlign w:val="center"/>
          </w:tcPr>
          <w:p>
            <w:pPr>
              <w:pStyle w:val="TableContents"/>
              <w:bidi w:val="0"/>
              <w:spacing w:before="0" w:after="283"/>
              <w:jc w:val="left"/>
              <w:rPr>
                <w:sz w:val="4"/>
                <w:szCs w:val="4"/>
              </w:rPr>
            </w:pPr>
            <w:r>
              <w:rPr>
                <w:sz w:val="4"/>
                <w:szCs w:val="4"/>
              </w:rPr>
            </w:r>
          </w:p>
        </w:tc>
        <w:tc>
          <w:tcPr>
            <w:tcW w:w="21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December 31, 2023</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124,652 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Redemption accretion, net of issuance cost amortization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Cash distribution (includes a $1.6 million distribution payable as of June 30, 2024)</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Balance at June 30, 2024</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129,032 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i/>
          <w:color w:val="000000"/>
          <w:sz w:val="20"/>
        </w:rPr>
        <w:t>Cash Distribution Policy.</w:t>
      </w:r>
      <w:r>
        <w:rPr>
          <w:color w:val="000000"/>
        </w:rPr>
        <w:t> </w:t>
      </w:r>
      <w:r>
        <w:rPr>
          <w:rFonts w:ascii="Times New Roman;sans-serif" w:hAnsi="Times New Roman;sans-serif"/>
          <w:b w:val="false"/>
          <w:color w:val="000000"/>
          <w:sz w:val="20"/>
        </w:rPr>
        <w:t>The Partnership suspended its cash distributions to holders of its common units and Series A Preferred Units, commencing with respect to the quarter ended March 31, 2020. Upon the resumption of distributions, the Partnership Agreement would have required that it distribute all available cash, subject to reserves established by its General Partner, within 45 days after the end of each quarter to unitholders of record on the applicable record date. The amount of distributions paid under this policy was subject to fluctuations based on the amount of cash the Partnership generated from its business and the decision to make any distribution was determined by the General Partner, taking into consideration the terms of the Partnership Agreement. There were no distributions paid during the three and six months ended June 30, 2024 or during the twelve months ended December 31, 2023. In connection with the consummation of the Corporate Reorganization (as defined herein), the Partnership Agreement was amended to, among other things, reflect that all of the issued and outstanding limited partnership interests of the Partnership are held by Summit Midstream Corporation. For information on the Corporate Reorganization, see Note 16 – Subsequent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222885"/>
                <wp:effectExtent l="0" t="0" r="0" b="0"/>
                <wp:wrapNone/>
                <wp:docPr id="20" name="Frame2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120" w:after="283"/>
        <w:jc w:val="left"/>
        <w:rPr/>
      </w:pPr>
      <w:hyperlink w:anchor="i69ee8b4d644242bf8ed471293c41640a_7">
        <w:r>
          <w:rPr>
            <w:rStyle w:val="InternetLink"/>
            <w:rFonts w:ascii="Times New Roman;sans-serif" w:hAnsi="Times New Roman;sans-serif"/>
            <w:b w:val="false"/>
            <w:color w:val="000080"/>
            <w:sz w:val="20"/>
            <w:u w:val="single"/>
          </w:rPr>
          <w:t xml:space="preserve">Table </w:t>
        </w:r>
      </w:hyperlink>
      <w:hyperlink w:anchor="i69ee8b4d644242bf8ed471293c41640a_7">
        <w:r>
          <w:rPr>
            <w:rStyle w:val="InternetLink"/>
            <w:rFonts w:ascii="Times New Roman;sans-serif" w:hAnsi="Times New Roman;sans-serif"/>
            <w:b w:val="false"/>
            <w:color w:val="000080"/>
            <w:sz w:val="20"/>
            <w:u w:val="single"/>
          </w:rPr>
          <w:t>of</w:t>
        </w:r>
      </w:hyperlink>
      <w:hyperlink w:anchor="i69ee8b4d644242bf8ed471293c41640a_7">
        <w:r>
          <w:rPr>
            <w:rStyle w:val="InternetLink"/>
            <w:rFonts w:ascii="Times New Roman;sans-serif" w:hAnsi="Times New Roman;sans-serif"/>
            <w:b w:val="false"/>
            <w:color w:val="000080"/>
            <w:sz w:val="20"/>
            <w:u w:val="single"/>
          </w:rPr>
          <w:t xml:space="preserve">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11. EARNINGS PER UNIT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details the components of EPU.</w:t>
      </w:r>
    </w:p>
    <w:tbl>
      <w:tblPr>
        <w:tblW w:w="10205" w:type="dxa"/>
        <w:jc w:val="left"/>
        <w:tblInd w:w="0" w:type="dxa"/>
        <w:tblLayout w:type="fixed"/>
        <w:tblCellMar>
          <w:top w:w="28" w:type="dxa"/>
          <w:left w:w="28" w:type="dxa"/>
          <w:bottom w:w="28" w:type="dxa"/>
          <w:right w:w="28" w:type="dxa"/>
        </w:tblCellMar>
      </w:tblPr>
      <w:tblGrid>
        <w:gridCol w:w="1788"/>
        <w:gridCol w:w="1471"/>
        <w:gridCol w:w="1475"/>
        <w:gridCol w:w="211"/>
        <w:gridCol w:w="779"/>
        <w:gridCol w:w="109"/>
        <w:gridCol w:w="109"/>
        <w:gridCol w:w="109"/>
        <w:gridCol w:w="109"/>
        <w:gridCol w:w="211"/>
        <w:gridCol w:w="779"/>
        <w:gridCol w:w="109"/>
        <w:gridCol w:w="109"/>
        <w:gridCol w:w="109"/>
        <w:gridCol w:w="109"/>
        <w:gridCol w:w="211"/>
        <w:gridCol w:w="826"/>
        <w:gridCol w:w="109"/>
        <w:gridCol w:w="109"/>
        <w:gridCol w:w="109"/>
        <w:gridCol w:w="109"/>
        <w:gridCol w:w="211"/>
        <w:gridCol w:w="779"/>
        <w:gridCol w:w="156"/>
      </w:tblGrid>
      <w:tr>
        <w:trPr/>
        <w:tc>
          <w:tcPr>
            <w:tcW w:w="1788" w:type="dxa"/>
            <w:tcBorders/>
            <w:vAlign w:val="center"/>
          </w:tcPr>
          <w:p>
            <w:pPr>
              <w:pStyle w:val="TableContents"/>
              <w:bidi w:val="0"/>
              <w:spacing w:before="0" w:after="283"/>
              <w:jc w:val="left"/>
              <w:rPr>
                <w:sz w:val="4"/>
                <w:szCs w:val="4"/>
              </w:rPr>
            </w:pPr>
            <w:r>
              <w:rPr>
                <w:sz w:val="4"/>
                <w:szCs w:val="4"/>
              </w:rPr>
            </w:r>
          </w:p>
        </w:tc>
        <w:tc>
          <w:tcPr>
            <w:tcW w:w="1471" w:type="dxa"/>
            <w:tcBorders/>
            <w:vAlign w:val="center"/>
          </w:tcPr>
          <w:p>
            <w:pPr>
              <w:pStyle w:val="TableContents"/>
              <w:bidi w:val="0"/>
              <w:spacing w:before="0" w:after="283"/>
              <w:jc w:val="left"/>
              <w:rPr>
                <w:sz w:val="4"/>
                <w:szCs w:val="4"/>
              </w:rPr>
            </w:pPr>
            <w:r>
              <w:rPr>
                <w:sz w:val="4"/>
                <w:szCs w:val="4"/>
              </w:rPr>
            </w:r>
          </w:p>
        </w:tc>
        <w:tc>
          <w:tcPr>
            <w:tcW w:w="147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 except per-unit amounts)</w:t>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Numerator for basic and diluted EPU:</w:t>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Allocation of net loss among limited partner interests:</w:t>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(27,703)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attributable to Subsidiary Series A Preferred Units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Summit Midstream Partners, LP</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(27,644)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(17,036)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101,513 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(32,945)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Net income attributable to Series A Preferred Units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(5,438)</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4734"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(loss) attributable to common limited partners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(30,957)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94,980 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(38,383)</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Denominator for basic and diluted EPU:</w:t>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common units outstanding – basic</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nonvested phantom units</w:t>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common units outstanding – diluted</w:t>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10,291 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Net income (loss) per limited partner unit:</w:t>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unit – basic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unit –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Nonvested anti-dilutive phantom units excluded from the calculation of diluted EPU</w:t>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12. SUPPLEMENTAL CASH FLOW INFORMATION</w:t>
      </w:r>
    </w:p>
    <w:tbl>
      <w:tblPr>
        <w:tblW w:w="9189" w:type="dxa"/>
        <w:jc w:val="left"/>
        <w:tblInd w:w="0" w:type="dxa"/>
        <w:tblLayout w:type="fixed"/>
        <w:tblCellMar>
          <w:top w:w="28" w:type="dxa"/>
          <w:left w:w="28" w:type="dxa"/>
          <w:bottom w:w="28" w:type="dxa"/>
          <w:right w:w="28" w:type="dxa"/>
        </w:tblCellMar>
      </w:tblPr>
      <w:tblGrid>
        <w:gridCol w:w="2440"/>
        <w:gridCol w:w="2142"/>
        <w:gridCol w:w="2153"/>
        <w:gridCol w:w="211"/>
        <w:gridCol w:w="721"/>
        <w:gridCol w:w="109"/>
        <w:gridCol w:w="109"/>
        <w:gridCol w:w="109"/>
        <w:gridCol w:w="109"/>
        <w:gridCol w:w="211"/>
        <w:gridCol w:w="721"/>
        <w:gridCol w:w="154"/>
      </w:tblGrid>
      <w:tr>
        <w:trPr/>
        <w:tc>
          <w:tcPr>
            <w:tcW w:w="2440" w:type="dxa"/>
            <w:tcBorders/>
            <w:vAlign w:val="center"/>
          </w:tcPr>
          <w:p>
            <w:pPr>
              <w:pStyle w:val="TableContents"/>
              <w:bidi w:val="0"/>
              <w:spacing w:before="0" w:after="283"/>
              <w:jc w:val="left"/>
              <w:rPr>
                <w:sz w:val="4"/>
                <w:szCs w:val="4"/>
              </w:rPr>
            </w:pPr>
            <w:r>
              <w:rPr>
                <w:sz w:val="4"/>
                <w:szCs w:val="4"/>
              </w:rPr>
            </w:r>
          </w:p>
        </w:tc>
        <w:tc>
          <w:tcPr>
            <w:tcW w:w="2142" w:type="dxa"/>
            <w:tcBorders/>
            <w:vAlign w:val="center"/>
          </w:tcPr>
          <w:p>
            <w:pPr>
              <w:pStyle w:val="TableContents"/>
              <w:bidi w:val="0"/>
              <w:spacing w:before="0" w:after="283"/>
              <w:jc w:val="left"/>
              <w:rPr>
                <w:sz w:val="4"/>
                <w:szCs w:val="4"/>
              </w:rPr>
            </w:pPr>
            <w:r>
              <w:rPr>
                <w:sz w:val="4"/>
                <w:szCs w:val="4"/>
              </w:rPr>
            </w:r>
          </w:p>
        </w:tc>
        <w:tc>
          <w:tcPr>
            <w:tcW w:w="215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6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67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Supplemental cash flow information:</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interest paid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taxes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Noncash investing and financing activities: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expenditures in trade accounts payable (period-end accruals)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3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Accretion of Subsidiary Series A Preferred Units, net of issuance cost amortization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222885"/>
                <wp:effectExtent l="0" t="0" r="0" b="0"/>
                <wp:wrapNone/>
                <wp:docPr id="21" name="Frame2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120" w:after="283"/>
        <w:jc w:val="left"/>
        <w:rPr/>
      </w:pPr>
      <w:hyperlink w:anchor="i69ee8b4d644242bf8ed471293c41640a_7">
        <w:r>
          <w:rPr>
            <w:rStyle w:val="InternetLink"/>
            <w:rFonts w:ascii="Times New Roman;sans-serif" w:hAnsi="Times New Roman;sans-serif"/>
            <w:b w:val="false"/>
            <w:color w:val="000080"/>
            <w:sz w:val="20"/>
            <w:u w:val="single"/>
          </w:rPr>
          <w:t xml:space="preserve">Table </w:t>
        </w:r>
      </w:hyperlink>
      <w:hyperlink w:anchor="i69ee8b4d644242bf8ed471293c41640a_7">
        <w:r>
          <w:rPr>
            <w:rStyle w:val="InternetLink"/>
            <w:rFonts w:ascii="Times New Roman;sans-serif" w:hAnsi="Times New Roman;sans-serif"/>
            <w:b w:val="false"/>
            <w:color w:val="000080"/>
            <w:sz w:val="20"/>
            <w:u w:val="single"/>
          </w:rPr>
          <w:t>of</w:t>
        </w:r>
      </w:hyperlink>
      <w:hyperlink w:anchor="i69ee8b4d644242bf8ed471293c41640a_7">
        <w:r>
          <w:rPr>
            <w:rStyle w:val="InternetLink"/>
            <w:rFonts w:ascii="Times New Roman;sans-serif" w:hAnsi="Times New Roman;sans-serif"/>
            <w:b w:val="false"/>
            <w:color w:val="000080"/>
            <w:sz w:val="20"/>
            <w:u w:val="single"/>
          </w:rPr>
          <w:t xml:space="preserve"> Contents</w:t>
        </w:r>
      </w:hyperlink>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13. UNIT-BASED AND NONCASH COMPENSATION</w:t>
      </w:r>
    </w:p>
    <w:p>
      <w:pPr>
        <w:pStyle w:val="TextBody"/>
        <w:bidi w:val="0"/>
        <w:spacing w:lineRule="auto" w:line="288" w:before="120" w:after="283"/>
        <w:jc w:val="left"/>
        <w:rPr/>
      </w:pPr>
      <w:r>
        <w:rPr>
          <w:rFonts w:ascii="Times New Roman;sans-serif" w:hAnsi="Times New Roman;sans-serif"/>
          <w:b/>
          <w:i/>
          <w:color w:val="000000"/>
          <w:sz w:val="20"/>
        </w:rPr>
        <w:t>SMLP Long-Term Incentive Plan.</w:t>
      </w:r>
      <w:r>
        <w:rPr>
          <w:color w:val="000000"/>
        </w:rPr>
        <w:t> </w:t>
      </w:r>
      <w:r>
        <w:rPr>
          <w:rFonts w:ascii="Times New Roman;sans-serif" w:hAnsi="Times New Roman;sans-serif"/>
          <w:b w:val="false"/>
          <w:color w:val="000000"/>
          <w:sz w:val="20"/>
        </w:rPr>
        <w:t>The Partnership’s 2022 Long-Term Incentive Plan (“SMLP LTIP”) provides for equity awards to eligible officers, employees, consultants and directors of the Partnership, thereby linking the recipients’ compensation directly to SMLP’s performance. Significant items to note: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For the six-month period ended June 30, 2024, the Partnership granted 230,815 time-based phantom units and associated distribution equivalent rights to employees in connection with the Partnership’s annual incentive compensation award cycle. The grant date fair value of these awards totaled $3.7 million and the awards vest ratably over a 3-year period.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For the six-month period ended June 30, 2024, the Partnership granted 122,867 performance-based phantom units and associated distribution equivalent rights to certain members of management in connection with the Partnership’s annual incentive compensation award cycle. The grant date fair value of these awards totaled $2.4 million and the awards vest at the end of three years.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For the six-month period ended June 30, 2024, the Partnership issued 39,486 common units to the Partnership’s six independent directors in connection with their annual compensation plan. The grant date fair value of these awards totaled $0.6 million and became fully vested at the grant date.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On May 16, 2024, the Board of Directors of the Partnership approved the First Amendment to the SMLP LTIP, which increased the number of common units that may be delivered with respect to awards granted under the SMLP LTIP by 750,000 common units. As of June 30, 2024, approximately 0.9 million common units remained available for future issuance under the SMLP LTIP, which includes the impact of 0.7 million granted but unvested phantom units.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14. COMMITMENTS AND CONTINGENCIES</w:t>
      </w:r>
    </w:p>
    <w:p>
      <w:pPr>
        <w:pStyle w:val="TextBody"/>
        <w:bidi w:val="0"/>
        <w:spacing w:lineRule="auto" w:line="288" w:before="120" w:after="283"/>
        <w:jc w:val="left"/>
        <w:rPr/>
      </w:pPr>
      <w:r>
        <w:rPr>
          <w:rFonts w:ascii="Times New Roman;sans-serif" w:hAnsi="Times New Roman;sans-serif"/>
          <w:b/>
          <w:i/>
          <w:color w:val="000000"/>
          <w:sz w:val="20"/>
        </w:rPr>
        <w:t>Environmental Matters.</w:t>
      </w:r>
      <w:r>
        <w:rPr>
          <w:color w:val="000000"/>
        </w:rPr>
        <w:t> </w:t>
      </w:r>
      <w:r>
        <w:rPr>
          <w:rFonts w:ascii="Times New Roman;sans-serif" w:hAnsi="Times New Roman;sans-serif"/>
          <w:b w:val="false"/>
          <w:color w:val="000000"/>
          <w:sz w:val="20"/>
        </w:rPr>
        <w:t>Although the Partnership believes that it is in material compliance with applicable environmental regulations, the risk of environmental remediation costs and liabilities are inherent in pipeline ownership and operation. Furthermore, the Partnership can provide no assurances that significant environmental remediation costs and liabilities will not be incurred in the future. The Partnership is currently not aware of any material contingent liabilities that exist with respect to environmental matters, except as noted below.</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the Partnership has recognized (i) a current liability for remediation effort expenditures expected to be incurred within the next 12 months and (ii) a noncurrent liability for estimated remediation expenditures expected to be incurred subsequent to June 30, 2025. Each of these amounts represent the Partnership’s best estimate for costs expected to be incurred. Neither of these amounts have been discounted to their present value.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 update of the Partnership’s undiscounted accrued environmental remediation is as follows and is primarily related to the 2015 Blacktail Release and other environmental remediation activities, as detailed below.</w:t>
      </w:r>
    </w:p>
    <w:tbl>
      <w:tblPr>
        <w:tblW w:w="6089" w:type="dxa"/>
        <w:jc w:val="left"/>
        <w:tblInd w:w="0" w:type="dxa"/>
        <w:tblLayout w:type="fixed"/>
        <w:tblCellMar>
          <w:top w:w="28" w:type="dxa"/>
          <w:left w:w="28" w:type="dxa"/>
          <w:bottom w:w="28" w:type="dxa"/>
          <w:right w:w="28" w:type="dxa"/>
        </w:tblCellMar>
      </w:tblPr>
      <w:tblGrid>
        <w:gridCol w:w="1777"/>
        <w:gridCol w:w="1562"/>
        <w:gridCol w:w="1565"/>
        <w:gridCol w:w="255"/>
        <w:gridCol w:w="744"/>
        <w:gridCol w:w="186"/>
      </w:tblGrid>
      <w:tr>
        <w:trPr/>
        <w:tc>
          <w:tcPr>
            <w:tcW w:w="1777" w:type="dxa"/>
            <w:tcBorders/>
            <w:vAlign w:val="center"/>
          </w:tcPr>
          <w:p>
            <w:pPr>
              <w:pStyle w:val="TableContents"/>
              <w:bidi w:val="0"/>
              <w:spacing w:before="0" w:after="283"/>
              <w:jc w:val="left"/>
              <w:rPr>
                <w:sz w:val="4"/>
                <w:szCs w:val="4"/>
              </w:rPr>
            </w:pPr>
            <w:r>
              <w:rPr>
                <w:sz w:val="4"/>
                <w:szCs w:val="4"/>
              </w:rPr>
            </w:r>
          </w:p>
        </w:tc>
        <w:tc>
          <w:tcPr>
            <w:tcW w:w="1562"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Accrued environmental remediation, December 31, 2023</w:t>
            </w:r>
          </w:p>
        </w:tc>
        <w:tc>
          <w:tcPr>
            <w:tcW w:w="255"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2,937 </w:t>
            </w:r>
          </w:p>
        </w:tc>
        <w:tc>
          <w:tcPr>
            <w:tcW w:w="1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Payments made</w:t>
            </w:r>
          </w:p>
        </w:tc>
        <w:tc>
          <w:tcPr>
            <w:tcW w:w="9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w:t>
            </w:r>
          </w:p>
        </w:tc>
        <w:tc>
          <w:tcPr>
            <w:tcW w:w="18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estimates</w:t>
            </w:r>
          </w:p>
        </w:tc>
        <w:tc>
          <w:tcPr>
            <w:tcW w:w="9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Accrued environmental remediation, June 30, 2024</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2,962 </w:t>
            </w:r>
          </w:p>
        </w:tc>
        <w:tc>
          <w:tcPr>
            <w:tcW w:w="1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2015, the Partnership learned of the rupture of a four-inch produced water gathering pipeline on the Meadowlark Midstream system near Williston, North Dakota (“2015 Blacktail Release”). On August 4, 2021, subsidiaries of the Partnership entered into the following agreements to resolve the U.S. federal and North Dakota state governments’ environmental claims with respect to the 2015 Blacktail Release: (i) a Consent Decree with the U.S. Department of Justice (“DOJ”), the U.S. Environmental Protection Agency (“EPA”), and the State of North Dakota (“Consent Decree”); (ii) a Plea Agreement with the United States (“Plea Agreement”); and (iii) a Consent Agreement with the North Dakota Industrial Commission (“Consent Agreement” together with the Consent Decree and Plea Agreement, the “Global Settlement”). As of June 30, 2024 and December 31, 2023, the accrued loss liability for the 2015 Blacktail Release was $21.7 million and are recorded within Other noncurrent liabilities and Accrued settlement payable within the unaudited condensed consolidated balance sheets.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Key terms of the Global Settlement included (i) payment of penalties and fines totaling $36.3 million, consisting of $1.25 million in natural resource damages payable to federal and state governments, $25.0 million payable to the federal government over 5 years, and $10.0 million payable to state governments over, for the federal and state civil amounts, six years and, for the federal criminal amounts, five years, with interest applied to unpaid amounts accruing at, for the federal and state civil amounts, a fixed rate of 3.25% and, for the federal criminal amounts, a variable rate set by statute, and of which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222885"/>
                <wp:effectExtent l="0" t="0" r="0" b="0"/>
                <wp:wrapNone/>
                <wp:docPr id="22" name="Frame2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120" w:after="283"/>
        <w:jc w:val="left"/>
        <w:rPr/>
      </w:pPr>
      <w:hyperlink w:anchor="i69ee8b4d644242bf8ed471293c41640a_7">
        <w:r>
          <w:rPr>
            <w:rStyle w:val="InternetLink"/>
            <w:rFonts w:ascii="Times New Roman;sans-serif" w:hAnsi="Times New Roman;sans-serif"/>
            <w:b w:val="false"/>
            <w:color w:val="000080"/>
            <w:sz w:val="20"/>
            <w:u w:val="single"/>
          </w:rPr>
          <w:t xml:space="preserve">Table </w:t>
        </w:r>
      </w:hyperlink>
      <w:hyperlink w:anchor="i69ee8b4d644242bf8ed471293c41640a_7">
        <w:r>
          <w:rPr>
            <w:rStyle w:val="InternetLink"/>
            <w:rFonts w:ascii="Times New Roman;sans-serif" w:hAnsi="Times New Roman;sans-serif"/>
            <w:b w:val="false"/>
            <w:color w:val="000080"/>
            <w:sz w:val="20"/>
            <w:u w:val="single"/>
          </w:rPr>
          <w:t>of</w:t>
        </w:r>
      </w:hyperlink>
      <w:hyperlink w:anchor="i69ee8b4d644242bf8ed471293c41640a_7">
        <w:r>
          <w:rPr>
            <w:rStyle w:val="InternetLink"/>
            <w:rFonts w:ascii="Times New Roman;sans-serif" w:hAnsi="Times New Roman;sans-serif"/>
            <w:b w:val="false"/>
            <w:color w:val="000080"/>
            <w:sz w:val="20"/>
            <w:u w:val="single"/>
          </w:rPr>
          <w:t xml:space="preserve">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$6.7 million is expected to be paid within the next twelve months; (ii) continuation of remediation efforts at the site of the 2015 Blacktail Release; (iii) other injunctive relief, including, but not limited to, control room management, environmental management system audit, training, and reporting; (iv) guilty pleas by defendant Summit Midstream Partners, LLC (the “Defendant”) for (a) one charge of negligent discharge of a harmful quantity of oil and (b) one charge of knowing failure to immediately report a discharge of oil; and (v) organizational probation for a minimum period of three years from sentencing on December 6, 2021, including payment in full of certain components of the fines and penalty amounts. The agreements comprising the Global Settlement were subject to the approval of the U.S. District Court for the District of North Dakota (the “U.S. District Court”). The U.S. District Court entered an order making the civil components of the Global Settlement effective on September 28, 2021 and accepted the sentencing in the Plea Agreement on December 6, 2021, completing approval of the Global Settlement.</w:t>
      </w:r>
    </w:p>
    <w:p>
      <w:pPr>
        <w:pStyle w:val="TextBody"/>
        <w:bidi w:val="0"/>
        <w:spacing w:lineRule="auto" w:line="288" w:before="120" w:after="283"/>
        <w:jc w:val="left"/>
        <w:rPr/>
      </w:pPr>
      <w:r>
        <w:rPr>
          <w:rFonts w:ascii="Times New Roman;sans-serif" w:hAnsi="Times New Roman;sans-serif"/>
          <w:b w:val="false"/>
          <w:color w:val="000000"/>
          <w:sz w:val="20"/>
        </w:rPr>
        <w:t>Subsidiaries of the Partnership are also participating in two proceedings before the EPA as a result of the Plea Agreement becoming effective. Following the U.S. District Court’s entering judgment on Defendant subsidiary’s guilty plea to one count of negligent discharge of produced water in violation of the Clean Water Act, Defendant subsidiary was statutorily debarred by operation of law pursuant to 33 U.S.C. § 1368(a) to participate in federal awards performed at the “violating facility,” which EPA determined to be the Marmon subsystem of the produced water gathering system in North Dakota. The scope and effect of the debarment as defined do not materially affect our operations. Defendant has submitted a petition for reinstatement, which was denied by the EPA’s suspension and debarment office (“SDO”) on July 11, 2022. The SDO determined that the term of probation in the Plea Agreement was the appropriate period of time to demonstrate Defendant subsidiary’s change of corporate attitude, policies, practices, and procedures. The Partnership and certain subsidiaries have also received a show cause notice from the EPA requesting us to “show cause” why SDO should not issue a Notice of Proposed Debarment to the Defendant subsidiary and certain affiliates under 2 C.F.R. § 180.800(d), to which the Partnership has responded, and in which proceeding no further developments have occurred.</w:t>
      </w:r>
      <w:r>
        <w:rPr>
          <w:color w:val="000000"/>
        </w:rPr>
        <w:t xml:space="preserve"> </w:t>
      </w:r>
    </w:p>
    <w:p>
      <w:pPr>
        <w:pStyle w:val="TextBody"/>
        <w:bidi w:val="0"/>
        <w:spacing w:lineRule="auto" w:line="288" w:before="120" w:after="283"/>
        <w:jc w:val="left"/>
        <w:rPr/>
      </w:pPr>
      <w:r>
        <w:rPr>
          <w:rFonts w:ascii="Times New Roman;sans-serif" w:hAnsi="Times New Roman;sans-serif"/>
          <w:b/>
          <w:i/>
          <w:color w:val="000000"/>
          <w:sz w:val="20"/>
        </w:rPr>
        <w:t>Legal Proceedings.</w:t>
      </w:r>
      <w:r>
        <w:rPr>
          <w:color w:val="000000"/>
        </w:rPr>
        <w:t> </w:t>
      </w:r>
      <w:r>
        <w:rPr>
          <w:rFonts w:ascii="Times New Roman;sans-serif" w:hAnsi="Times New Roman;sans-serif"/>
          <w:b w:val="false"/>
          <w:color w:val="000000"/>
          <w:sz w:val="20"/>
        </w:rPr>
        <w:t>The Partnership is involved in various litigation and administrative proceedings arising in the ordinary course of business. In the opinion of management, any liabilities, which include insured claims, would not individually or in the aggregate have a material adverse effect on the Partnership's financial position or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15. SEGMENT INFORMATION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 of June 30, 2024, the Partnership’s reportable segments are: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color w:val="000000"/>
          <w:sz w:val="20"/>
        </w:rPr>
        <w:t xml:space="preserve">Rockies </w:t>
      </w:r>
      <w:r>
        <w:rPr>
          <w:color w:val="000000"/>
        </w:rPr>
        <w:t xml:space="preserve">– </w:t>
      </w:r>
      <w:r>
        <w:rPr>
          <w:rFonts w:ascii="Times New Roman;sans-serif" w:hAnsi="Times New Roman;sans-serif"/>
          <w:b w:val="false"/>
          <w:color w:val="000000"/>
          <w:sz w:val="20"/>
        </w:rPr>
        <w:t xml:space="preserve">Includes the Partnership’s wholly owned midstream assets located in the Williston Basin and the DJ Basin.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color w:val="000000"/>
          <w:sz w:val="20"/>
        </w:rPr>
        <w:t xml:space="preserve">Permian </w:t>
      </w:r>
      <w:r>
        <w:rPr>
          <w:color w:val="000000"/>
        </w:rPr>
        <w:t xml:space="preserve">– </w:t>
      </w:r>
      <w:r>
        <w:rPr>
          <w:rFonts w:ascii="Times New Roman;sans-serif" w:hAnsi="Times New Roman;sans-serif"/>
          <w:b w:val="false"/>
          <w:color w:val="000000"/>
          <w:sz w:val="20"/>
        </w:rPr>
        <w:t>Includes the Partnership’s equity method investment in Double 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color w:val="000000"/>
          <w:sz w:val="20"/>
        </w:rPr>
        <w:t xml:space="preserve">Northeast </w:t>
      </w:r>
      <w:r>
        <w:rPr>
          <w:color w:val="000000"/>
        </w:rPr>
        <w:t xml:space="preserve">– </w:t>
      </w:r>
      <w:r>
        <w:rPr>
          <w:rFonts w:ascii="Times New Roman;sans-serif" w:hAnsi="Times New Roman;sans-serif"/>
          <w:b w:val="false"/>
          <w:color w:val="000000"/>
          <w:sz w:val="20"/>
        </w:rPr>
        <w:t xml:space="preserve">Includes the operations of the Partnership’s wholly owned midstream assets located in the Marcellus shale play and its wholly owned midstream assets located in the Utica shale play together with its equity method investment in Ohio Gathering that is focused on the Utica Shale. For additional information regarding the </w:t>
      </w:r>
      <w:r>
        <w:rPr>
          <w:rFonts w:ascii="Times New Roman;sans-serif" w:hAnsi="Times New Roman;sans-serif"/>
          <w:b w:val="false"/>
          <w:i/>
          <w:color w:val="000000"/>
          <w:sz w:val="20"/>
        </w:rPr>
        <w:t>Utica Sale</w:t>
      </w:r>
      <w:r>
        <w:rPr>
          <w:color w:val="000000"/>
        </w:rPr>
        <w:t xml:space="preserve"> </w:t>
      </w:r>
      <w:r>
        <w:rPr>
          <w:rFonts w:ascii="Times New Roman;sans-serif" w:hAnsi="Times New Roman;sans-serif"/>
          <w:b w:val="false"/>
          <w:color w:val="000000"/>
          <w:sz w:val="20"/>
        </w:rPr>
        <w:t>and Mountaineer Transaction, see Note 3 - Divestitures regarding the disposition of Northeast assets.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color w:val="000000"/>
          <w:sz w:val="20"/>
        </w:rPr>
        <w:t xml:space="preserve">Piceance </w:t>
      </w:r>
      <w:r>
        <w:rPr>
          <w:color w:val="000000"/>
        </w:rPr>
        <w:t xml:space="preserve">– </w:t>
      </w:r>
      <w:r>
        <w:rPr>
          <w:rFonts w:ascii="Times New Roman;sans-serif" w:hAnsi="Times New Roman;sans-serif"/>
          <w:b w:val="false"/>
          <w:color w:val="000000"/>
          <w:sz w:val="20"/>
        </w:rPr>
        <w:t>Includes the Partnership’s wholly owned midstream assets located in the Piceance Basin.</w:t>
      </w:r>
    </w:p>
    <w:p>
      <w:pPr>
        <w:pStyle w:val="TextBody"/>
        <w:bidi w:val="0"/>
        <w:spacing w:lineRule="auto" w:line="288" w:before="120" w:after="283"/>
        <w:ind w:left="0" w:right="0" w:hanging="540"/>
        <w:jc w:val="left"/>
        <w:rPr/>
      </w:pPr>
      <w:r>
        <w:rPr>
          <w:color w:val="000000"/>
        </w:rPr>
        <w:t>•</w:t>
      </w:r>
      <w:r>
        <w:rPr>
          <w:rFonts w:ascii="Times New Roman;sans-serif" w:hAnsi="Times New Roman;sans-serif"/>
          <w:b/>
          <w:color w:val="000000"/>
          <w:sz w:val="20"/>
        </w:rPr>
        <w:t xml:space="preserve">Barnett </w:t>
      </w:r>
      <w:r>
        <w:rPr>
          <w:color w:val="000000"/>
        </w:rPr>
        <w:t xml:space="preserve">– </w:t>
      </w:r>
      <w:r>
        <w:rPr>
          <w:rFonts w:ascii="Times New Roman;sans-serif" w:hAnsi="Times New Roman;sans-serif"/>
          <w:b w:val="false"/>
          <w:color w:val="000000"/>
          <w:sz w:val="20"/>
        </w:rPr>
        <w:t xml:space="preserve">Includes the Partnership’s wholly owned midstream assets located in the Barnett Shale.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222885"/>
                <wp:effectExtent l="0" t="0" r="0" b="0"/>
                <wp:wrapNone/>
                <wp:docPr id="23" name="Frame2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120" w:after="283"/>
        <w:jc w:val="left"/>
        <w:rPr/>
      </w:pPr>
      <w:hyperlink w:anchor="i69ee8b4d644242bf8ed471293c41640a_7">
        <w:r>
          <w:rPr>
            <w:rStyle w:val="InternetLink"/>
            <w:rFonts w:ascii="Times New Roman;sans-serif" w:hAnsi="Times New Roman;sans-serif"/>
            <w:b w:val="false"/>
            <w:color w:val="000080"/>
            <w:sz w:val="20"/>
            <w:u w:val="single"/>
          </w:rPr>
          <w:t xml:space="preserve">Table </w:t>
        </w:r>
      </w:hyperlink>
      <w:hyperlink w:anchor="i69ee8b4d644242bf8ed471293c41640a_7">
        <w:r>
          <w:rPr>
            <w:rStyle w:val="InternetLink"/>
            <w:rFonts w:ascii="Times New Roman;sans-serif" w:hAnsi="Times New Roman;sans-serif"/>
            <w:b w:val="false"/>
            <w:color w:val="000080"/>
            <w:sz w:val="20"/>
            <w:u w:val="single"/>
          </w:rPr>
          <w:t>of</w:t>
        </w:r>
      </w:hyperlink>
      <w:hyperlink w:anchor="i69ee8b4d644242bf8ed471293c41640a_7">
        <w:r>
          <w:rPr>
            <w:rStyle w:val="InternetLink"/>
            <w:rFonts w:ascii="Times New Roman;sans-serif" w:hAnsi="Times New Roman;sans-serif"/>
            <w:b w:val="false"/>
            <w:color w:val="000080"/>
            <w:sz w:val="20"/>
            <w:u w:val="single"/>
          </w:rPr>
          <w:t xml:space="preserve">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 represents those results that: (i) are not specifically attributable to a reportable segment; (ii) are not individually reportable; or (iii) have not been allocated to our reportable segments, including certain general and administrative expense items, transaction costs, acquisition integration costs and interest expense.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 by reportable segment follow.</w:t>
      </w:r>
    </w:p>
    <w:tbl>
      <w:tblPr>
        <w:tblW w:w="5823" w:type="dxa"/>
        <w:jc w:val="left"/>
        <w:tblInd w:w="0" w:type="dxa"/>
        <w:tblLayout w:type="fixed"/>
        <w:tblCellMar>
          <w:top w:w="28" w:type="dxa"/>
          <w:left w:w="28" w:type="dxa"/>
          <w:bottom w:w="28" w:type="dxa"/>
          <w:right w:w="28" w:type="dxa"/>
        </w:tblCellMar>
      </w:tblPr>
      <w:tblGrid>
        <w:gridCol w:w="957"/>
        <w:gridCol w:w="842"/>
        <w:gridCol w:w="856"/>
        <w:gridCol w:w="211"/>
        <w:gridCol w:w="976"/>
        <w:gridCol w:w="109"/>
        <w:gridCol w:w="109"/>
        <w:gridCol w:w="109"/>
        <w:gridCol w:w="109"/>
        <w:gridCol w:w="243"/>
        <w:gridCol w:w="1125"/>
        <w:gridCol w:w="177"/>
      </w:tblGrid>
      <w:tr>
        <w:trPr/>
        <w:tc>
          <w:tcPr>
            <w:tcW w:w="957" w:type="dxa"/>
            <w:tcBorders/>
            <w:vAlign w:val="center"/>
          </w:tcPr>
          <w:p>
            <w:pPr>
              <w:pStyle w:val="TableContents"/>
              <w:bidi w:val="0"/>
              <w:spacing w:before="0" w:after="283"/>
              <w:jc w:val="left"/>
              <w:rPr>
                <w:sz w:val="4"/>
                <w:szCs w:val="4"/>
              </w:rPr>
            </w:pPr>
            <w:r>
              <w:rPr>
                <w:sz w:val="4"/>
                <w:szCs w:val="4"/>
              </w:rPr>
            </w:r>
          </w:p>
        </w:tc>
        <w:tc>
          <w:tcPr>
            <w:tcW w:w="842"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Rockies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904,974 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291,073 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Northeast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573,663 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Piceance</w:t>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407,191 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431,687 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Barnett</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281,861 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reportable segment assets</w:t>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1,876,441 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2,483,258 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w:t>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156,497 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10,940 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2,032,938 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1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2,494,198 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Segment adjusted EBITDA by reportable segment follows.</w:t>
      </w:r>
    </w:p>
    <w:tbl>
      <w:tblPr>
        <w:tblW w:w="9344" w:type="dxa"/>
        <w:jc w:val="left"/>
        <w:tblInd w:w="0" w:type="dxa"/>
        <w:tblLayout w:type="fixed"/>
        <w:tblCellMar>
          <w:top w:w="28" w:type="dxa"/>
          <w:left w:w="28" w:type="dxa"/>
          <w:bottom w:w="28" w:type="dxa"/>
          <w:right w:w="28" w:type="dxa"/>
        </w:tblCellMar>
      </w:tblPr>
      <w:tblGrid>
        <w:gridCol w:w="1428"/>
        <w:gridCol w:w="1254"/>
        <w:gridCol w:w="1262"/>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4"/>
      </w:tblGrid>
      <w:tr>
        <w:trPr/>
        <w:tc>
          <w:tcPr>
            <w:tcW w:w="1428" w:type="dxa"/>
            <w:tcBorders/>
            <w:vAlign w:val="center"/>
          </w:tcPr>
          <w:p>
            <w:pPr>
              <w:pStyle w:val="TableContents"/>
              <w:bidi w:val="0"/>
              <w:spacing w:before="0" w:after="283"/>
              <w:jc w:val="left"/>
              <w:rPr>
                <w:sz w:val="4"/>
                <w:szCs w:val="4"/>
              </w:rPr>
            </w:pPr>
            <w:r>
              <w:rPr>
                <w:sz w:val="4"/>
                <w:szCs w:val="4"/>
              </w:rPr>
            </w:r>
          </w:p>
        </w:tc>
        <w:tc>
          <w:tcPr>
            <w:tcW w:w="1254"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9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color w:val="000000"/>
                <w:sz w:val="20"/>
              </w:rPr>
              <w:t>Reportable segment adjusted EBITDA</w:t>
            </w:r>
            <w:r>
              <w:rPr>
                <w:rFonts w:ascii="Times New Roman;sans-serif" w:hAnsi="Times New Roman;sans-serif"/>
                <w:b/>
                <w:color w:val="000000"/>
                <w:sz w:val="13"/>
              </w:rPr>
              <w:t>(1)</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Rockies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Permian</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Northeast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Piceance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28,348 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Barnett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of reportable segments' measures of profit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131,130 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pPr>
      <w:r>
        <w:rPr>
          <w:rFonts w:ascii="Times New Roman;sans-serif" w:hAnsi="Times New Roman;sans-serif"/>
          <w:b w:val="false"/>
          <w:color w:val="000000"/>
          <w:sz w:val="13"/>
        </w:rPr>
        <w:t>(1)</w:t>
      </w:r>
      <w:r>
        <w:rPr>
          <w:color w:val="000000"/>
        </w:rPr>
        <w:t> </w:t>
      </w:r>
      <w:r>
        <w:rPr>
          <w:rFonts w:ascii="Times New Roman;sans-serif" w:hAnsi="Times New Roman;sans-serif"/>
          <w:b w:val="false"/>
          <w:color w:val="000000"/>
          <w:sz w:val="20"/>
        </w:rPr>
        <w:t>Segment adjusted EBITDA is a non-GAAP financial measure. See “Management’s Discussion and Analysis of Financial Condition and Results of Operations - Results of Operations” for additional information.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222885"/>
                <wp:effectExtent l="0" t="0" r="0" b="0"/>
                <wp:wrapNone/>
                <wp:docPr id="24" name="Frame2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120" w:after="283"/>
        <w:jc w:val="left"/>
        <w:rPr/>
      </w:pPr>
      <w:hyperlink w:anchor="i69ee8b4d644242bf8ed471293c41640a_7">
        <w:r>
          <w:rPr>
            <w:rStyle w:val="InternetLink"/>
            <w:rFonts w:ascii="Times New Roman;sans-serif" w:hAnsi="Times New Roman;sans-serif"/>
            <w:b w:val="false"/>
            <w:color w:val="000080"/>
            <w:sz w:val="20"/>
            <w:u w:val="single"/>
          </w:rPr>
          <w:t xml:space="preserve">Table </w:t>
        </w:r>
      </w:hyperlink>
      <w:hyperlink w:anchor="i69ee8b4d644242bf8ed471293c41640a_7">
        <w:r>
          <w:rPr>
            <w:rStyle w:val="InternetLink"/>
            <w:rFonts w:ascii="Times New Roman;sans-serif" w:hAnsi="Times New Roman;sans-serif"/>
            <w:b w:val="false"/>
            <w:color w:val="000080"/>
            <w:sz w:val="20"/>
            <w:u w:val="single"/>
          </w:rPr>
          <w:t>of</w:t>
        </w:r>
      </w:hyperlink>
      <w:hyperlink w:anchor="i69ee8b4d644242bf8ed471293c41640a_7">
        <w:r>
          <w:rPr>
            <w:rStyle w:val="InternetLink"/>
            <w:rFonts w:ascii="Times New Roman;sans-serif" w:hAnsi="Times New Roman;sans-serif"/>
            <w:b w:val="false"/>
            <w:color w:val="000080"/>
            <w:sz w:val="20"/>
            <w:u w:val="single"/>
          </w:rPr>
          <w:t xml:space="preserve">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 reconciliation of income or loss before income taxes and income from equity method investees to total of reportable segments' measures of profit follows.</w:t>
      </w:r>
    </w:p>
    <w:tbl>
      <w:tblPr>
        <w:tblW w:w="10205" w:type="dxa"/>
        <w:jc w:val="left"/>
        <w:tblInd w:w="0" w:type="dxa"/>
        <w:tblLayout w:type="fixed"/>
        <w:tblCellMar>
          <w:top w:w="28" w:type="dxa"/>
          <w:left w:w="28" w:type="dxa"/>
          <w:bottom w:w="28" w:type="dxa"/>
          <w:right w:w="28" w:type="dxa"/>
        </w:tblCellMar>
      </w:tblPr>
      <w:tblGrid>
        <w:gridCol w:w="1733"/>
        <w:gridCol w:w="1497"/>
        <w:gridCol w:w="1504"/>
        <w:gridCol w:w="211"/>
        <w:gridCol w:w="755"/>
        <w:gridCol w:w="109"/>
        <w:gridCol w:w="109"/>
        <w:gridCol w:w="109"/>
        <w:gridCol w:w="109"/>
        <w:gridCol w:w="211"/>
        <w:gridCol w:w="755"/>
        <w:gridCol w:w="109"/>
        <w:gridCol w:w="109"/>
        <w:gridCol w:w="109"/>
        <w:gridCol w:w="109"/>
        <w:gridCol w:w="211"/>
        <w:gridCol w:w="826"/>
        <w:gridCol w:w="109"/>
        <w:gridCol w:w="109"/>
        <w:gridCol w:w="109"/>
        <w:gridCol w:w="109"/>
        <w:gridCol w:w="211"/>
        <w:gridCol w:w="826"/>
        <w:gridCol w:w="157"/>
      </w:tblGrid>
      <w:tr>
        <w:trPr/>
        <w:tc>
          <w:tcPr>
            <w:tcW w:w="1733" w:type="dxa"/>
            <w:tcBorders/>
            <w:vAlign w:val="center"/>
          </w:tcPr>
          <w:p>
            <w:pPr>
              <w:pStyle w:val="TableContents"/>
              <w:bidi w:val="0"/>
              <w:spacing w:before="0" w:after="283"/>
              <w:jc w:val="left"/>
              <w:rPr>
                <w:sz w:val="4"/>
                <w:szCs w:val="4"/>
              </w:rPr>
            </w:pPr>
            <w:r>
              <w:rPr>
                <w:sz w:val="4"/>
                <w:szCs w:val="4"/>
              </w:rPr>
            </w:r>
          </w:p>
        </w:tc>
        <w:tc>
          <w:tcPr>
            <w:tcW w:w="1497" w:type="dxa"/>
            <w:tcBorders/>
            <w:vAlign w:val="center"/>
          </w:tcPr>
          <w:p>
            <w:pPr>
              <w:pStyle w:val="TableContents"/>
              <w:bidi w:val="0"/>
              <w:spacing w:before="0" w:after="283"/>
              <w:jc w:val="left"/>
              <w:rPr>
                <w:sz w:val="4"/>
                <w:szCs w:val="4"/>
              </w:rPr>
            </w:pPr>
            <w:r>
              <w:rPr>
                <w:sz w:val="4"/>
                <w:szCs w:val="4"/>
              </w:rPr>
            </w:r>
          </w:p>
        </w:tc>
        <w:tc>
          <w:tcPr>
            <w:tcW w:w="150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7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7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734" w:type="dxa"/>
            <w:gridSpan w:val="3"/>
            <w:vMerge w:val="restart"/>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Reconciliation of loss before income taxes and income from equity method investees to total of reportable segments' measures of profit:</w:t>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vMerge w:val="continue"/>
            <w:tcBorders/>
            <w:tcMar>
              <w:top w:w="0" w:type="dxa"/>
              <w:left w:w="0" w:type="dxa"/>
              <w:bottom w:w="0" w:type="dxa"/>
              <w:right w:w="0" w:type="dxa"/>
            </w:tcMar>
            <w:vAlign w:val="center"/>
          </w:tcPr>
          <w:p>
            <w:pPr>
              <w:pStyle w:val="Normal"/>
              <w:bidi w:val="0"/>
              <w:jc w:val="left"/>
              <w:rPr/>
            </w:pPr>
            <w:r>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 and income from equity method investees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(40,046)</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Add:</w:t>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 expense</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13,069 </w:t>
            </w:r>
          </w:p>
        </w:tc>
        <w:tc>
          <w:tcPr>
            <w:tcW w:w="157"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69,398 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Depreciation and amortization </w:t>
            </w:r>
            <w:r>
              <w:rPr>
                <w:rFonts w:ascii="Times New Roman;sans-serif" w:hAnsi="Times New Roman;sans-serif"/>
                <w:b w:val="false"/>
                <w:color w:val="000000"/>
                <w:sz w:val="13"/>
              </w:rPr>
              <w:t>(1)</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60,425 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Proportional adjusted EBITDA for equity method investees </w:t>
            </w:r>
            <w:r>
              <w:rPr>
                <w:rFonts w:ascii="Times New Roman;sans-serif" w:hAnsi="Times New Roman;sans-serif"/>
                <w:b w:val="false"/>
                <w:color w:val="000000"/>
                <w:sz w:val="13"/>
              </w:rPr>
              <w:t>(2)</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27,517 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25,738 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related to capital reimbursement activity</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(3,667)</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Unit-based and noncash compensation</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asset sales, net</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sale of business</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Ohio Gathering</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 impairment</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 and other</w:t>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Early extinguishment of debt</w:t>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3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of reportable segments' measures of profit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50,436 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64,063 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129,929 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131,130 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________</w:t>
      </w:r>
    </w:p>
    <w:p>
      <w:pPr>
        <w:pStyle w:val="TextBody"/>
        <w:bidi w:val="0"/>
        <w:spacing w:lineRule="auto" w:line="288" w:before="120" w:after="283"/>
        <w:jc w:val="left"/>
        <w:rPr/>
      </w:pPr>
      <w:r>
        <w:rPr>
          <w:rFonts w:ascii="Times New Roman;sans-serif" w:hAnsi="Times New Roman;sans-serif"/>
          <w:b w:val="false"/>
          <w:color w:val="000000"/>
          <w:sz w:val="13"/>
        </w:rPr>
        <w:t>(1)</w:t>
      </w:r>
      <w:r>
        <w:rPr>
          <w:color w:val="000000"/>
        </w:rPr>
        <w:t> </w:t>
      </w:r>
      <w:r>
        <w:rPr>
          <w:rFonts w:ascii="Times New Roman;sans-serif" w:hAnsi="Times New Roman;sans-serif"/>
          <w:b w:val="false"/>
          <w:color w:val="000000"/>
          <w:sz w:val="20"/>
        </w:rPr>
        <w:t>Includes the amortization expense associated with our favorable gas gathering contracts as reported in other revenues.</w:t>
      </w:r>
    </w:p>
    <w:p>
      <w:pPr>
        <w:pStyle w:val="TextBody"/>
        <w:bidi w:val="0"/>
        <w:spacing w:lineRule="auto" w:line="288" w:before="120" w:after="283"/>
        <w:jc w:val="left"/>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 xml:space="preserve">The Partnership records financial results of its investment in Ohio Gathering on a one-month lag and is based on the financial information available to us during the reporting period. With the divestiture of Ohio Gathering in March 2024, proportional adjusted EBITDA includes financial results from December 1, 2023 through March 22,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16. SUBSEQUENT EVENTS</w:t>
      </w:r>
    </w:p>
    <w:p>
      <w:pPr>
        <w:pStyle w:val="TextBody"/>
        <w:bidi w:val="0"/>
        <w:spacing w:lineRule="auto" w:line="288" w:before="120" w:after="283"/>
        <w:jc w:val="left"/>
        <w:rPr/>
      </w:pPr>
      <w:r>
        <w:rPr>
          <w:rFonts w:ascii="Times New Roman;sans-serif" w:hAnsi="Times New Roman;sans-serif"/>
          <w:b/>
          <w:i/>
          <w:color w:val="000000"/>
          <w:sz w:val="20"/>
        </w:rPr>
        <w:t>Corporate Reorganization</w:t>
      </w:r>
      <w:r>
        <w:rPr>
          <w:rFonts w:ascii="Times New Roman;sans-serif" w:hAnsi="Times New Roman;sans-serif"/>
          <w:b/>
          <w:color w:val="000000"/>
          <w:sz w:val="20"/>
        </w:rPr>
        <w:t xml:space="preserve">. </w:t>
      </w:r>
      <w:r>
        <w:rPr>
          <w:rFonts w:ascii="Times New Roman;sans-serif" w:hAnsi="Times New Roman;sans-serif"/>
          <w:b w:val="false"/>
          <w:color w:val="000000"/>
          <w:sz w:val="20"/>
        </w:rPr>
        <w:t>On August 1, 2024, following unitholder approval at the Partnership’s Special Meeting of Unitholders on July 18, 2024, the Partnership consummated a previously announced transaction that resulted in the Partnership becoming a wholly owned subsidiary of a newly formed Delaware corporation, Summit Midstream Corporation (the “Corporate Reorganization”). Upon the consummation of the Corporate Reorganization, each outstanding common unit of the Partnership was converted into the right to receive 1.000 shares of common stock of Summit Midstream Corporation and each outstanding Series A Preferred Unit was converted into the right to receive 1.000 shares of Series A Floating Rate Cumulative Redeemable Perpetual Preferred Stock (“Series A Preferred Stock”) of Summit Midstream Corporation, with the liquidation preference of each share of Series A Preferred Stock initially equal to $1,000 and the Certificate of Designation of Series A Floating Rate Cumulative Redeemable Perpetual Preferred Stock of Summit Midstream Corporation (the “Series A Certificate of Designation”) deeming all accumulated and unpaid distributions on the Series A Preferred Units to be Series A Unpaid Cash Dividends (as defined in the Series A Certificate of Designation) per share of Series A Preferred Stock, which constituted all consideration to be paid in respect to such Series A Preferred Units, and any rights to accumulated and unpaid distributions on such Series A Preferred Units were discharged.</w:t>
      </w:r>
    </w:p>
    <w:p>
      <w:pPr>
        <w:pStyle w:val="TextBody"/>
        <w:bidi w:val="0"/>
        <w:spacing w:lineRule="auto" w:line="288" w:before="120" w:after="283"/>
        <w:jc w:val="left"/>
        <w:rPr/>
      </w:pPr>
      <w:r>
        <w:rPr>
          <w:rFonts w:ascii="Times New Roman;sans-serif" w:hAnsi="Times New Roman;sans-serif"/>
          <w:b/>
          <w:i/>
          <w:color w:val="000000"/>
          <w:sz w:val="20"/>
        </w:rPr>
        <w:t>Refinancing Transactions</w:t>
      </w:r>
      <w:r>
        <w:rPr>
          <w:rFonts w:ascii="Times New Roman;sans-serif" w:hAnsi="Times New Roman;sans-serif"/>
          <w:b/>
          <w:color w:val="000000"/>
          <w:sz w:val="20"/>
        </w:rPr>
        <w:t>.     </w:t>
      </w:r>
    </w:p>
    <w:p>
      <w:pPr>
        <w:pStyle w:val="TextBody"/>
        <w:bidi w:val="0"/>
        <w:spacing w:lineRule="auto" w:line="288" w:before="120" w:after="283"/>
        <w:jc w:val="left"/>
        <w:rPr/>
      </w:pPr>
      <w:r>
        <w:rPr>
          <w:rFonts w:ascii="Times New Roman;sans-serif" w:hAnsi="Times New Roman;sans-serif"/>
          <w:b/>
          <w:color w:val="000000"/>
          <w:sz w:val="20"/>
        </w:rPr>
        <w:t xml:space="preserve">2029 Notes. </w:t>
      </w:r>
      <w:r>
        <w:rPr>
          <w:rFonts w:ascii="Times New Roman;sans-serif" w:hAnsi="Times New Roman;sans-serif"/>
          <w:b w:val="false"/>
          <w:color w:val="000000"/>
          <w:sz w:val="20"/>
        </w:rPr>
        <w:t xml:space="preserve">On July 26, 2024, Summit Holdings issued $575.0 million aggregate principal amount of 8.625% Senior Secured Second Lien Notes due 2029 (the “2029 Notes”). The 2029 Notes are guaranteed on a senior second-priority basis by Summit Midstream Corporation and certain of Summit Midstream Corporation’s existing and future subsidiaries and are secured on a second-priority basis by substantially the same collateral that is pledged for the benefit of the lenders under the Amended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222885"/>
                <wp:effectExtent l="0" t="0" r="0" b="0"/>
                <wp:wrapNone/>
                <wp:docPr id="25" name="Frame2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120" w:after="283"/>
        <w:jc w:val="left"/>
        <w:rPr/>
      </w:pPr>
      <w:hyperlink w:anchor="i69ee8b4d644242bf8ed471293c41640a_7">
        <w:r>
          <w:rPr>
            <w:rStyle w:val="InternetLink"/>
            <w:rFonts w:ascii="Times New Roman;sans-serif" w:hAnsi="Times New Roman;sans-serif"/>
            <w:b w:val="false"/>
            <w:color w:val="000080"/>
            <w:sz w:val="20"/>
            <w:u w:val="single"/>
          </w:rPr>
          <w:t xml:space="preserve">Table </w:t>
        </w:r>
      </w:hyperlink>
      <w:hyperlink w:anchor="i69ee8b4d644242bf8ed471293c41640a_7">
        <w:r>
          <w:rPr>
            <w:rStyle w:val="InternetLink"/>
            <w:rFonts w:ascii="Times New Roman;sans-serif" w:hAnsi="Times New Roman;sans-serif"/>
            <w:b w:val="false"/>
            <w:color w:val="000080"/>
            <w:sz w:val="20"/>
            <w:u w:val="single"/>
          </w:rPr>
          <w:t>of</w:t>
        </w:r>
      </w:hyperlink>
      <w:hyperlink w:anchor="i69ee8b4d644242bf8ed471293c41640a_7">
        <w:r>
          <w:rPr>
            <w:rStyle w:val="InternetLink"/>
            <w:rFonts w:ascii="Times New Roman;sans-serif" w:hAnsi="Times New Roman;sans-serif"/>
            <w:b w:val="false"/>
            <w:color w:val="000080"/>
            <w:sz w:val="20"/>
            <w:u w:val="single"/>
          </w:rPr>
          <w:t xml:space="preserve">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Restated ABL Facility (as defined below). The 2029 Notes mature on October 31, 2029 and have interest payable semi-annually in arrears on each February 15 and August 15, commencing on February 15, 2025.</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At any time prior to July 31, 2026, Summit Holdings may on any one or more occasions redeem up to 40% of the aggregate principal amount of the 2029 Notes at a redemption rate of 108.625% of the principal amount plus accrued and unpaid interest, if any, to, but not including, the redemption date, in an amount not greater than the net cash proceeds of one or more equity offerings. At any time before July 31, 2026, Summit Holdings may also redeem the 2029 Notes, in whole or in part, at a price equal to 100% of their principal amount, plus a make-whole premium, together with accrued and unpaid interest to, but not including, the redemption date. Thereafter, Summit Holdings may redeem all or a portion of the 2029 Notes in whole at any time or in part from time to time at the following redemption prices (expressed as percentages of the principal amount) plus accrued and unpaid interest if redeemed during the periods indicated below:</w:t>
      </w:r>
    </w:p>
    <w:tbl>
      <w:tblPr>
        <w:tblW w:w="4733" w:type="dxa"/>
        <w:jc w:val="left"/>
        <w:tblInd w:w="0" w:type="dxa"/>
        <w:tblLayout w:type="fixed"/>
        <w:tblCellMar>
          <w:top w:w="28" w:type="dxa"/>
          <w:left w:w="28" w:type="dxa"/>
          <w:bottom w:w="28" w:type="dxa"/>
          <w:right w:w="28" w:type="dxa"/>
        </w:tblCellMar>
      </w:tblPr>
      <w:tblGrid>
        <w:gridCol w:w="939"/>
        <w:gridCol w:w="826"/>
        <w:gridCol w:w="830"/>
        <w:gridCol w:w="109"/>
        <w:gridCol w:w="109"/>
        <w:gridCol w:w="109"/>
        <w:gridCol w:w="413"/>
        <w:gridCol w:w="413"/>
        <w:gridCol w:w="985"/>
      </w:tblGrid>
      <w:tr>
        <w:trPr/>
        <w:tc>
          <w:tcPr>
            <w:tcW w:w="939"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c>
          <w:tcPr>
            <w:tcW w:w="985"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1"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ans-serif" w:hAnsi="Times New Roman;sans-serif"/>
                <w:b/>
                <w:color w:val="000000"/>
                <w:sz w:val="20"/>
              </w:rPr>
            </w:pPr>
            <w:r>
              <w:rPr>
                <w:rFonts w:ascii="Times New Roman;sans-serif" w:hAnsi="Times New Roman;sans-serif"/>
                <w:b/>
                <w:color w:val="000000"/>
                <w:sz w:val="20"/>
              </w:rPr>
              <w:t>Redemption Price</w:t>
            </w:r>
          </w:p>
        </w:tc>
      </w:tr>
      <w:tr>
        <w:trPr/>
        <w:tc>
          <w:tcPr>
            <w:tcW w:w="259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July 31, 2026 to July 30, 2027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104.313 </w:t>
            </w:r>
          </w:p>
        </w:tc>
        <w:tc>
          <w:tcPr>
            <w:tcW w:w="98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July 31, 2027 to July 30,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102.156 </w:t>
            </w:r>
          </w:p>
        </w:tc>
        <w:tc>
          <w:tcPr>
            <w:tcW w:w="985" w:type="dxa"/>
            <w:tcBorders/>
            <w:shd w:fill="FFFFFF"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595" w:type="dxa"/>
            <w:gridSpan w:val="3"/>
            <w:tcBorders/>
            <w:shd w:fill="CFF0FC" w:val="clear"/>
            <w:tcMar>
              <w:top w:w="0" w:type="dxa"/>
              <w:left w:w="0" w:type="dxa"/>
              <w:bottom w:w="0" w:type="dxa"/>
              <w:right w:w="0" w:type="dxa"/>
            </w:tcMar>
            <w:vAlign w:val="center"/>
          </w:tcPr>
          <w:p>
            <w:pPr>
              <w:pStyle w:val="TableContents"/>
              <w:bidi w:val="0"/>
              <w:spacing w:lineRule="auto" w:line="26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July 31, 2028 and thereafter</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shd w:fill="CFF0FC"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100.000 </w:t>
            </w:r>
          </w:p>
        </w:tc>
        <w:tc>
          <w:tcPr>
            <w:tcW w:w="985" w:type="dxa"/>
            <w:tcBorders/>
            <w:shd w:fill="CFF0FC" w:val="clear"/>
            <w:tcMar>
              <w:top w:w="0" w:type="dxa"/>
              <w:left w:w="0" w:type="dxa"/>
              <w:bottom w:w="0" w:type="dxa"/>
              <w:right w:w="0" w:type="dxa"/>
            </w:tcMar>
            <w:vAlign w:val="center"/>
          </w:tcPr>
          <w:p>
            <w:pPr>
              <w:pStyle w:val="TableContents"/>
              <w:bidi w:val="0"/>
              <w:spacing w:lineRule="auto" w:line="26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left"/>
        <w:rPr/>
      </w:pPr>
      <w:r>
        <w:rPr>
          <w:rFonts w:ascii="Times New Roman;sans-serif" w:hAnsi="Times New Roman;sans-serif"/>
          <w:b/>
          <w:color w:val="000000"/>
          <w:sz w:val="20"/>
        </w:rPr>
        <w:t>2026 Secured Notes Tender Offer and Redemption.</w:t>
      </w:r>
      <w:r>
        <w:rPr>
          <w:color w:val="000000"/>
        </w:rPr>
        <w:t xml:space="preserve"> </w:t>
      </w:r>
      <w:r>
        <w:rPr>
          <w:rFonts w:ascii="Times New Roman;sans-serif" w:hAnsi="Times New Roman;sans-serif"/>
          <w:b w:val="false"/>
          <w:color w:val="000000"/>
          <w:sz w:val="20"/>
        </w:rPr>
        <w:t>On July 26, 2024, concurrently with closing the offering of 2029 Notes, Summit Holdings and Finance Corp. consummated a cash tender offer to purchase any and all of the outstanding 2026 Secured Notes (the “2026 Secured Notes Tender Offer”). Summit Holdings and Finance Corp. accepted for payment and made payment for $649.8 million aggregate principal amount of the 2026 Secured Notes validly tendered in the 2026 Secured Notes Tender Offer. On July 26, 2024, concurrently with consummation of the 2026 Secured Notes Tender Offer, Summit Holdings and Finance Corp. delivered notice of redemption to holders of 2026 Secured Notes for the redemption of all $114.7 million aggregate principal amount of 2026 Secured Notes not purchased in the 2026 Secured Notes Tender Offer, at a price equal to 102.125% of the principal amount thereof, plus accrued and unpaid interest to the redemption date (which is expected to be October 15, 2024). On July 26, 2024, concurrently with delivery of notice of redemption, Summit Holdings and Finance Corp. irrevocably deposited $121.2 million in aggregate principal amount of non-callable United States Treasury securities, which includes amounts for principal, interest, and premium with the trustee to satisfy and discharge the 2026 Secured Notes until redeemed on October 15, 2024 with the funds deposited with the trustee.</w:t>
      </w:r>
    </w:p>
    <w:p>
      <w:pPr>
        <w:pStyle w:val="TextBody"/>
        <w:bidi w:val="0"/>
        <w:spacing w:lineRule="auto" w:line="288" w:before="120" w:after="283"/>
        <w:jc w:val="left"/>
        <w:rPr/>
      </w:pPr>
      <w:r>
        <w:rPr>
          <w:rFonts w:ascii="Times New Roman;sans-serif" w:hAnsi="Times New Roman;sans-serif"/>
          <w:b/>
          <w:color w:val="000000"/>
          <w:sz w:val="20"/>
        </w:rPr>
        <w:t>2025 Senior Notes Redemption.</w:t>
      </w:r>
      <w:r>
        <w:rPr>
          <w:color w:val="000000"/>
        </w:rPr>
        <w:t xml:space="preserve"> </w:t>
      </w:r>
      <w:r>
        <w:rPr>
          <w:rFonts w:ascii="Times New Roman;sans-serif" w:hAnsi="Times New Roman;sans-serif"/>
          <w:b w:val="false"/>
          <w:color w:val="000000"/>
          <w:sz w:val="20"/>
        </w:rPr>
        <w:t xml:space="preserve">On July 17, 2024, Summit Holdings and Finance Corp. delivered conditional notice of redemption to holders of 2025 Senior Notes for the redemption of all $49.8 million aggregate principal amount of outstanding 2025 Senior Notes, at a price equal to 100.000% of the principal amount thereof, plus accrued and unpaid interest to the redemption date, conditioned on closing of the offering of 2029 Notes. On July 26, 2024, concurrently with closing of the offering of 2029 Notes, Summit Holdings and Finance Corp. irrevocably deposited $50.6 million in aggregate principal amount of non-callable United States Treasury securities, which includes amounts </w:t>
      </w:r>
      <w:r>
        <w:rPr>
          <w:rFonts w:ascii="Times New Roman;sans-serif" w:hAnsi="Times New Roman;sans-serif"/>
          <w:b w:val="false"/>
          <w:color w:val="008080"/>
          <w:sz w:val="20"/>
        </w:rPr>
        <w:t>for</w:t>
      </w:r>
      <w:r>
        <w:rPr>
          <w:color w:val="000000"/>
        </w:rPr>
        <w:t xml:space="preserve"> </w:t>
      </w:r>
      <w:r>
        <w:rPr>
          <w:rFonts w:ascii="Times New Roman;sans-serif" w:hAnsi="Times New Roman;sans-serif"/>
          <w:b w:val="false"/>
          <w:color w:val="000000"/>
          <w:sz w:val="20"/>
        </w:rPr>
        <w:t>principal and interest with the trustee to satisfy and discharge the 2025 Senior Notes until redeemed with the funds deposited with the trustee.</w:t>
      </w:r>
    </w:p>
    <w:p>
      <w:pPr>
        <w:pStyle w:val="TextBody"/>
        <w:bidi w:val="0"/>
        <w:spacing w:lineRule="auto" w:line="288" w:before="120" w:after="283"/>
        <w:jc w:val="left"/>
        <w:rPr/>
      </w:pPr>
      <w:r>
        <w:rPr>
          <w:rFonts w:ascii="Times New Roman;sans-serif" w:hAnsi="Times New Roman;sans-serif"/>
          <w:b/>
          <w:color w:val="000000"/>
          <w:sz w:val="20"/>
        </w:rPr>
        <w:t>Amended and Restated ABL Facility.</w:t>
      </w:r>
      <w:r>
        <w:rPr>
          <w:color w:val="000000"/>
        </w:rPr>
        <w:t xml:space="preserve"> </w:t>
      </w:r>
      <w:r>
        <w:rPr>
          <w:rFonts w:ascii="Times New Roman;sans-serif" w:hAnsi="Times New Roman;sans-serif"/>
          <w:b w:val="false"/>
          <w:color w:val="000000"/>
          <w:sz w:val="20"/>
        </w:rPr>
        <w:t>Concurrently with the issuance of the 2029 Notes, on July 26, 2024, Summit Holdings, as borrower, amended and restated its existing first-lien, senior secured credit agreement, with the Partnership, the subsidiaries party thereto, Bank of America, N.A., as agent, and the several lenders and other agents party thereto, consisting of a $500.0 million asset-based revolving credit facility (the “Amended and Restated ABL Facility”), subject to a borrowing base comprised of a percentage of eligible accounts receivable of Summit Holdings and its subsidiaries that guarantee the Amended and Restated ABL Facility (collectively, the “Amended and Restated ABL Facility Subsidiary Guarantors”) and a percentage of eligible above-ground fixed assets including eligible compression units, processing plants, compression stations and related equipment of Summit Holdings and the Amended and Restated ABL Facility Subsidiary Guarantors.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Summit Holdings amended and restated its existing ABL Facility pursuant to that certain Amended and Restated Loan and Security Agreement (the “New ABL Agreement”), dated as of July 26, 2024.</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Amended and Restated ABL Facility will mature on the earliest of (a) July 26, 2029, (b) July 31, 2029 if either (i) the outstanding amount of the 2029 Notes (or any refinancing debt permitted under the Amended and Restated ABL Facility in respect thereof that has a final maturity date, scheduled amortization or any other scheduled repayment, mandatory prepayment, mandatory redemption or sinking fund obligation prior to the date that is 91 days after the Amended and Restated ABL Termination Date (as defined below) (provided, that the terms of such permitted refinancing debt may (x) require the payment of interest from time to time and (y) include customary mandatory redemptions, prepayments or offers to purchase with proceeds of asset sales or upon the occurrence of a change of control)) on such date equals or exceeds $50.0 million or (ii) the outstanding amount of such debt described in clause (i) above on such date is less than $50.0 million and Liquidity (as defined in the New ABL Agreement) at any time on or after such date is less than the sum of (A) such outstanding amount and (B) the greater of (x) 10% of the aggregate Commitments (as defined in the New ABL Agreement) then in effect and (y) $50.0 million (and, for the avoidance of doubt, once the Amended and Restated ABL Termination Date occurs it may not be unwound as a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222885"/>
                <wp:effectExtent l="0" t="0" r="0" b="0"/>
                <wp:wrapNone/>
                <wp:docPr id="26" name="Frame2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120" w:after="283"/>
        <w:jc w:val="left"/>
        <w:rPr/>
      </w:pPr>
      <w:hyperlink w:anchor="i69ee8b4d644242bf8ed471293c41640a_7">
        <w:r>
          <w:rPr>
            <w:rStyle w:val="InternetLink"/>
            <w:rFonts w:ascii="Times New Roman;sans-serif" w:hAnsi="Times New Roman;sans-serif"/>
            <w:b w:val="false"/>
            <w:color w:val="000080"/>
            <w:sz w:val="20"/>
            <w:u w:val="single"/>
          </w:rPr>
          <w:t xml:space="preserve">Table </w:t>
        </w:r>
      </w:hyperlink>
      <w:hyperlink w:anchor="i69ee8b4d644242bf8ed471293c41640a_7">
        <w:r>
          <w:rPr>
            <w:rStyle w:val="InternetLink"/>
            <w:rFonts w:ascii="Times New Roman;sans-serif" w:hAnsi="Times New Roman;sans-serif"/>
            <w:b w:val="false"/>
            <w:color w:val="000080"/>
            <w:sz w:val="20"/>
            <w:u w:val="single"/>
          </w:rPr>
          <w:t>of</w:t>
        </w:r>
      </w:hyperlink>
      <w:hyperlink w:anchor="i69ee8b4d644242bf8ed471293c41640a_7">
        <w:r>
          <w:rPr>
            <w:rStyle w:val="InternetLink"/>
            <w:rFonts w:ascii="Times New Roman;sans-serif" w:hAnsi="Times New Roman;sans-serif"/>
            <w:b w:val="false"/>
            <w:color w:val="000080"/>
            <w:sz w:val="20"/>
            <w:u w:val="single"/>
          </w:rPr>
          <w:t xml:space="preserve">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result of Liquidity increasing on a subsequent date), and (c) any date on which the aggregate Commitments terminate thereunder (such date, the “Amended and Restated ABL Termination Date”).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under the Amended and Restated ABL Facility will bear interest, at the election of Summit Holdings, at a SOFR-based rate or a base rate, in each case, plus an applicable borrowing margin based on our Total Net Leverage Ratio (as defined in the New ABL Agreement consistent with the ABL Facility). The applicable margin for base rate loans will vary from 1.50% to 2.25% and the applicable margin for SOFR-based loans will vary from 2.50% to 3.25%, in each case, depending on our Total Net Leverage Ratio.</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Amended and Restated ABL Facility (together with certain Secured Bank Product Obligations (as defined in the New ABL Agreement)) will be jointly and severally guaranteed, on a senior first-priority secured basis (subject to permitted liens), by the Partnership, Summit Holdings and each of the Amended and Restated ABL Facility Subsidiary Guarantors.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Amended and Restated ABL Facility restricts, among other things, Summit Holdings’ and its Restricted Subsidiaries’ (as defined in the New ABL Agreement) ability and the ability of certain of their subsidiaries to: (i) incur additional debt or issue preferred stock; (ii) make distributions or repurchase equity; (iii) make payments on or redeem junior lien, unsecured or subordinated indebtedness; (iv) create liens or other encumbrances; (v) make investments, loans or other guarantees; (vi) engage in transactions with affiliates; and (viii) make acquisitions or merge or consolidate with another entity. These covenants are subject both to a number of important exceptions and qualifications.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Amended and Restated ABL Facility requires that Summit Holdings not permit (i) the First Lien Net Leverage Ratio (as defined in the New ABL Agreement) as of the last day of any fiscal quarter to be greater than 2.50:1.00, or (ii) the Interest Coverage Ratio (as defined in the New ABL Agreement) as of the last day of any fiscal quarter to be less than 2.00:1.00.</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Amended and Restated ABL Facility contains certain events of default customary for instruments of this type. In the case of an event of default arising from certain events of bankruptcy, insolvency or reorganization with respect to Summit Holdings, all outstanding Obligations (as defined in the New ABL Agreement) will become due and payable immediately without further action or notice and all commitments under the Amended and Restated ABL Facility will terminate.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New ABL Agreement, the Obligations (as defined in the New ABL Agreement) are (or, subject to post-closing periods for certain types of collateral, will be) generally secured by a first priority lien on and security interest in (subject to permitted liens), subject to certain exclusions and limitations set forth in the New ABL Agreement, (i) substantially all of the personal property of Summit Holdings and the Amended and Restated ABL Facility Subsidiary Guarantors, (ii) all equity interests in Summit Holdings and certain other entities, all debt securities and certain rights related to the foregoing, in each case, owned by the Partnership, (iii) Closing Date Gathering Station Real Property and Closing Date Pipeline Systems Real Property (each, as defined in the New ABL Agreement) and certain other material real property interests (including improvements thereon) of Summit Holdings and the Amended and Restated ABL Facility Subsidiary Guarantors as provided in the New ABL Agreement and (iv) all proceeds of the foregoing collateral.</w:t>
      </w:r>
    </w:p>
    <w:p>
      <w:pPr>
        <w:pStyle w:val="TextBody"/>
        <w:bidi w:val="0"/>
        <w:spacing w:lineRule="auto" w:line="288" w:before="120" w:after="283"/>
        <w:jc w:val="left"/>
        <w:rPr/>
      </w:pPr>
      <w:r>
        <w:rPr>
          <w:rFonts w:ascii="Times New Roman;sans-serif" w:hAnsi="Times New Roman;sans-serif"/>
          <w:b/>
          <w:color w:val="000000"/>
          <w:sz w:val="20"/>
        </w:rPr>
        <w:t>Intercreditor Agreement.</w:t>
      </w:r>
      <w:r>
        <w:rPr>
          <w:color w:val="000000"/>
        </w:rPr>
        <w:t xml:space="preserve"> </w:t>
      </w:r>
      <w:r>
        <w:rPr>
          <w:rFonts w:ascii="Times New Roman;sans-serif" w:hAnsi="Times New Roman;sans-serif"/>
          <w:b w:val="false"/>
          <w:color w:val="000000"/>
          <w:sz w:val="20"/>
        </w:rPr>
        <w:t>On November 2, 2021, Summit Holdings and the other guarantors party thereto entered into an Intercreditor Agreement (as amended, restated, supplemented or otherwise modified, the “Intercreditor Agreement”) with Bank of America, N.A., as first lien representative and collateral agent for the initial first lien claimholders, and Regions Bank, as initial second lien representative for the initial second lien claimholders and collateral agent for the initial second lien claimholders, which was reaffirmed by Bank of America, N.A., in connection with its entry into the Amended and Restated ABL Facility, and which Regions Bank joined as an additional second lien representative for the additional second lien claimholders and additional second lien collateral agent for the additional second lien claimholders, in each case, substantially concurrently with the entry into the Amended and Restated ABL Facility. The Intercreditor Agreement establishes (i) a first-priority lien (subject to permitted liens) status for the liens on the collateral securing the ABL Facility (and will apply to the Amended and Restated ABL Facility) and any additional first-lien indebtedness and (ii) a junior priority lien (subject to permitted liens) status for the liens on the collateral securing the 2026 Secured Notes and any additional second-lien indebtedness (including the 2029 Notes).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222885"/>
                <wp:effectExtent l="0" t="0" r="0" b="0"/>
                <wp:wrapNone/>
                <wp:docPr id="27" name="Frame2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120" w:after="283"/>
        <w:jc w:val="left"/>
        <w:rPr/>
      </w:pPr>
      <w:hyperlink w:anchor="i69ee8b4d644242bf8ed471293c41640a_7">
        <w:r>
          <w:rPr>
            <w:rStyle w:val="InternetLink"/>
            <w:rFonts w:ascii="Times New Roman;sans-serif" w:hAnsi="Times New Roman;sans-serif"/>
            <w:b w:val="false"/>
            <w:color w:val="000080"/>
            <w:sz w:val="20"/>
            <w:u w:val="single"/>
          </w:rPr>
          <w:t xml:space="preserve">Table </w:t>
        </w:r>
      </w:hyperlink>
      <w:hyperlink w:anchor="i69ee8b4d644242bf8ed471293c41640a_7">
        <w:r>
          <w:rPr>
            <w:rStyle w:val="InternetLink"/>
            <w:rFonts w:ascii="Times New Roman;sans-serif" w:hAnsi="Times New Roman;sans-serif"/>
            <w:b w:val="false"/>
            <w:color w:val="000080"/>
            <w:sz w:val="20"/>
            <w:u w:val="single"/>
          </w:rPr>
          <w:t>of</w:t>
        </w:r>
      </w:hyperlink>
      <w:hyperlink w:anchor="i69ee8b4d644242bf8ed471293c41640a_7">
        <w:r>
          <w:rPr>
            <w:rStyle w:val="InternetLink"/>
            <w:rFonts w:ascii="Times New Roman;sans-serif" w:hAnsi="Times New Roman;sans-serif"/>
            <w:b w:val="false"/>
            <w:color w:val="000080"/>
            <w:sz w:val="20"/>
            <w:u w:val="single"/>
          </w:rPr>
          <w:t xml:space="preserve"> Contents</w:t>
        </w:r>
      </w:hyperlink>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Item 2. Management’s Discussion and Analysis of Financial Condition and Results of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This Management’s Discussion and Analysis of Financial Condition and Results of Operations (“MD&amp;A”) is intended to inform the reader about matters affecting the financial condition and results of operations of the Partnership and its subsidiaries for the periods since December 31, 2023. As a result, the following discussion should be read in conjunction with the unaudited condensed consolidated financial statements and notes thereto included in this report and the MD&amp;A and the audited consolidated financial statements and related notes that are included in the Partnership’s Annual Report on Form 10-K for the year ended December 31, 2023 (the “2023 Annual Report”). Among other things, those financial statements and the related notes include more detailed information regarding the basis of presentation for the following information. This discussion contains forward-looking statements that constitute our plans, estimates and beliefs. These forward-looking statements involve numerous risks and uncertainties, including, but not limited to, those discussed in Forward-Looking Statements. Actual results may differ materially from those contained in any forward-looking statements.</w:t>
      </w:r>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Overview</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are a value-driven limited partnership focused on developing, owning and operating midstream energy infrastructure assets that are strategically located in unconventional resource basins, primarily shale formations, in the continental United States.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financial results are driven primarily by volume throughput across our gathering systems and by expense management. We generate the majority of our revenues from the gathering, compression, treating and processing services that we provide to our customers. A majority of the volumes that we gather, compress, treat and/or process have a fixed-fee rate structure which enhances the stability of our cash flows by providing a revenue stream that is not subject to direct commodity price risk. We also earn a portion of our revenues from the following activities that directly expose us to fluctuations in commodity prices: (i) the sale of physical natural gas and/or NGLs purchased under percentage-of-proceeds or other processing arrangements with certain of our customers in the Rockies and Piceance segments, (ii) the sale of natural gas we retain from certain Barnett segment customers, (iii) the sale of condensate we retain from our gathering services in the Rockies and Piceance segment and (iv) additional gathering fees that are tied to the performance of certain commodity price indexes which are then added to the fixed gathering rates.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also have indirect exposure to changes in commodity prices such that persistently low commodity prices may cause our customers to delay and/or cancel drilling and/or completion activities or temporarily shut-in production, which would reduce the volumes of natural gas and crude oil (and associated volumes of produced water) that we gather. If certain of our customers cancel or delay drilling and/or completion activities or temporarily shut-in production, the associated MVCs, if any, ensure that we will earn a minimum amount of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222885"/>
                <wp:effectExtent l="0" t="0" r="0" b="0"/>
                <wp:wrapNone/>
                <wp:docPr id="28" name="Frame2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120" w:after="283"/>
        <w:jc w:val="left"/>
        <w:rPr/>
      </w:pPr>
      <w:hyperlink w:anchor="i69ee8b4d644242bf8ed471293c41640a_7">
        <w:r>
          <w:rPr>
            <w:rStyle w:val="InternetLink"/>
            <w:rFonts w:ascii="Times New Roman;sans-serif" w:hAnsi="Times New Roman;sans-serif"/>
            <w:b w:val="false"/>
            <w:color w:val="000080"/>
            <w:sz w:val="20"/>
            <w:u w:val="single"/>
          </w:rPr>
          <w:t xml:space="preserve">Table </w:t>
        </w:r>
      </w:hyperlink>
      <w:hyperlink w:anchor="i69ee8b4d644242bf8ed471293c41640a_7">
        <w:r>
          <w:rPr>
            <w:rStyle w:val="InternetLink"/>
            <w:rFonts w:ascii="Times New Roman;sans-serif" w:hAnsi="Times New Roman;sans-serif"/>
            <w:b w:val="false"/>
            <w:color w:val="000080"/>
            <w:sz w:val="20"/>
            <w:u w:val="single"/>
          </w:rPr>
          <w:t>of</w:t>
        </w:r>
      </w:hyperlink>
      <w:hyperlink w:anchor="i69ee8b4d644242bf8ed471293c41640a_7">
        <w:r>
          <w:rPr>
            <w:rStyle w:val="InternetLink"/>
            <w:rFonts w:ascii="Times New Roman;sans-serif" w:hAnsi="Times New Roman;sans-serif"/>
            <w:b w:val="false"/>
            <w:color w:val="000080"/>
            <w:sz w:val="20"/>
            <w:u w:val="single"/>
          </w:rPr>
          <w:t xml:space="preserve">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certain consolidated and reportable segment financial data. For additional information on our reportable segments, see the "Segment Overview for the Three and Six Months Ended June 30, 2024 and 2023" section included herein.</w:t>
      </w:r>
    </w:p>
    <w:tbl>
      <w:tblPr>
        <w:tblW w:w="10205" w:type="dxa"/>
        <w:jc w:val="left"/>
        <w:tblInd w:w="0" w:type="dxa"/>
        <w:tblLayout w:type="fixed"/>
        <w:tblCellMar>
          <w:top w:w="28" w:type="dxa"/>
          <w:left w:w="28" w:type="dxa"/>
          <w:bottom w:w="28" w:type="dxa"/>
          <w:right w:w="28" w:type="dxa"/>
        </w:tblCellMar>
      </w:tblPr>
      <w:tblGrid>
        <w:gridCol w:w="1747"/>
        <w:gridCol w:w="1480"/>
        <w:gridCol w:w="1484"/>
        <w:gridCol w:w="211"/>
        <w:gridCol w:w="787"/>
        <w:gridCol w:w="109"/>
        <w:gridCol w:w="109"/>
        <w:gridCol w:w="109"/>
        <w:gridCol w:w="109"/>
        <w:gridCol w:w="211"/>
        <w:gridCol w:w="787"/>
        <w:gridCol w:w="109"/>
        <w:gridCol w:w="109"/>
        <w:gridCol w:w="109"/>
        <w:gridCol w:w="109"/>
        <w:gridCol w:w="211"/>
        <w:gridCol w:w="826"/>
        <w:gridCol w:w="109"/>
        <w:gridCol w:w="109"/>
        <w:gridCol w:w="109"/>
        <w:gridCol w:w="109"/>
        <w:gridCol w:w="211"/>
        <w:gridCol w:w="787"/>
        <w:gridCol w:w="155"/>
      </w:tblGrid>
      <w:tr>
        <w:trPr/>
        <w:tc>
          <w:tcPr>
            <w:tcW w:w="1747"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7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4"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7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(27,703)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Reportable segment adjusted EBITDA</w:t>
            </w:r>
            <w:r>
              <w:rPr>
                <w:rFonts w:ascii="Times New Roman;sans-serif" w:hAnsi="Times New Roman;sans-serif"/>
                <w:b/>
                <w:color w:val="000000"/>
                <w:sz w:val="13"/>
              </w:rPr>
              <w:t>(1)</w:t>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Rockies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Permian</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Northeast</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38,055 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Piceance</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28,348 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1"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Barnett</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7"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51,640 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1"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Capital expenditures </w:t>
            </w:r>
            <w:r>
              <w:rPr>
                <w:rFonts w:ascii="Times New Roman;sans-serif" w:hAnsi="Times New Roman;sans-serif"/>
                <w:b w:val="false"/>
                <w:color w:val="000000"/>
                <w:sz w:val="13"/>
              </w:rPr>
              <w:t>(2)</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Summit Utica Sale (excluding Ohio Gathering)</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292,266 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sale of Ohio Gathering</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Mountaineer Transaction</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asset sale</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 in Double E equity method investee</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repayments - ABL Facility</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(37,000)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repayments - Redemption of 2026 Unsecured Notes</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(209,510)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repayments - 2026 Secured Notes (Excess Cash Flow Offer)</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repayments - 2026 Secured Notes (Asset Sale Offer)</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Debt repayments - Permian Transmission Term Loan</w:t>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on ABL Facility</w:t>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11"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53"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w:t>
      </w:r>
    </w:p>
    <w:p>
      <w:pPr>
        <w:pStyle w:val="TextBody"/>
        <w:bidi w:val="0"/>
        <w:spacing w:lineRule="auto" w:line="288" w:before="120" w:after="283"/>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18"/>
        </w:rPr>
        <w:t>Segment adjusted EBITDA is a non-GAAP financial measure. See “Results of Operations” for additional information.</w:t>
      </w:r>
    </w:p>
    <w:p>
      <w:pPr>
        <w:pStyle w:val="TextBody"/>
        <w:bidi w:val="0"/>
        <w:spacing w:lineRule="auto" w:line="288" w:before="120" w:after="283"/>
        <w:ind w:left="0" w:right="0" w:hanging="360"/>
        <w:jc w:val="left"/>
        <w:rPr/>
      </w:pPr>
      <w:r>
        <w:rPr>
          <w:rFonts w:ascii="Times New Roman;sans-serif" w:hAnsi="Times New Roman;sans-serif"/>
          <w:b w:val="false"/>
          <w:color w:val="000000"/>
          <w:sz w:val="13"/>
        </w:rPr>
        <w:t>(2)</w:t>
      </w:r>
      <w:r>
        <w:rPr>
          <w:rFonts w:ascii="Times New Roman;sans-serif" w:hAnsi="Times New Roman;sans-serif"/>
          <w:b w:val="false"/>
          <w:color w:val="000000"/>
          <w:sz w:val="18"/>
        </w:rPr>
        <w:t>See "Liquidity and Capital Resources" herein to the unaudited condensed consolidated financial statements for additional information on capital expenditures.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Trends and Outlook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has been, and we expect our future business to continue to be, affected by the following key trends: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Ongoing impact of political and economic conditions and events in foreign oil and natural gas producing countries on commodity prices, including the continued conflict in the Middle East, current Russia-Ukraine conflict, the international sanctions against Russia and other sustained military campaigns;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Natural gas, NGL and crude oil supply and demand dynamics;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Actions of the OPEC and its allies, including the ability and willingness of the members of OPEC and other exporting nations to agree to and maintain oil price and production controls;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Production from U.S. shale plays;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Capital markets availability and cost of capital;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Inflation and shifts in operating costs.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expectations are based on assumptions made by us and information currently available to us. To the extent our underlying assumptions about, or interpretations of, available information prove to be incorrect, our actual results may vary materially from our expected results. For additional information, see the "Trends and Outlook" section of MD&amp;A included in the 2023 Annual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222885"/>
                <wp:effectExtent l="0" t="0" r="0" b="0"/>
                <wp:wrapNone/>
                <wp:docPr id="29" name="Frame2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120" w:after="283"/>
        <w:jc w:val="left"/>
        <w:rPr/>
      </w:pPr>
      <w:hyperlink w:anchor="i69ee8b4d644242bf8ed471293c41640a_7">
        <w:r>
          <w:rPr>
            <w:rStyle w:val="InternetLink"/>
            <w:rFonts w:ascii="Times New Roman;sans-serif" w:hAnsi="Times New Roman;sans-serif"/>
            <w:b w:val="false"/>
            <w:color w:val="000080"/>
            <w:sz w:val="20"/>
            <w:u w:val="single"/>
          </w:rPr>
          <w:t xml:space="preserve">Table </w:t>
        </w:r>
      </w:hyperlink>
      <w:hyperlink w:anchor="i69ee8b4d644242bf8ed471293c41640a_7">
        <w:r>
          <w:rPr>
            <w:rStyle w:val="InternetLink"/>
            <w:rFonts w:ascii="Times New Roman;sans-serif" w:hAnsi="Times New Roman;sans-serif"/>
            <w:b w:val="false"/>
            <w:color w:val="000080"/>
            <w:sz w:val="20"/>
            <w:u w:val="single"/>
          </w:rPr>
          <w:t>of</w:t>
        </w:r>
      </w:hyperlink>
      <w:hyperlink w:anchor="i69ee8b4d644242bf8ed471293c41640a_7">
        <w:r>
          <w:rPr>
            <w:rStyle w:val="InternetLink"/>
            <w:rFonts w:ascii="Times New Roman;sans-serif" w:hAnsi="Times New Roman;sans-serif"/>
            <w:b w:val="false"/>
            <w:color w:val="000080"/>
            <w:sz w:val="20"/>
            <w:u w:val="single"/>
          </w:rPr>
          <w:t xml:space="preserve"> Contents</w:t>
        </w:r>
      </w:hyperlink>
    </w:p>
    <w:p>
      <w:pPr>
        <w:pStyle w:val="TextBody"/>
        <w:bidi w:val="0"/>
        <w:spacing w:lineRule="auto" w:line="288" w:before="120" w:after="283"/>
        <w:jc w:val="left"/>
        <w:rPr/>
      </w:pPr>
      <w:r>
        <w:rPr>
          <w:rFonts w:ascii="Times New Roman;sans-serif" w:hAnsi="Times New Roman;sans-serif"/>
          <w:b/>
          <w:i/>
          <w:color w:val="000000"/>
          <w:sz w:val="20"/>
        </w:rPr>
        <w:t>Mountaineer Transaction.</w:t>
      </w:r>
      <w:r>
        <w:rPr>
          <w:color w:val="000000"/>
        </w:rPr>
        <w:t xml:space="preserve"> </w:t>
      </w:r>
      <w:r>
        <w:rPr>
          <w:rFonts w:ascii="Times New Roman;sans-serif" w:hAnsi="Times New Roman;sans-serif"/>
          <w:b w:val="false"/>
          <w:color w:val="000000"/>
          <w:sz w:val="20"/>
        </w:rPr>
        <w:t>On May 1, 2024, we completed the Mountaineer Transaction for a cash sale price of $70.0 million, subject to customary post-closing adjustments. Mountaineer Midstream was the owner of midstream assets located in the Marcellus Shale. Prior to closing the Mountaineer Transaction, we sold related compression assets located in the Marcellus Shale to a compression service provider for approximately $5 million in April 2024.</w:t>
      </w:r>
    </w:p>
    <w:p>
      <w:pPr>
        <w:pStyle w:val="TextBody"/>
        <w:bidi w:val="0"/>
        <w:spacing w:lineRule="auto" w:line="288" w:before="120" w:after="283"/>
        <w:jc w:val="left"/>
        <w:rPr/>
      </w:pPr>
      <w:r>
        <w:rPr>
          <w:rFonts w:ascii="Times New Roman;sans-serif" w:hAnsi="Times New Roman;sans-serif"/>
          <w:b/>
          <w:i/>
          <w:color w:val="000000"/>
          <w:sz w:val="20"/>
        </w:rPr>
        <w:t xml:space="preserve">Summit Utica Sale. </w:t>
      </w:r>
      <w:r>
        <w:rPr>
          <w:rFonts w:ascii="Times New Roman;sans-serif" w:hAnsi="Times New Roman;sans-serif"/>
          <w:b w:val="false"/>
          <w:color w:val="000000"/>
          <w:sz w:val="20"/>
        </w:rPr>
        <w:t>As previously announced on March 22, 2024, we completed the Utica Sale for a cash sale price of $625.0 million, subject to customary post-closing adjustments. Summit Utica was the owner of (i) approximately 36% of the issued and outstanding equity interests in OGC, (ii) approximately 38% of the issued and outstanding equity interests in OCC, together with OGC, Ohio Gathering and (iii) midstream assets located in the Utica Shale. Ohio Gathering was the owner of a natural gas gathering system and condensate stabilization facility located in Belmont and Monroe counties in the Utica Shale in southeastern Ohio.</w:t>
      </w:r>
    </w:p>
    <w:p>
      <w:pPr>
        <w:pStyle w:val="TextBody"/>
        <w:bidi w:val="0"/>
        <w:spacing w:lineRule="auto" w:line="288" w:before="120" w:after="283"/>
        <w:jc w:val="left"/>
        <w:rPr/>
      </w:pPr>
      <w:r>
        <w:rPr>
          <w:rFonts w:ascii="Times New Roman;sans-serif" w:hAnsi="Times New Roman;sans-serif"/>
          <w:b/>
          <w:i/>
          <w:color w:val="000000"/>
          <w:sz w:val="20"/>
        </w:rPr>
        <w:t xml:space="preserve">Refinancing Transactions. </w:t>
      </w:r>
      <w:r>
        <w:rPr>
          <w:rFonts w:ascii="Times New Roman;sans-serif" w:hAnsi="Times New Roman;sans-serif"/>
          <w:b w:val="false"/>
          <w:color w:val="000000"/>
          <w:sz w:val="20"/>
        </w:rPr>
        <w:t xml:space="preserve">Subsequent to June 30, 2024, and as described below, the Partnership issued the 2029 Notes and completed the 2026 Secured Notes Tender Offer and subsequent redemption, and the redemption of the 2025 Senior Notes. </w:t>
      </w:r>
      <w:r>
        <w:rPr>
          <w:rFonts w:ascii="Times New Roman;sans-serif" w:hAnsi="Times New Roman;sans-serif"/>
          <w:b w:val="false"/>
          <w:i/>
          <w:color w:val="000000"/>
          <w:sz w:val="20"/>
        </w:rPr>
        <w:t>2029 Notes.</w:t>
      </w:r>
      <w:r>
        <w:rPr>
          <w:color w:val="000000"/>
        </w:rPr>
        <w:t xml:space="preserve"> </w:t>
      </w:r>
      <w:r>
        <w:rPr>
          <w:rFonts w:ascii="Times New Roman;sans-serif" w:hAnsi="Times New Roman;sans-serif"/>
          <w:b w:val="false"/>
          <w:color w:val="000000"/>
          <w:sz w:val="20"/>
        </w:rPr>
        <w:t xml:space="preserve">On July 26, 2024, Summit Holdings issued $575.0 million aggregate principal amount of 8.625% Senior Secured Second Lien Notes due 2029 (the “2029 Notes”). The 2029 Notes mature on October 31, 2029 and have interest payable semi-annually in arrears on each February 15 and August 15, commencing on February 15, 2025. </w:t>
      </w:r>
    </w:p>
    <w:p>
      <w:pPr>
        <w:pStyle w:val="TextBody"/>
        <w:bidi w:val="0"/>
        <w:spacing w:lineRule="auto" w:line="288" w:before="120" w:after="283"/>
        <w:jc w:val="left"/>
        <w:rPr/>
      </w:pPr>
      <w:r>
        <w:rPr>
          <w:rFonts w:ascii="Times New Roman;sans-serif" w:hAnsi="Times New Roman;sans-serif"/>
          <w:b w:val="false"/>
          <w:i/>
          <w:color w:val="000000"/>
          <w:sz w:val="20"/>
        </w:rPr>
        <w:t>2026 Secured Notes Tender Offer and Redemption.</w:t>
      </w:r>
      <w:r>
        <w:rPr>
          <w:color w:val="000000"/>
        </w:rPr>
        <w:t xml:space="preserve"> </w:t>
      </w:r>
      <w:r>
        <w:rPr>
          <w:rFonts w:ascii="Times New Roman;sans-serif" w:hAnsi="Times New Roman;sans-serif"/>
          <w:b w:val="false"/>
          <w:color w:val="000000"/>
          <w:sz w:val="20"/>
        </w:rPr>
        <w:t>Concurrently with closing the offering of 2029 Notes, Summit Holdings and Finance Corp. consummated a cash tender offer to purchase any and all of the outstanding 2026 Secured Notes (the “2026 Secured Notes Tender Offer”). Summit Holdings and Finance Corp. accepted for payment and made payment for $649.8 million aggregate principal amount of the 2026 Secured Notes validly tendered in the 2026 Notes Tender Offer. On July 26, 2024, concurrently with consummation of the 2026 Secured Notes Tender Offer, Summit Holdings and Finance Corp. delivered notice of redemption to holders of 2026 Secured Notes for the redemption of all $114.7 million aggregate principal amount of 2026 Secured Notes not purchased in the 2026 Secured Notes Tender Offer, at a price equal to 102.125% of the principal amount thereof, plus accrued and unpaid interest to the redemption date (which is expected to be October 15, 2024). On July 26, 2024, concurrently with delivery of notice of redemption, Summit Holdings and Finance Corp. irrevocably deposited $121.2 million in aggregate principal amount of non-callable United States Treasury securities, which includes amounts for principal, interest, and premium with the trustee to satisfy and discharge the 2026 Secured Notes until redeemed on October 15, 2024 with the funds deposited with the trustee.</w:t>
      </w:r>
    </w:p>
    <w:p>
      <w:pPr>
        <w:pStyle w:val="TextBody"/>
        <w:bidi w:val="0"/>
        <w:spacing w:lineRule="auto" w:line="288" w:before="120" w:after="283"/>
        <w:jc w:val="left"/>
        <w:rPr/>
      </w:pPr>
      <w:r>
        <w:rPr>
          <w:rFonts w:ascii="Times New Roman;sans-serif" w:hAnsi="Times New Roman;sans-serif"/>
          <w:b w:val="false"/>
          <w:i/>
          <w:color w:val="000000"/>
          <w:sz w:val="20"/>
        </w:rPr>
        <w:t>2025 Senior Notes Redemption.</w:t>
      </w:r>
      <w:r>
        <w:rPr>
          <w:color w:val="000000"/>
        </w:rPr>
        <w:t xml:space="preserve"> </w:t>
      </w:r>
      <w:r>
        <w:rPr>
          <w:rFonts w:ascii="Times New Roman;sans-serif" w:hAnsi="Times New Roman;sans-serif"/>
          <w:b w:val="false"/>
          <w:color w:val="000000"/>
          <w:sz w:val="20"/>
        </w:rPr>
        <w:t>On July 17, 2024, Summit Holdings and Finance Corp. delivered conditional notice of redemption to holders of 2025 Senior Notes for the redemption of all $49.8 million aggregate principal amount of outstanding 2025 Senior Notes, at a price equal to 100.000% of the principal amount thereof, plus accrued and unpaid interest to the redemption date, conditioned on closing of the offering of 2029 Notes. On July 26, 2024, concurrently with closing of the offering of 2029 Notes, Summit Holdings and Finance Corp. irrevocably deposited $50.6 million in aggregate principal amount of non-callable United States Treasury securities, which includes amounts for principal and interest with the trustee to satisfy and discharge the 2025 Senior Notes until redeemed with the funds deposited with the trustee.</w:t>
      </w:r>
    </w:p>
    <w:p>
      <w:pPr>
        <w:pStyle w:val="TextBody"/>
        <w:bidi w:val="0"/>
        <w:spacing w:lineRule="auto" w:line="288" w:before="120" w:after="283"/>
        <w:jc w:val="left"/>
        <w:rPr/>
      </w:pPr>
      <w:r>
        <w:rPr>
          <w:rFonts w:ascii="Times New Roman;sans-serif" w:hAnsi="Times New Roman;sans-serif"/>
          <w:b/>
          <w:i/>
          <w:color w:val="000000"/>
          <w:sz w:val="20"/>
        </w:rPr>
        <w:t xml:space="preserve">C-corporation conversion. </w:t>
      </w:r>
      <w:r>
        <w:rPr>
          <w:rFonts w:ascii="Times New Roman;sans-serif" w:hAnsi="Times New Roman;sans-serif"/>
          <w:b w:val="false"/>
          <w:color w:val="000000"/>
          <w:sz w:val="20"/>
        </w:rPr>
        <w:t>In connection with the recently concluded strategic alternatives review, we evaluated various corporate structures to determine how to drive the greatest long-term value for unitholders. We believe converting to a C-corporation positions us to maximize value by reducing unitholders’ tax burdens moving forward, enhancing trading liquidity, and expanding the universe of potential investors. On August 1, 2024, the Partnership consummated the Corporate Reorganization, becoming a wholly owned subsidiary of a newly formed Delaware corporation, Summit Midstream Corporation. For additional information, see Note 16 –Subsequent Events.</w:t>
      </w:r>
    </w:p>
    <w:p>
      <w:pPr>
        <w:pStyle w:val="TextBody"/>
        <w:bidi w:val="0"/>
        <w:spacing w:lineRule="auto" w:line="288" w:before="120" w:after="283"/>
        <w:jc w:val="left"/>
        <w:rPr/>
      </w:pPr>
      <w:r>
        <w:rPr>
          <w:rFonts w:ascii="Times New Roman;sans-serif" w:hAnsi="Times New Roman;sans-serif"/>
          <w:b/>
          <w:i/>
          <w:color w:val="000000"/>
          <w:sz w:val="20"/>
        </w:rPr>
        <w:t>Conclusion of Strategic Alternatives Review</w:t>
      </w:r>
      <w:r>
        <w:rPr>
          <w:rFonts w:ascii="Times New Roman;sans-serif" w:hAnsi="Times New Roman;sans-serif"/>
          <w:b w:val="false"/>
          <w:color w:val="000000"/>
          <w:sz w:val="20"/>
        </w:rPr>
        <w:t>. In connection with the announcement of the Utica Sale, we also announced the conclusion of the strategic alternative review process undertaken by our Board of Directors that was previously announced on October 3, 2023. While we have concluded our active process, we remain open to all potential value-enhancing transactions.</w:t>
      </w:r>
    </w:p>
    <w:p>
      <w:pPr>
        <w:pStyle w:val="TextBody"/>
        <w:bidi w:val="0"/>
        <w:spacing w:lineRule="auto" w:line="288" w:before="120" w:after="283"/>
        <w:jc w:val="left"/>
        <w:rPr/>
      </w:pPr>
      <w:r>
        <w:rPr>
          <w:rFonts w:ascii="Times New Roman;sans-serif" w:hAnsi="Times New Roman;sans-serif"/>
          <w:b/>
          <w:i/>
          <w:color w:val="000000"/>
          <w:sz w:val="20"/>
        </w:rPr>
        <w:t>Capital structure optimization and portfolio management</w:t>
      </w:r>
      <w:r>
        <w:rPr>
          <w:rFonts w:ascii="Times New Roman;sans-serif" w:hAnsi="Times New Roman;sans-serif"/>
          <w:b w:val="false"/>
          <w:color w:val="000000"/>
          <w:sz w:val="20"/>
        </w:rPr>
        <w:t>. We intend to continue to improve our capital structure in the future by reducing our indebtedness with free cash flow, and when appropriate, we may pursue opportunistic transactions with the objective of increasing long term unitholder value. This may include opportunistic acquisitions, divestitures (such as the Utica Sale in 2024), re-allocation of capital to new or existing areas, and development of joint ventures involving our existing midstream assets or new investment opportunities. We believe that our current cash balance, internally generated cash flow, our ABL Facility, the Permian Credit Facility, and access to debt or equity will be adequate to finance our strategic initiatives. To attain our overall corporate strategic objectives, we may conduct an asset divestiture, or divestitures, at a transaction valuation that is less than the net book value of the divested asset. For additional information, see Note 16 – Subsequent Events.</w:t>
      </w:r>
    </w:p>
    <w:p>
      <w:pPr>
        <w:pStyle w:val="TextBody"/>
        <w:bidi w:val="0"/>
        <w:spacing w:lineRule="auto" w:line="288" w:before="120" w:after="283"/>
        <w:jc w:val="left"/>
        <w:rPr/>
      </w:pPr>
      <w:r>
        <w:rPr>
          <w:rFonts w:ascii="Times New Roman;sans-serif" w:hAnsi="Times New Roman;sans-serif"/>
          <w:b/>
          <w:i/>
          <w:color w:val="000000"/>
          <w:sz w:val="20"/>
        </w:rPr>
        <w:t xml:space="preserve">Ongoing impact of political and economic conditions and events in foreign oil and natural gas producing countries on commodity prices. </w:t>
      </w:r>
      <w:r>
        <w:rPr>
          <w:rFonts w:ascii="Times New Roman;sans-serif" w:hAnsi="Times New Roman;sans-serif"/>
          <w:b w:val="false"/>
          <w:color w:val="000000"/>
          <w:sz w:val="20"/>
        </w:rPr>
        <w:t xml:space="preserve">Although we operate solely in the United States, certain events and conditions in foreign oil and natural gas producing countries, such as the continued conflict in the Middle East, including the Hamas-Israel war and Russia’s invasion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222885"/>
                <wp:effectExtent l="0" t="0" r="0" b="0"/>
                <wp:wrapNone/>
                <wp:docPr id="30" name="Frame3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120" w:after="283"/>
        <w:jc w:val="left"/>
        <w:rPr/>
      </w:pPr>
      <w:hyperlink w:anchor="i69ee8b4d644242bf8ed471293c41640a_7">
        <w:r>
          <w:rPr>
            <w:rStyle w:val="InternetLink"/>
            <w:rFonts w:ascii="Times New Roman;sans-serif" w:hAnsi="Times New Roman;sans-serif"/>
            <w:b w:val="false"/>
            <w:color w:val="000080"/>
            <w:sz w:val="20"/>
            <w:u w:val="single"/>
          </w:rPr>
          <w:t xml:space="preserve">Table </w:t>
        </w:r>
      </w:hyperlink>
      <w:hyperlink w:anchor="i69ee8b4d644242bf8ed471293c41640a_7">
        <w:r>
          <w:rPr>
            <w:rStyle w:val="InternetLink"/>
            <w:rFonts w:ascii="Times New Roman;sans-serif" w:hAnsi="Times New Roman;sans-serif"/>
            <w:b w:val="false"/>
            <w:color w:val="000080"/>
            <w:sz w:val="20"/>
            <w:u w:val="single"/>
          </w:rPr>
          <w:t>of</w:t>
        </w:r>
      </w:hyperlink>
      <w:hyperlink w:anchor="i69ee8b4d644242bf8ed471293c41640a_7">
        <w:r>
          <w:rPr>
            <w:rStyle w:val="InternetLink"/>
            <w:rFonts w:ascii="Times New Roman;sans-serif" w:hAnsi="Times New Roman;sans-serif"/>
            <w:b w:val="false"/>
            <w:color w:val="000080"/>
            <w:sz w:val="20"/>
            <w:u w:val="single"/>
          </w:rPr>
          <w:t xml:space="preserve">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Ukraine, could have potential effects on us, including, but not limited to, volatility in currencies and commodity prices, higher inflation, cost and supply chain pressures and availability and disruptions in banking systems and capital markets. As of the date of filing, there have been no material impacts to us.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Based on recently updated production forecasts and 2024 development plans from our customers, we currently expect that 2024 activity will be higher than 2023 and be at an activity level near our historical periods prior to COVID-19.</w:t>
      </w:r>
    </w:p>
    <w:p>
      <w:pPr>
        <w:pStyle w:val="TextBody"/>
        <w:bidi w:val="0"/>
        <w:spacing w:lineRule="auto" w:line="288" w:before="120" w:after="283"/>
        <w:jc w:val="left"/>
        <w:rPr/>
      </w:pPr>
      <w:r>
        <w:rPr>
          <w:rFonts w:ascii="Times New Roman;sans-serif" w:hAnsi="Times New Roman;sans-serif"/>
          <w:b/>
          <w:i/>
          <w:color w:val="000000"/>
          <w:sz w:val="20"/>
        </w:rPr>
        <w:t xml:space="preserve">Impact of increases in interest rates. </w:t>
      </w:r>
      <w:r>
        <w:rPr>
          <w:rFonts w:ascii="Times New Roman;sans-serif" w:hAnsi="Times New Roman;sans-serif"/>
          <w:b w:val="false"/>
          <w:color w:val="000000"/>
          <w:sz w:val="20"/>
        </w:rPr>
        <w:t xml:space="preserve">Increases in interest rates could adversely affect our future ability to obtain financing or materially increase the cost of existing and any additional financing. Since March 2022, the Federal Reserve has raised its target range for the federal funds rate multiple times to a current target range of 5.25% to 5.50%, and the timing of any potential further increases or decreases remains uncertain. As of June 30, 2024, we had approximately $814.2 million principal of fixed-rate debt, nil outstanding under our variable rate ABL Facility and $137.2 million outstanding under the variable rate Permian Transmission Term Loan (see Note 8 - Debt). As of June 30, 2024, we had $123.5 million of interest rate exposure hedged to offset the impact of changes in interest rates on our Permian Transmission Term Loan.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How We Evaluate Our Operations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to the Utica Sale and Mountaineer Transaction, we conducted and reported our operations in the midstream energy industry through five reportable segments: Northeast, Rockies, Permian, Piceance and Barnett. Each of our reportable segments provides midstream services in a specific geographic area and our reportable segments reflect the way in which we internally report the financial information used to make decisions and allocate resources in connection with our operations. For additional information see Note 15 - Segment Information.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management uses a variety of financial and operational metrics to analyze our consolidated and segment performance. We view these metrics as important factors in evaluating our profitability. These metrics include: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throughput volume;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revenues;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operation and maintenance expenses;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capital expenditures;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segment adjusted EBITDA.</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review these metrics on a regular basis for consistency and trend analysis. There have been no changes in the composition or characteristics of these metrics during the three and six months ended June 30, 2024.</w:t>
      </w:r>
    </w:p>
    <w:p>
      <w:pPr>
        <w:pStyle w:val="TextBody"/>
        <w:bidi w:val="0"/>
        <w:spacing w:lineRule="auto" w:line="288" w:before="120" w:after="283"/>
        <w:jc w:val="left"/>
        <w:rPr/>
      </w:pPr>
      <w:r>
        <w:rPr>
          <w:rFonts w:ascii="Times New Roman;sans-serif" w:hAnsi="Times New Roman;sans-serif"/>
          <w:b/>
          <w:i/>
          <w:color w:val="000000"/>
          <w:sz w:val="20"/>
        </w:rPr>
        <w:t>Additional Information.</w:t>
      </w:r>
      <w:r>
        <w:rPr>
          <w:color w:val="000000"/>
        </w:rPr>
        <w:t> </w:t>
      </w:r>
      <w:r>
        <w:rPr>
          <w:rFonts w:ascii="Times New Roman;sans-serif" w:hAnsi="Times New Roman;sans-serif"/>
          <w:b w:val="false"/>
          <w:color w:val="000000"/>
          <w:sz w:val="20"/>
        </w:rPr>
        <w:t>For additional information, see the "Results of Operations" section herein and the notes to the unaudited condensed consolidated financial statements. For additional information on how these metrics help us manage our business, see the "How We Evaluate Our Operations" section of MD&amp;A included in the 2023 Annual Report. For information on impending accounting changes that are expected to materially impact our financial results reported in future periods, see Note 2 – Summary of Significant Accounting Policies and Recently Issued Accounting Standards Applicable to the Partnership.</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222885"/>
                <wp:effectExtent l="0" t="0" r="0" b="0"/>
                <wp:wrapNone/>
                <wp:docPr id="31" name="Frame3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120" w:after="283"/>
        <w:jc w:val="left"/>
        <w:rPr/>
      </w:pPr>
      <w:hyperlink w:anchor="i69ee8b4d644242bf8ed471293c41640a_7">
        <w:r>
          <w:rPr>
            <w:rStyle w:val="InternetLink"/>
            <w:rFonts w:ascii="Times New Roman;sans-serif" w:hAnsi="Times New Roman;sans-serif"/>
            <w:b w:val="false"/>
            <w:color w:val="000080"/>
            <w:sz w:val="20"/>
            <w:u w:val="single"/>
          </w:rPr>
          <w:t xml:space="preserve">Table </w:t>
        </w:r>
      </w:hyperlink>
      <w:hyperlink w:anchor="i69ee8b4d644242bf8ed471293c41640a_7">
        <w:r>
          <w:rPr>
            <w:rStyle w:val="InternetLink"/>
            <w:rFonts w:ascii="Times New Roman;sans-serif" w:hAnsi="Times New Roman;sans-serif"/>
            <w:b w:val="false"/>
            <w:color w:val="000080"/>
            <w:sz w:val="20"/>
            <w:u w:val="single"/>
          </w:rPr>
          <w:t>of</w:t>
        </w:r>
      </w:hyperlink>
      <w:hyperlink w:anchor="i69ee8b4d644242bf8ed471293c41640a_7">
        <w:r>
          <w:rPr>
            <w:rStyle w:val="InternetLink"/>
            <w:rFonts w:ascii="Times New Roman;sans-serif" w:hAnsi="Times New Roman;sans-serif"/>
            <w:b w:val="false"/>
            <w:color w:val="000080"/>
            <w:sz w:val="20"/>
            <w:u w:val="single"/>
          </w:rPr>
          <w:t xml:space="preserve"> Contents</w:t>
        </w:r>
      </w:hyperlink>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2"/>
        </w:rPr>
      </w:pPr>
      <w:r>
        <w:rPr>
          <w:rFonts w:ascii="Times New Roman;sans-serif" w:hAnsi="Times New Roman;sans-serif"/>
          <w:b/>
          <w:color w:val="000000"/>
          <w:sz w:val="22"/>
        </w:rPr>
        <w:t>Consolidated Overview for the Three and Six Months Ended June 30, 2024 and 2023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certain consolidated financial and operating data.</w:t>
      </w:r>
    </w:p>
    <w:tbl>
      <w:tblPr>
        <w:tblW w:w="10205" w:type="dxa"/>
        <w:jc w:val="left"/>
        <w:tblInd w:w="0" w:type="dxa"/>
        <w:tblLayout w:type="fixed"/>
        <w:tblCellMar>
          <w:top w:w="28" w:type="dxa"/>
          <w:left w:w="28" w:type="dxa"/>
          <w:bottom w:w="28" w:type="dxa"/>
          <w:right w:w="28" w:type="dxa"/>
        </w:tblCellMar>
      </w:tblPr>
      <w:tblGrid>
        <w:gridCol w:w="1786"/>
        <w:gridCol w:w="1447"/>
        <w:gridCol w:w="1455"/>
        <w:gridCol w:w="211"/>
        <w:gridCol w:w="778"/>
        <w:gridCol w:w="109"/>
        <w:gridCol w:w="109"/>
        <w:gridCol w:w="109"/>
        <w:gridCol w:w="109"/>
        <w:gridCol w:w="211"/>
        <w:gridCol w:w="778"/>
        <w:gridCol w:w="109"/>
        <w:gridCol w:w="109"/>
        <w:gridCol w:w="109"/>
        <w:gridCol w:w="109"/>
        <w:gridCol w:w="211"/>
        <w:gridCol w:w="826"/>
        <w:gridCol w:w="109"/>
        <w:gridCol w:w="109"/>
        <w:gridCol w:w="109"/>
        <w:gridCol w:w="109"/>
        <w:gridCol w:w="211"/>
        <w:gridCol w:w="826"/>
        <w:gridCol w:w="157"/>
      </w:tblGrid>
      <w:tr>
        <w:trPr/>
        <w:tc>
          <w:tcPr>
            <w:tcW w:w="1786" w:type="dxa"/>
            <w:tcBorders/>
            <w:vAlign w:val="center"/>
          </w:tcPr>
          <w:p>
            <w:pPr>
              <w:pStyle w:val="TableContents"/>
              <w:bidi w:val="0"/>
              <w:spacing w:before="0" w:after="283"/>
              <w:jc w:val="left"/>
              <w:rPr>
                <w:sz w:val="4"/>
                <w:szCs w:val="4"/>
              </w:rPr>
            </w:pPr>
            <w:r>
              <w:rPr>
                <w:sz w:val="4"/>
                <w:szCs w:val="4"/>
              </w:rPr>
            </w:r>
          </w:p>
        </w:tc>
        <w:tc>
          <w:tcPr>
            <w:tcW w:w="1447" w:type="dxa"/>
            <w:tcBorders/>
            <w:vAlign w:val="center"/>
          </w:tcPr>
          <w:p>
            <w:pPr>
              <w:pStyle w:val="TableContents"/>
              <w:bidi w:val="0"/>
              <w:spacing w:before="0" w:after="283"/>
              <w:jc w:val="left"/>
              <w:rPr>
                <w:sz w:val="4"/>
                <w:szCs w:val="4"/>
              </w:rPr>
            </w:pPr>
            <w:r>
              <w:rPr>
                <w:sz w:val="4"/>
                <w:szCs w:val="4"/>
              </w:rPr>
            </w:r>
          </w:p>
        </w:tc>
        <w:tc>
          <w:tcPr>
            <w:tcW w:w="14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6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17"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6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services and related fees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114,457 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NGLs and condensate sales</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85,245 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101,315 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97,893 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220,186 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210,392 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natural gas and NGLs</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50,857 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and maintenance</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48,452 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49,130 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 and administrative </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59,956 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Acquisition integration costs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2,225 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asset sales, net</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 impairment</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87,660 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268,031 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184,061 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interest rate swaps</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sale of business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sale of Ohio Gathering</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126,261 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(69,398)</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early extinguishment of debt</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 and equity method investment income</w:t>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93,787 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(40,046)</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tax benefit</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equity method investees</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12,091 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(23,778)</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(27,703)</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color w:val="000000"/>
                <w:sz w:val="20"/>
              </w:rPr>
              <w:t xml:space="preserve">Volume throughput </w:t>
            </w:r>
            <w:r>
              <w:rPr>
                <w:rFonts w:ascii="Times New Roman;sans-serif" w:hAnsi="Times New Roman;sans-serif"/>
                <w:b/>
                <w:color w:val="000000"/>
                <w:sz w:val="13"/>
              </w:rPr>
              <w:t>(1)</w:t>
            </w:r>
            <w:r>
              <w:rPr>
                <w:rFonts w:ascii="Times New Roman;sans-serif" w:hAnsi="Times New Roman;sans-serif"/>
                <w:b/>
                <w:color w:val="000000"/>
                <w:sz w:val="20"/>
              </w:rPr>
              <w:t>:</w:t>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Aggregate average daily throughput - natural gas (MMcf/d)</w:t>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1,197 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88"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Aggregate average daily throughput - liquids (Mbbl/d)</w:t>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________</w:t>
      </w:r>
    </w:p>
    <w:p>
      <w:pPr>
        <w:pStyle w:val="TextBody"/>
        <w:bidi w:val="0"/>
        <w:spacing w:lineRule="auto" w:line="288" w:before="120" w:after="283"/>
        <w:ind w:left="0" w:right="0" w:hanging="360"/>
        <w:jc w:val="left"/>
        <w:rPr/>
      </w:pPr>
      <w:r>
        <w:rPr>
          <w:rFonts w:ascii="Times New Roman;sans-serif" w:hAnsi="Times New Roman;sans-serif"/>
          <w:b w:val="false"/>
          <w:color w:val="000000"/>
          <w:sz w:val="13"/>
        </w:rPr>
        <w:t>(1)</w:t>
      </w:r>
      <w:r>
        <w:rPr>
          <w:rFonts w:ascii="Times New Roman;sans-serif" w:hAnsi="Times New Roman;sans-serif"/>
          <w:b w:val="false"/>
          <w:color w:val="000000"/>
          <w:sz w:val="18"/>
        </w:rPr>
        <w:t>Excludes volume throughput for Ohio Gathering and Double E. For additional information, see the Northeast and Permian sections herein under the caption “Segment Overview for the Three and Six Months Ended June 30, 2024 and 2023”.</w:t>
      </w:r>
    </w:p>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222885"/>
                <wp:effectExtent l="0" t="0" r="0" b="0"/>
                <wp:wrapNone/>
                <wp:docPr id="32" name="Frame3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120" w:after="283"/>
        <w:jc w:val="left"/>
        <w:rPr/>
      </w:pPr>
      <w:hyperlink w:anchor="i69ee8b4d644242bf8ed471293c41640a_7">
        <w:r>
          <w:rPr>
            <w:rStyle w:val="InternetLink"/>
            <w:rFonts w:ascii="Times New Roman;sans-serif" w:hAnsi="Times New Roman;sans-serif"/>
            <w:b w:val="false"/>
            <w:color w:val="000080"/>
            <w:sz w:val="20"/>
            <w:u w:val="single"/>
          </w:rPr>
          <w:t xml:space="preserve">Table </w:t>
        </w:r>
      </w:hyperlink>
      <w:hyperlink w:anchor="i69ee8b4d644242bf8ed471293c41640a_7">
        <w:r>
          <w:rPr>
            <w:rStyle w:val="InternetLink"/>
            <w:rFonts w:ascii="Times New Roman;sans-serif" w:hAnsi="Times New Roman;sans-serif"/>
            <w:b w:val="false"/>
            <w:color w:val="000080"/>
            <w:sz w:val="20"/>
            <w:u w:val="single"/>
          </w:rPr>
          <w:t>of</w:t>
        </w:r>
      </w:hyperlink>
      <w:hyperlink w:anchor="i69ee8b4d644242bf8ed471293c41640a_7">
        <w:r>
          <w:rPr>
            <w:rStyle w:val="InternetLink"/>
            <w:rFonts w:ascii="Times New Roman;sans-serif" w:hAnsi="Times New Roman;sans-serif"/>
            <w:b w:val="false"/>
            <w:color w:val="000080"/>
            <w:sz w:val="20"/>
            <w:u w:val="single"/>
          </w:rPr>
          <w:t xml:space="preserve"> Contents</w:t>
        </w:r>
      </w:hyperlink>
    </w:p>
    <w:p>
      <w:pPr>
        <w:pStyle w:val="TextBody"/>
        <w:bidi w:val="0"/>
        <w:spacing w:before="120" w:after="283"/>
        <w:jc w:val="left"/>
        <w:rPr/>
      </w:pPr>
      <w:r>
        <w:rPr/>
      </w:r>
    </w:p>
    <w:p>
      <w:pPr>
        <w:pStyle w:val="TextBody"/>
        <w:bidi w:val="0"/>
        <w:spacing w:lineRule="auto" w:line="288" w:before="120" w:after="283"/>
        <w:jc w:val="left"/>
        <w:rPr/>
      </w:pPr>
      <w:r>
        <w:rPr>
          <w:rFonts w:ascii="Times New Roman;sans-serif" w:hAnsi="Times New Roman;sans-serif"/>
          <w:b/>
          <w:i/>
          <w:color w:val="000000"/>
          <w:sz w:val="20"/>
        </w:rPr>
        <w:t xml:space="preserve">Volumes – Gas. </w:t>
      </w:r>
      <w:r>
        <w:rPr>
          <w:rFonts w:ascii="Times New Roman;sans-serif" w:hAnsi="Times New Roman;sans-serif"/>
          <w:b w:val="false"/>
          <w:color w:val="000000"/>
          <w:sz w:val="20"/>
        </w:rPr>
        <w:t>Natural gas throughput volumes decreased</w:t>
      </w:r>
      <w:r>
        <w:rPr>
          <w:color w:val="FF0000"/>
        </w:rPr>
        <w:t> </w:t>
      </w:r>
      <w:r>
        <w:rPr>
          <w:rFonts w:ascii="Times New Roman;sans-serif" w:hAnsi="Times New Roman;sans-serif"/>
          <w:b w:val="false"/>
          <w:color w:val="000000"/>
          <w:sz w:val="20"/>
        </w:rPr>
        <w:t>491 MMcf/d for the three months ended June 30, 2024 compared to the three months ended June 30, 2023, primarily reflecting:</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 volume throughput decrease of 534 MMcf/d for the Northeast segment.</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 volume throughput increase of 31 MMcf/d for the Rockies segment.</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 volume throughput decrease of 8 MMcf/d for the Piceance segment.</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 volume throughput increase of 20 MMcf/d for the Barnett segment.</w:t>
      </w:r>
    </w:p>
    <w:p>
      <w:pPr>
        <w:pStyle w:val="TextBody"/>
        <w:bidi w:val="0"/>
        <w:spacing w:lineRule="auto" w:line="288" w:before="120" w:after="283"/>
        <w:jc w:val="left"/>
        <w:rPr/>
      </w:pPr>
      <w:r>
        <w:rPr>
          <w:rFonts w:ascii="Times New Roman;sans-serif" w:hAnsi="Times New Roman;sans-serif"/>
          <w:b w:val="false"/>
          <w:color w:val="000000"/>
          <w:sz w:val="20"/>
        </w:rPr>
        <w:t>Natural gas throughput volumes decreased</w:t>
      </w:r>
      <w:r>
        <w:rPr>
          <w:color w:val="FF0000"/>
        </w:rPr>
        <w:t> </w:t>
      </w:r>
      <w:r>
        <w:rPr>
          <w:rFonts w:ascii="Times New Roman;sans-serif" w:hAnsi="Times New Roman;sans-serif"/>
          <w:b w:val="false"/>
          <w:color w:val="000000"/>
          <w:sz w:val="20"/>
        </w:rPr>
        <w:t xml:space="preserve">174 MMcf/d for the six months ended June 30, 2024 compared to the six months ended June 30, 2023, primarily reflecting: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 volume throughput decrease of 206 MMcf/d for the Northeast segment.</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 volume throughput increase of 9 MMcf/d for the Piceance segment.</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 volume throughput increase of 23 MMcf/d for the Rockies segment.</w:t>
      </w:r>
    </w:p>
    <w:p>
      <w:pPr>
        <w:pStyle w:val="TextBody"/>
        <w:bidi w:val="0"/>
        <w:spacing w:lineRule="auto" w:line="288" w:before="120" w:after="283"/>
        <w:jc w:val="left"/>
        <w:rPr/>
      </w:pPr>
      <w:r>
        <w:rPr>
          <w:rFonts w:ascii="Times New Roman;sans-serif" w:hAnsi="Times New Roman;sans-serif"/>
          <w:b/>
          <w:i/>
          <w:color w:val="000000"/>
          <w:sz w:val="20"/>
        </w:rPr>
        <w:t xml:space="preserve">Volumes – Liquids. </w:t>
      </w:r>
      <w:r>
        <w:rPr>
          <w:rFonts w:ascii="Times New Roman;sans-serif" w:hAnsi="Times New Roman;sans-serif"/>
          <w:b w:val="false"/>
          <w:color w:val="000000"/>
          <w:sz w:val="20"/>
        </w:rPr>
        <w:t>Crude oil and produced water throughput volumes at the Rockies segment increased for the three months ended June 30, 2024, compared to the three months ended June 30, 2023, primarily as a result of 56 new well connections that came online subsequent to June 30, 2023, offset by natural production declines.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Crude oil and produced water throughput volumes at the Rockies segment increased for the six months ended June 30, 2024, compared to the six months ended June 30, 2023, primarily as a result of 56 new well connections that came online subsequent to June 30, 2023, offset by natural production declines.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on volumes, see the "Segment Overview for the Three and Six Months Ended June 30, 2024 and 2023" section herein.</w:t>
      </w:r>
    </w:p>
    <w:p>
      <w:pPr>
        <w:pStyle w:val="TextBody"/>
        <w:bidi w:val="0"/>
        <w:spacing w:lineRule="auto" w:line="288" w:before="120" w:after="283"/>
        <w:jc w:val="left"/>
        <w:rPr/>
      </w:pPr>
      <w:r>
        <w:rPr>
          <w:rFonts w:ascii="Times New Roman;sans-serif" w:hAnsi="Times New Roman;sans-serif"/>
          <w:b/>
          <w:i/>
          <w:color w:val="000000"/>
          <w:sz w:val="20"/>
        </w:rPr>
        <w:t>Revenues.</w:t>
      </w:r>
      <w:r>
        <w:rPr>
          <w:color w:val="000000"/>
        </w:rPr>
        <w:t> </w:t>
      </w:r>
      <w:r>
        <w:rPr>
          <w:rFonts w:ascii="Times New Roman;sans-serif" w:hAnsi="Times New Roman;sans-serif"/>
          <w:b w:val="false"/>
          <w:color w:val="000000"/>
          <w:sz w:val="20"/>
        </w:rPr>
        <w:t>Total revenues increased $3.4 million during the three months ended June 30, 2024 compared to the three months ended June 30, 2023, comprised of an $11.9 million increase</w:t>
      </w:r>
      <w:r>
        <w:rPr>
          <w:color w:val="FF0000"/>
        </w:rPr>
        <w:t> </w:t>
      </w:r>
      <w:r>
        <w:rPr>
          <w:rFonts w:ascii="Times New Roman;sans-serif" w:hAnsi="Times New Roman;sans-serif"/>
          <w:b w:val="false"/>
          <w:color w:val="000000"/>
          <w:sz w:val="20"/>
        </w:rPr>
        <w:t xml:space="preserve">in natural gas, NGLs and condensate sales, a $3.4 million increase in other revenue; offset by an $11.9 million decrease in gathering services and related fees. </w:t>
      </w:r>
    </w:p>
    <w:p>
      <w:pPr>
        <w:pStyle w:val="TextBody"/>
        <w:bidi w:val="0"/>
        <w:spacing w:lineRule="auto" w:line="288" w:before="120" w:after="283"/>
        <w:jc w:val="left"/>
        <w:rPr/>
      </w:pPr>
      <w:r>
        <w:rPr>
          <w:rFonts w:ascii="Times New Roman;sans-serif" w:hAnsi="Times New Roman;sans-serif"/>
          <w:b w:val="false"/>
          <w:color w:val="000000"/>
          <w:sz w:val="20"/>
          <w:u w:val="single"/>
        </w:rPr>
        <w:t>Gathering Services and Related Fees</w:t>
      </w:r>
      <w:r>
        <w:rPr>
          <w:rFonts w:ascii="Times New Roman;sans-serif" w:hAnsi="Times New Roman;sans-serif"/>
          <w:b w:val="false"/>
          <w:color w:val="000000"/>
          <w:sz w:val="20"/>
        </w:rPr>
        <w:t>. Gathering services and related fees decreased $11.9 million compared to the three months ended June 30, 2023, primarily reflecting: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$1.4 million increase in the Rockies, primarily due to increased volume throughput;</w:t>
      </w:r>
      <w:r>
        <w:rPr>
          <w:color w:val="000000"/>
          <w:shd w:fill="FFFFFF" w:val="clear"/>
        </w:rPr>
        <w:t xml:space="preserve"> </w:t>
      </w:r>
    </w:p>
    <w:p>
      <w:pPr>
        <w:pStyle w:val="TextBody"/>
        <w:bidi w:val="0"/>
        <w:spacing w:lineRule="auto" w:line="288" w:before="120" w:after="283"/>
        <w:ind w:left="0" w:right="0" w:hanging="360"/>
        <w:jc w:val="left"/>
        <w:rPr/>
      </w:pPr>
      <w:r>
        <w:rPr>
          <w:color w:val="000000"/>
          <w:shd w:fill="FFFFFF" w:val="clear"/>
        </w:rPr>
        <w:t>•</w:t>
      </w:r>
      <w:r>
        <w:rPr>
          <w:rFonts w:ascii="Times New Roman;sans-serif" w:hAnsi="Times New Roman;sans-serif"/>
          <w:b w:val="false"/>
          <w:color w:val="000000"/>
          <w:sz w:val="20"/>
        </w:rPr>
        <w:t xml:space="preserve">a $10.8 million decrease in the Northeast, primarily due to the sale of the Mountaineer Midstream system and the disposition of Summit Utica;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a $2.0 million decrease in the Piceance, primarily due to decreased volume throughput and contractual step-downs;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a $0.5 million decrease in the Barnett, primarily due to decreased volume throughput. </w:t>
      </w:r>
    </w:p>
    <w:p>
      <w:pPr>
        <w:pStyle w:val="TextBody"/>
        <w:bidi w:val="0"/>
        <w:spacing w:lineRule="auto" w:line="288" w:before="120" w:after="283"/>
        <w:jc w:val="left"/>
        <w:rPr/>
      </w:pPr>
      <w:r>
        <w:rPr>
          <w:rFonts w:ascii="Times New Roman;sans-serif" w:hAnsi="Times New Roman;sans-serif"/>
          <w:b w:val="false"/>
          <w:color w:val="000000"/>
          <w:sz w:val="20"/>
          <w:u w:val="single"/>
        </w:rPr>
        <w:t>Natural Gas, NGLs and Condensate Sales</w:t>
      </w:r>
      <w:r>
        <w:rPr>
          <w:rFonts w:ascii="Times New Roman;sans-serif" w:hAnsi="Times New Roman;sans-serif"/>
          <w:b w:val="false"/>
          <w:color w:val="000000"/>
          <w:sz w:val="20"/>
        </w:rPr>
        <w:t>. Natural gas, NGLs and condensate revenues increased</w:t>
      </w:r>
      <w:r>
        <w:rPr>
          <w:color w:val="FF0000"/>
        </w:rPr>
        <w:t> </w:t>
      </w:r>
      <w:r>
        <w:rPr>
          <w:rFonts w:ascii="Times New Roman;sans-serif" w:hAnsi="Times New Roman;sans-serif"/>
          <w:b w:val="false"/>
          <w:color w:val="000000"/>
          <w:sz w:val="20"/>
        </w:rPr>
        <w:t xml:space="preserve">$11.9 million compared to the three months ended June 30, 2023, primarily reflecting: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$0.7 million decrease in the Piceance, primarily due to decreased volume throughput;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$12.6 million increase in the Rockies, primarily due to increased volume throughput.</w:t>
      </w:r>
    </w:p>
    <w:p>
      <w:pPr>
        <w:pStyle w:val="TextBody"/>
        <w:bidi w:val="0"/>
        <w:spacing w:lineRule="auto" w:line="288" w:before="120" w:after="283"/>
        <w:jc w:val="left"/>
        <w:rPr/>
      </w:pPr>
      <w:r>
        <w:rPr>
          <w:rFonts w:ascii="Times New Roman;sans-serif" w:hAnsi="Times New Roman;sans-serif"/>
          <w:b w:val="false"/>
          <w:color w:val="000000"/>
          <w:sz w:val="20"/>
        </w:rPr>
        <w:t>Total revenues increased $9.8 million during the six months ended June 30, 2024 compared to the six months ended June 30, 2023, comprised of a $7.3 million decrease in gathering services and related fees, offset by a $5.2 million increase in other revenue and an $11.8 million increase</w:t>
      </w:r>
      <w:r>
        <w:rPr>
          <w:color w:val="FF0000"/>
        </w:rPr>
        <w:t> </w:t>
      </w:r>
      <w:r>
        <w:rPr>
          <w:rFonts w:ascii="Times New Roman;sans-serif" w:hAnsi="Times New Roman;sans-serif"/>
          <w:b w:val="false"/>
          <w:color w:val="000000"/>
          <w:sz w:val="20"/>
        </w:rPr>
        <w:t xml:space="preserve">in natural gas, NGLs and condensate sales. </w:t>
      </w:r>
    </w:p>
    <w:p>
      <w:pPr>
        <w:pStyle w:val="TextBody"/>
        <w:bidi w:val="0"/>
        <w:spacing w:lineRule="auto" w:line="288" w:before="120" w:after="283"/>
        <w:jc w:val="left"/>
        <w:rPr/>
      </w:pPr>
      <w:r>
        <w:rPr>
          <w:rFonts w:ascii="Times New Roman;sans-serif" w:hAnsi="Times New Roman;sans-serif"/>
          <w:b w:val="false"/>
          <w:color w:val="000000"/>
          <w:sz w:val="20"/>
          <w:u w:val="single"/>
        </w:rPr>
        <w:t>Gathering Services and Related Fees</w:t>
      </w:r>
      <w:r>
        <w:rPr>
          <w:rFonts w:ascii="Times New Roman;sans-serif" w:hAnsi="Times New Roman;sans-serif"/>
          <w:b w:val="false"/>
          <w:color w:val="000000"/>
          <w:sz w:val="20"/>
        </w:rPr>
        <w:t>. Gathering services and related fees decreased $7.3 million compared to the six months ended June 30, 2023, primarily reflecting:</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a $2.6 million increase in the Rockies, primarily due to increased volume throughput;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a $6.7 million decrease in the Northeast, primarily due to the sale of the Mountaineer Midstream system and the disposition of Summit Utica;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 xml:space="preserve">a $2.5 million decrease in the Barnett, primarily due to decreased volume throughput;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$0.7 million decrease in the Piceance, primarily due to contractual step-downs; offset by increased volume throughput.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222885"/>
                <wp:effectExtent l="0" t="0" r="0" b="0"/>
                <wp:wrapNone/>
                <wp:docPr id="33" name="Frame3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120" w:after="283"/>
        <w:jc w:val="left"/>
        <w:rPr/>
      </w:pPr>
      <w:hyperlink w:anchor="i69ee8b4d644242bf8ed471293c41640a_7">
        <w:r>
          <w:rPr>
            <w:rStyle w:val="InternetLink"/>
            <w:rFonts w:ascii="Times New Roman;sans-serif" w:hAnsi="Times New Roman;sans-serif"/>
            <w:b w:val="false"/>
            <w:color w:val="000080"/>
            <w:sz w:val="20"/>
            <w:u w:val="single"/>
          </w:rPr>
          <w:t xml:space="preserve">Table </w:t>
        </w:r>
      </w:hyperlink>
      <w:hyperlink w:anchor="i69ee8b4d644242bf8ed471293c41640a_7">
        <w:r>
          <w:rPr>
            <w:rStyle w:val="InternetLink"/>
            <w:rFonts w:ascii="Times New Roman;sans-serif" w:hAnsi="Times New Roman;sans-serif"/>
            <w:b w:val="false"/>
            <w:color w:val="000080"/>
            <w:sz w:val="20"/>
            <w:u w:val="single"/>
          </w:rPr>
          <w:t>of</w:t>
        </w:r>
      </w:hyperlink>
      <w:hyperlink w:anchor="i69ee8b4d644242bf8ed471293c41640a_7">
        <w:r>
          <w:rPr>
            <w:rStyle w:val="InternetLink"/>
            <w:rFonts w:ascii="Times New Roman;sans-serif" w:hAnsi="Times New Roman;sans-serif"/>
            <w:b w:val="false"/>
            <w:color w:val="000080"/>
            <w:sz w:val="20"/>
            <w:u w:val="single"/>
          </w:rPr>
          <w:t xml:space="preserve"> Contents</w:t>
        </w:r>
      </w:hyperlink>
    </w:p>
    <w:p>
      <w:pPr>
        <w:pStyle w:val="TextBody"/>
        <w:bidi w:val="0"/>
        <w:spacing w:lineRule="auto" w:line="288" w:before="120" w:after="283"/>
        <w:jc w:val="left"/>
        <w:rPr/>
      </w:pPr>
      <w:r>
        <w:rPr>
          <w:rFonts w:ascii="Times New Roman;sans-serif" w:hAnsi="Times New Roman;sans-serif"/>
          <w:b w:val="false"/>
          <w:color w:val="000000"/>
          <w:sz w:val="20"/>
          <w:u w:val="single"/>
        </w:rPr>
        <w:t>Natural Gas, NGLs and Condensate Sales</w:t>
      </w:r>
      <w:r>
        <w:rPr>
          <w:rFonts w:ascii="Times New Roman;sans-serif" w:hAnsi="Times New Roman;sans-serif"/>
          <w:b w:val="false"/>
          <w:color w:val="000000"/>
          <w:sz w:val="20"/>
        </w:rPr>
        <w:t>. Natural gas, NGLs and condensate revenues increased</w:t>
      </w:r>
      <w:r>
        <w:rPr>
          <w:color w:val="FF0000"/>
        </w:rPr>
        <w:t> </w:t>
      </w:r>
      <w:r>
        <w:rPr>
          <w:rFonts w:ascii="Times New Roman;sans-serif" w:hAnsi="Times New Roman;sans-serif"/>
          <w:b w:val="false"/>
          <w:color w:val="000000"/>
          <w:sz w:val="20"/>
        </w:rPr>
        <w:t xml:space="preserve">$11.8 million compared to the six months ended June 30, 2023, primarily reflecting: </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$1.4 million decrease in the Piceance; primarily due to lower commodity prices; partially offset by increased volume throughput;</w:t>
      </w:r>
    </w:p>
    <w:p>
      <w:pPr>
        <w:pStyle w:val="TextBody"/>
        <w:bidi w:val="0"/>
        <w:spacing w:lineRule="auto" w:line="288" w:before="120" w:after="283"/>
        <w:ind w:left="0" w:right="0" w:hanging="360"/>
        <w:jc w:val="left"/>
        <w:rPr/>
      </w:pPr>
      <w:r>
        <w:rPr>
          <w:color w:val="000000"/>
        </w:rPr>
        <w:t>•</w:t>
      </w:r>
      <w:r>
        <w:rPr>
          <w:rFonts w:ascii="Times New Roman;sans-serif" w:hAnsi="Times New Roman;sans-serif"/>
          <w:b w:val="false"/>
          <w:color w:val="000000"/>
          <w:sz w:val="20"/>
        </w:rPr>
        <w:t>a $13.3 million increase in the Rockies, primarily due to increased volume throughput.</w:t>
      </w:r>
    </w:p>
    <w:p>
      <w:pPr>
        <w:pStyle w:val="TextBody"/>
        <w:bidi w:val="0"/>
        <w:spacing w:lineRule="auto" w:line="288" w:before="120" w:after="283"/>
        <w:jc w:val="left"/>
        <w:rPr/>
      </w:pPr>
      <w:r>
        <w:rPr>
          <w:rFonts w:ascii="Times New Roman;sans-serif" w:hAnsi="Times New Roman;sans-serif"/>
          <w:b/>
          <w:i/>
          <w:color w:val="000000"/>
          <w:sz w:val="20"/>
        </w:rPr>
        <w:t>Costs and Expenses.</w:t>
      </w:r>
      <w:r>
        <w:rPr>
          <w:color w:val="000000"/>
        </w:rPr>
        <w:t> </w:t>
      </w:r>
      <w:r>
        <w:rPr>
          <w:rFonts w:ascii="Times New Roman;sans-serif" w:hAnsi="Times New Roman;sans-serif"/>
          <w:b w:val="false"/>
          <w:color w:val="000000"/>
          <w:sz w:val="20"/>
        </w:rPr>
        <w:t>Total costs and expenses increased $6.8 million during the three months ended June 30, 2024 compared to the three months ended June 30, 2023.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 increased $84.0 million during the six months ended June 30, 2024 compared to the six months ended June 30, 2023.</w:t>
      </w:r>
    </w:p>
    <w:p>
      <w:pPr>
        <w:pStyle w:val="TextBody"/>
        <w:bidi w:val="0"/>
        <w:spacing w:lineRule="auto" w:line="288" w:before="120" w:after="283"/>
        <w:jc w:val="left"/>
        <w:rPr/>
      </w:pPr>
      <w:r>
        <w:rPr>
          <w:rFonts w:ascii="Times New Roman;sans-serif" w:hAnsi="Times New Roman;sans-serif"/>
          <w:b w:val="false"/>
          <w:color w:val="000000"/>
          <w:sz w:val="20"/>
          <w:u w:val="single"/>
        </w:rPr>
        <w:t>Cost of Natural Gas and NGLs</w:t>
      </w:r>
      <w:r>
        <w:rPr>
          <w:rFonts w:ascii="Times New Roman;sans-serif" w:hAnsi="Times New Roman;sans-serif"/>
          <w:b w:val="false"/>
          <w:color w:val="000000"/>
          <w:sz w:val="20"/>
        </w:rPr>
        <w:t>. Cost of natural gas and NGLs increased $9.6 million for the three months ended June 30, 2024, compared to the three months ended June 30, 2023.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natural gas and NGLs increased $8.9 million for the six months ended June 30, 2024, compared to the six months ended June 30, 2023.</w:t>
      </w:r>
    </w:p>
    <w:p>
      <w:pPr>
        <w:pStyle w:val="TextBody"/>
        <w:bidi w:val="0"/>
        <w:spacing w:lineRule="auto" w:line="288" w:before="120" w:after="283"/>
        <w:jc w:val="left"/>
        <w:rPr/>
      </w:pPr>
      <w:r>
        <w:rPr>
          <w:rFonts w:ascii="Times New Roman;sans-serif" w:hAnsi="Times New Roman;sans-serif"/>
          <w:b w:val="false"/>
          <w:color w:val="000000"/>
          <w:sz w:val="20"/>
          <w:u w:val="single"/>
        </w:rPr>
        <w:t>Operation and Maintenance</w:t>
      </w:r>
      <w:r>
        <w:rPr>
          <w:rFonts w:ascii="Times New Roman;sans-serif" w:hAnsi="Times New Roman;sans-serif"/>
          <w:b w:val="false"/>
          <w:color w:val="000000"/>
          <w:sz w:val="20"/>
        </w:rPr>
        <w:t>. Operation and maintenance expense decreased $1.7 million for the three months ended June 30, 2024, compared to the three months ended June 30, 2023.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and maintenance expense decreased $0.7 million for the six months ended June 30, 2024, compared to the six months ended June 30, 2023.</w:t>
      </w:r>
    </w:p>
    <w:p>
      <w:pPr>
        <w:pStyle w:val="TextBody"/>
        <w:bidi w:val="0"/>
        <w:spacing w:lineRule="auto" w:line="288" w:before="120" w:after="283"/>
        <w:jc w:val="left"/>
        <w:rPr/>
      </w:pPr>
      <w:r>
        <w:rPr>
          <w:rFonts w:ascii="Times New Roman;sans-serif" w:hAnsi="Times New Roman;sans-serif"/>
          <w:b w:val="false"/>
          <w:color w:val="000000"/>
          <w:sz w:val="20"/>
          <w:u w:val="single"/>
        </w:rPr>
        <w:t>Long-lived asset impairments</w:t>
      </w:r>
      <w:r>
        <w:rPr>
          <w:rFonts w:ascii="Times New Roman;sans-serif" w:hAnsi="Times New Roman;sans-serif"/>
          <w:b w:val="false"/>
          <w:color w:val="000000"/>
          <w:sz w:val="20"/>
        </w:rPr>
        <w:t>. During the quarterly period ended March 31, 2024, we recognized an impairment charge of $67.9 million in connection with the Mountaineer Transaction.</w:t>
      </w:r>
    </w:p>
    <w:p>
      <w:pPr>
        <w:pStyle w:val="TextBody"/>
        <w:bidi w:val="0"/>
        <w:spacing w:lineRule="auto" w:line="288" w:before="120" w:after="283"/>
        <w:jc w:val="left"/>
        <w:rPr/>
      </w:pPr>
      <w:r>
        <w:rPr>
          <w:rFonts w:ascii="Times New Roman;sans-serif" w:hAnsi="Times New Roman;sans-serif"/>
          <w:b w:val="false"/>
          <w:color w:val="000000"/>
          <w:sz w:val="20"/>
          <w:u w:val="single"/>
        </w:rPr>
        <w:t>Interest Expense</w:t>
      </w:r>
      <w:r>
        <w:rPr>
          <w:rFonts w:ascii="Times New Roman;sans-serif" w:hAnsi="Times New Roman;sans-serif"/>
          <w:b w:val="false"/>
          <w:color w:val="000000"/>
          <w:sz w:val="20"/>
        </w:rPr>
        <w:t>. Interest expense decreased $3.7 million for the three months ended June 30, 2024, compared to three months ended June 30, 2023, primarily due to $7.3 million of reduced interest expense in connection with the repayment of the ABL Facility and $3.0 of reduced interest expense as a result of the exchange and repurchase of $209.7 million of the 2025 Senior Notes that occurred in November 2023, partially offset by $5.7 million of increased borrowing costs on the 2026 Unsecured Notes issued in November 2023.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decreased $0.1 million for the six months ended June 30, 2024, compared to six months ended June 30, 2023, primarily due to $7.8 million of reduced interest expense in connection with the repayment of the ABL Facility and $6.0 of reduced interest expense as a result of the exchange and repurchase of $209.7 million of the 2025 Senior Notes that occurred in November 2023, partially offset by $12.0 million of increased borrowing costs on the 2026 Unsecured Notes issued in November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222885"/>
                <wp:effectExtent l="0" t="0" r="0" b="0"/>
                <wp:wrapNone/>
                <wp:docPr id="34" name="Frame3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120" w:after="283"/>
        <w:jc w:val="left"/>
        <w:rPr/>
      </w:pPr>
      <w:hyperlink w:anchor="i69ee8b4d644242bf8ed471293c41640a_7">
        <w:r>
          <w:rPr>
            <w:rStyle w:val="InternetLink"/>
            <w:rFonts w:ascii="Times New Roman;sans-serif" w:hAnsi="Times New Roman;sans-serif"/>
            <w:b w:val="false"/>
            <w:color w:val="000080"/>
            <w:sz w:val="20"/>
            <w:u w:val="single"/>
          </w:rPr>
          <w:t xml:space="preserve">Table </w:t>
        </w:r>
      </w:hyperlink>
      <w:hyperlink w:anchor="i69ee8b4d644242bf8ed471293c41640a_7">
        <w:r>
          <w:rPr>
            <w:rStyle w:val="InternetLink"/>
            <w:rFonts w:ascii="Times New Roman;sans-serif" w:hAnsi="Times New Roman;sans-serif"/>
            <w:b w:val="false"/>
            <w:color w:val="000080"/>
            <w:sz w:val="20"/>
            <w:u w:val="single"/>
          </w:rPr>
          <w:t>of</w:t>
        </w:r>
      </w:hyperlink>
      <w:hyperlink w:anchor="i69ee8b4d644242bf8ed471293c41640a_7">
        <w:r>
          <w:rPr>
            <w:rStyle w:val="InternetLink"/>
            <w:rFonts w:ascii="Times New Roman;sans-serif" w:hAnsi="Times New Roman;sans-serif"/>
            <w:b w:val="false"/>
            <w:color w:val="000080"/>
            <w:sz w:val="20"/>
            <w:u w:val="single"/>
          </w:rPr>
          <w:t xml:space="preserve"> Contents</w:t>
        </w:r>
      </w:hyperlink>
    </w:p>
    <w:p>
      <w:pPr>
        <w:pStyle w:val="TextBody"/>
        <w:bidi w:val="0"/>
        <w:spacing w:lineRule="auto" w:line="288" w:before="120" w:after="283"/>
        <w:jc w:val="left"/>
        <w:rPr>
          <w:rFonts w:ascii="Times New Roman;sans-serif" w:hAnsi="Times New Roman;sans-serif"/>
          <w:b/>
          <w:color w:val="000000"/>
          <w:sz w:val="22"/>
        </w:rPr>
      </w:pPr>
      <w:r>
        <w:rPr>
          <w:rFonts w:ascii="Times New Roman;sans-serif" w:hAnsi="Times New Roman;sans-serif"/>
          <w:b/>
          <w:color w:val="000000"/>
          <w:sz w:val="22"/>
        </w:rPr>
        <w:t>Segment Overview for the Three and Six Months Ended June 30, 2024 and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ans-serif" w:hAnsi="Times New Roman;sans-serif"/>
          <w:b/>
          <w:i/>
          <w:color w:val="000000"/>
          <w:sz w:val="20"/>
        </w:rPr>
        <w:t>Northeast.</w:t>
      </w:r>
      <w:r>
        <w:rPr>
          <w:color w:val="000000"/>
        </w:rPr>
        <w: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throughput for the Northeast reportable segment follows.</w:t>
      </w:r>
    </w:p>
    <w:tbl>
      <w:tblPr>
        <w:tblW w:w="10205" w:type="dxa"/>
        <w:jc w:val="left"/>
        <w:tblInd w:w="0" w:type="dxa"/>
        <w:tblLayout w:type="fixed"/>
        <w:tblCellMar>
          <w:top w:w="28" w:type="dxa"/>
          <w:left w:w="28" w:type="dxa"/>
          <w:bottom w:w="28" w:type="dxa"/>
          <w:right w:w="28" w:type="dxa"/>
        </w:tblCellMar>
      </w:tblPr>
      <w:tblGrid>
        <w:gridCol w:w="1223"/>
        <w:gridCol w:w="1077"/>
        <w:gridCol w:w="1079"/>
        <w:gridCol w:w="251"/>
        <w:gridCol w:w="220"/>
        <w:gridCol w:w="205"/>
        <w:gridCol w:w="205"/>
        <w:gridCol w:w="205"/>
        <w:gridCol w:w="205"/>
        <w:gridCol w:w="251"/>
        <w:gridCol w:w="239"/>
        <w:gridCol w:w="205"/>
        <w:gridCol w:w="109"/>
        <w:gridCol w:w="109"/>
        <w:gridCol w:w="109"/>
        <w:gridCol w:w="305"/>
        <w:gridCol w:w="305"/>
        <w:gridCol w:w="306"/>
        <w:gridCol w:w="109"/>
        <w:gridCol w:w="109"/>
        <w:gridCol w:w="109"/>
        <w:gridCol w:w="300"/>
        <w:gridCol w:w="209"/>
        <w:gridCol w:w="191"/>
        <w:gridCol w:w="191"/>
        <w:gridCol w:w="191"/>
        <w:gridCol w:w="191"/>
        <w:gridCol w:w="300"/>
        <w:gridCol w:w="209"/>
        <w:gridCol w:w="191"/>
        <w:gridCol w:w="109"/>
        <w:gridCol w:w="109"/>
        <w:gridCol w:w="109"/>
        <w:gridCol w:w="281"/>
        <w:gridCol w:w="281"/>
        <w:gridCol w:w="408"/>
      </w:tblGrid>
      <w:tr>
        <w:trPr/>
        <w:tc>
          <w:tcPr>
            <w:tcW w:w="1223" w:type="dxa"/>
            <w:tcBorders/>
            <w:vAlign w:val="center"/>
          </w:tcPr>
          <w:p>
            <w:pPr>
              <w:pStyle w:val="TableContents"/>
              <w:bidi w:val="0"/>
              <w:spacing w:before="0" w:after="283"/>
              <w:jc w:val="left"/>
              <w:rPr>
                <w:sz w:val="4"/>
                <w:szCs w:val="4"/>
              </w:rPr>
            </w:pPr>
            <w:r>
              <w:rPr>
                <w:sz w:val="4"/>
                <w:szCs w:val="4"/>
              </w:rPr>
            </w:r>
          </w:p>
        </w:tc>
        <w:tc>
          <w:tcPr>
            <w:tcW w:w="1077" w:type="dxa"/>
            <w:tcBorders/>
            <w:vAlign w:val="center"/>
          </w:tcPr>
          <w:p>
            <w:pPr>
              <w:pStyle w:val="TableContents"/>
              <w:bidi w:val="0"/>
              <w:spacing w:before="0" w:after="283"/>
              <w:jc w:val="left"/>
              <w:rPr>
                <w:sz w:val="4"/>
                <w:szCs w:val="4"/>
              </w:rPr>
            </w:pPr>
            <w:r>
              <w:rPr>
                <w:sz w:val="4"/>
                <w:szCs w:val="4"/>
              </w:rPr>
            </w:r>
          </w:p>
        </w:tc>
        <w:tc>
          <w:tcPr>
            <w:tcW w:w="107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3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6"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Northeast</w:t>
            </w:r>
          </w:p>
        </w:tc>
      </w:tr>
      <w:tr>
        <w:trPr/>
        <w:tc>
          <w:tcPr>
            <w:tcW w:w="3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1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57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337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daily throughput (MMcf/d)</w:t>
            </w:r>
          </w:p>
        </w:tc>
        <w:tc>
          <w:tcPr>
            <w:tcW w:w="4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629 </w:t>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404 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610 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37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daily throughput (MMcf/d) (Ohio Gathering)</w:t>
            </w:r>
          </w:p>
        </w:tc>
        <w:tc>
          <w:tcPr>
            <w:tcW w:w="4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781 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425 </w:t>
            </w:r>
          </w:p>
        </w:tc>
        <w:tc>
          <w:tcPr>
            <w:tcW w:w="1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Not considered meaningful</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March 22, 2024, we completed the disposition of Summit Utica, the owner of our equity method investment, Ohio Gathering, and on May 1, 2024, we completed the disposition of our Mountaineer Midstream system.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throughput for the Northeast, excluding Ohio Gathering, decreased for the three and six months ended June 30, 2024, compared to the three and six months ended June 30, 2023, primarily due to the sale of our Mountaineer Midstream system and the disposition of Summit Utica as discussed above.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throughput for the Ohio Gathering system decreased for the three and six months ended June 30, 2024, compared to the three and six months ended June 30, 2023, primarily due to the disposition of Summit Utica, which owns an interest in the Ohio Gathering system.</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data for our Northeast reportable segment follows.</w:t>
      </w:r>
    </w:p>
    <w:tbl>
      <w:tblPr>
        <w:tblW w:w="10205" w:type="dxa"/>
        <w:jc w:val="left"/>
        <w:tblInd w:w="0" w:type="dxa"/>
        <w:tblLayout w:type="fixed"/>
        <w:tblCellMar>
          <w:top w:w="28" w:type="dxa"/>
          <w:left w:w="28" w:type="dxa"/>
          <w:bottom w:w="28" w:type="dxa"/>
          <w:right w:w="28" w:type="dxa"/>
        </w:tblCellMar>
      </w:tblPr>
      <w:tblGrid>
        <w:gridCol w:w="1104"/>
        <w:gridCol w:w="762"/>
        <w:gridCol w:w="767"/>
        <w:gridCol w:w="211"/>
        <w:gridCol w:w="616"/>
        <w:gridCol w:w="109"/>
        <w:gridCol w:w="109"/>
        <w:gridCol w:w="109"/>
        <w:gridCol w:w="109"/>
        <w:gridCol w:w="211"/>
        <w:gridCol w:w="721"/>
        <w:gridCol w:w="109"/>
        <w:gridCol w:w="109"/>
        <w:gridCol w:w="109"/>
        <w:gridCol w:w="109"/>
        <w:gridCol w:w="305"/>
        <w:gridCol w:w="305"/>
        <w:gridCol w:w="306"/>
        <w:gridCol w:w="109"/>
        <w:gridCol w:w="109"/>
        <w:gridCol w:w="109"/>
        <w:gridCol w:w="211"/>
        <w:gridCol w:w="721"/>
        <w:gridCol w:w="109"/>
        <w:gridCol w:w="109"/>
        <w:gridCol w:w="109"/>
        <w:gridCol w:w="109"/>
        <w:gridCol w:w="211"/>
        <w:gridCol w:w="721"/>
        <w:gridCol w:w="109"/>
        <w:gridCol w:w="109"/>
        <w:gridCol w:w="109"/>
        <w:gridCol w:w="109"/>
        <w:gridCol w:w="281"/>
        <w:gridCol w:w="281"/>
        <w:gridCol w:w="400"/>
      </w:tblGrid>
      <w:tr>
        <w:trPr/>
        <w:tc>
          <w:tcPr>
            <w:tcW w:w="1104"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2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2"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Northeast</w:t>
            </w:r>
          </w:p>
        </w:tc>
      </w:tr>
      <w:tr>
        <w:trPr/>
        <w:tc>
          <w:tcPr>
            <w:tcW w:w="2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2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services and related fees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c>
      </w:tr>
      <w:tr>
        <w:trPr/>
        <w:tc>
          <w:tcPr>
            <w:tcW w:w="2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18,851 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c>
      </w:tr>
      <w:tr>
        <w:trPr/>
        <w:tc>
          <w:tcPr>
            <w:tcW w:w="2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and maintenance</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r>
      <w:tr>
        <w:trPr/>
        <w:tc>
          <w:tcPr>
            <w:tcW w:w="2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c>
      </w:tr>
      <w:tr>
        <w:trPr/>
        <w:tc>
          <w:tcPr>
            <w:tcW w:w="2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c>
      </w:tr>
      <w:tr>
        <w:trPr/>
        <w:tc>
          <w:tcPr>
            <w:tcW w:w="263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asset sales,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200%</w:t>
            </w:r>
          </w:p>
        </w:tc>
      </w:tr>
      <w:tr>
        <w:trPr/>
        <w:tc>
          <w:tcPr>
            <w:tcW w:w="2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 impairment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74,622 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Add:</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3"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related to capital reimbursement activity</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on asset sales,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 impairment</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Proportional adjusted EBITDA for Ohio Gathering </w:t>
            </w:r>
            <w:r>
              <w:rPr>
                <w:rFonts w:ascii="Times New Roman;sans-serif" w:hAnsi="Times New Roman;sans-serif"/>
                <w:b w:val="false"/>
                <w:color w:val="000000"/>
                <w:sz w:val="13"/>
              </w:rPr>
              <w:t>(1)</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r>
      <w:tr>
        <w:trPr/>
        <w:tc>
          <w:tcPr>
            <w:tcW w:w="263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33"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Segment adjusted EBITDA </w:t>
            </w:r>
            <w:r>
              <w:rPr>
                <w:rFonts w:ascii="Times New Roman;sans-serif" w:hAnsi="Times New Roman;sans-serif"/>
                <w:b w:val="false"/>
                <w:color w:val="000000"/>
                <w:sz w:val="13"/>
              </w:rPr>
              <w:t>(2)</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20,201 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r>
    </w:tbl>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Not considered meaningful</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(1)</w:t>
      </w:r>
      <w:r>
        <w:rPr>
          <w:rFonts w:ascii="Times New Roman;sans-serif" w:hAnsi="Times New Roman;sans-serif"/>
          <w:b w:val="false"/>
          <w:color w:val="000000"/>
          <w:sz w:val="18"/>
        </w:rPr>
        <w:t>The Partnership recorded its financial results of its investment in Ohio Gathering on a one-month lag based on financial information available to us during the reporting period. With the divestiture of Ohio Gathering in March 2024, proportional adjusted EBITDA includes financial results from December 1, 2023 through March 22, 2024 ($2.5 million for March 1, 2024 - March 22, 2024).</w:t>
      </w:r>
    </w:p>
    <w:p>
      <w:pPr>
        <w:pStyle w:val="TextBody"/>
        <w:bidi w:val="0"/>
        <w:spacing w:lineRule="auto" w:line="288" w:before="0" w:after="0"/>
        <w:ind w:left="0" w:right="0" w:hanging="360"/>
        <w:jc w:val="left"/>
        <w:rPr/>
      </w:pPr>
      <w:r>
        <w:rPr>
          <w:rFonts w:ascii="Times New Roman;sans-serif" w:hAnsi="Times New Roman;sans-serif"/>
          <w:b w:val="false"/>
          <w:color w:val="000000"/>
          <w:sz w:val="12"/>
        </w:rPr>
        <w:t>(2)</w:t>
      </w:r>
      <w:r>
        <w:rPr>
          <w:rFonts w:ascii="Times New Roman;sans-serif" w:hAnsi="Times New Roman;sans-serif"/>
          <w:b w:val="false"/>
          <w:color w:val="000000"/>
          <w:sz w:val="18"/>
        </w:rPr>
        <w:t>Segment adjusted EBITDA is a non-GAAP financial measure.</w:t>
      </w:r>
    </w:p>
    <w:p>
      <w:pPr>
        <w:pStyle w:val="TextBody"/>
        <w:bidi w:val="0"/>
        <w:spacing w:lineRule="auto" w:line="288" w:before="120" w:after="283"/>
        <w:jc w:val="left"/>
        <w:rPr/>
      </w:pPr>
      <w:r>
        <w:rPr>
          <w:rFonts w:ascii="Times New Roman;sans-serif" w:hAnsi="Times New Roman;sans-serif"/>
          <w:b w:val="false"/>
          <w:color w:val="000000"/>
          <w:sz w:val="20"/>
          <w:u w:val="single"/>
        </w:rPr>
        <w:t>Three and six months ended June 30, 2024</w:t>
      </w:r>
      <w:r>
        <w:rPr>
          <w:rFonts w:ascii="Times New Roman;sans-serif" w:hAnsi="Times New Roman;sans-serif"/>
          <w:b w:val="false"/>
          <w:color w:val="000000"/>
          <w:sz w:val="20"/>
        </w:rPr>
        <w:t>. Segment adjusted EBITDA decreased $18.6 million and</w:t>
      </w:r>
      <w:r>
        <w:rPr>
          <w:color w:val="FF0000"/>
        </w:rPr>
        <w:t> </w:t>
      </w:r>
      <w:r>
        <w:rPr>
          <w:rFonts w:ascii="Times New Roman;sans-serif" w:hAnsi="Times New Roman;sans-serif"/>
          <w:b w:val="false"/>
          <w:color w:val="000000"/>
          <w:sz w:val="20"/>
        </w:rPr>
        <w:t xml:space="preserve">$7.4 million, compared to the three and six months ended June 30, 2023, respectively, primarily as the result of the sale of our Mountaineer Midstream system and the disposition of Summit Utica.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222885"/>
                <wp:effectExtent l="0" t="0" r="0" b="0"/>
                <wp:wrapNone/>
                <wp:docPr id="35" name="Frame3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120" w:after="283"/>
        <w:jc w:val="left"/>
        <w:rPr/>
      </w:pPr>
      <w:hyperlink w:anchor="i69ee8b4d644242bf8ed471293c41640a_7">
        <w:r>
          <w:rPr>
            <w:rStyle w:val="InternetLink"/>
            <w:rFonts w:ascii="Times New Roman;sans-serif" w:hAnsi="Times New Roman;sans-serif"/>
            <w:b w:val="false"/>
            <w:color w:val="000080"/>
            <w:sz w:val="20"/>
            <w:u w:val="single"/>
          </w:rPr>
          <w:t xml:space="preserve">Table </w:t>
        </w:r>
      </w:hyperlink>
      <w:hyperlink w:anchor="i69ee8b4d644242bf8ed471293c41640a_7">
        <w:r>
          <w:rPr>
            <w:rStyle w:val="InternetLink"/>
            <w:rFonts w:ascii="Times New Roman;sans-serif" w:hAnsi="Times New Roman;sans-serif"/>
            <w:b w:val="false"/>
            <w:color w:val="000080"/>
            <w:sz w:val="20"/>
            <w:u w:val="single"/>
          </w:rPr>
          <w:t>of</w:t>
        </w:r>
      </w:hyperlink>
      <w:hyperlink w:anchor="i69ee8b4d644242bf8ed471293c41640a_7">
        <w:r>
          <w:rPr>
            <w:rStyle w:val="InternetLink"/>
            <w:rFonts w:ascii="Times New Roman;sans-serif" w:hAnsi="Times New Roman;sans-serif"/>
            <w:b w:val="false"/>
            <w:color w:val="000080"/>
            <w:sz w:val="20"/>
            <w:u w:val="single"/>
          </w:rPr>
          <w:t xml:space="preserve"> Contents</w:t>
        </w:r>
      </w:hyperlink>
    </w:p>
    <w:p>
      <w:pPr>
        <w:pStyle w:val="TextBody"/>
        <w:bidi w:val="0"/>
        <w:spacing w:lineRule="auto" w:line="288" w:before="120" w:after="283"/>
        <w:jc w:val="left"/>
        <w:rPr/>
      </w:pPr>
      <w:r>
        <w:rPr>
          <w:rFonts w:ascii="Times New Roman;sans-serif" w:hAnsi="Times New Roman;sans-serif"/>
          <w:b/>
          <w:i/>
          <w:color w:val="000000"/>
          <w:sz w:val="20"/>
        </w:rPr>
        <w:t>Rockies.</w:t>
      </w:r>
      <w:r>
        <w:rPr>
          <w:color w:val="000000"/>
        </w:rPr>
        <w: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throughput for our Rockies reportable segment follows.</w:t>
      </w:r>
    </w:p>
    <w:tbl>
      <w:tblPr>
        <w:tblW w:w="10205" w:type="dxa"/>
        <w:jc w:val="left"/>
        <w:tblInd w:w="0" w:type="dxa"/>
        <w:tblLayout w:type="fixed"/>
        <w:tblCellMar>
          <w:top w:w="28" w:type="dxa"/>
          <w:left w:w="28" w:type="dxa"/>
          <w:bottom w:w="28" w:type="dxa"/>
          <w:right w:w="28" w:type="dxa"/>
        </w:tblCellMar>
      </w:tblPr>
      <w:tblGrid>
        <w:gridCol w:w="1312"/>
        <w:gridCol w:w="1155"/>
        <w:gridCol w:w="1158"/>
        <w:gridCol w:w="249"/>
        <w:gridCol w:w="203"/>
        <w:gridCol w:w="203"/>
        <w:gridCol w:w="203"/>
        <w:gridCol w:w="203"/>
        <w:gridCol w:w="203"/>
        <w:gridCol w:w="249"/>
        <w:gridCol w:w="203"/>
        <w:gridCol w:w="203"/>
        <w:gridCol w:w="109"/>
        <w:gridCol w:w="109"/>
        <w:gridCol w:w="109"/>
        <w:gridCol w:w="305"/>
        <w:gridCol w:w="305"/>
        <w:gridCol w:w="306"/>
        <w:gridCol w:w="109"/>
        <w:gridCol w:w="109"/>
        <w:gridCol w:w="109"/>
        <w:gridCol w:w="230"/>
        <w:gridCol w:w="195"/>
        <w:gridCol w:w="189"/>
        <w:gridCol w:w="189"/>
        <w:gridCol w:w="189"/>
        <w:gridCol w:w="189"/>
        <w:gridCol w:w="230"/>
        <w:gridCol w:w="195"/>
        <w:gridCol w:w="189"/>
        <w:gridCol w:w="109"/>
        <w:gridCol w:w="109"/>
        <w:gridCol w:w="109"/>
        <w:gridCol w:w="281"/>
        <w:gridCol w:w="281"/>
        <w:gridCol w:w="407"/>
      </w:tblGrid>
      <w:tr>
        <w:trPr/>
        <w:tc>
          <w:tcPr>
            <w:tcW w:w="1312" w:type="dxa"/>
            <w:tcBorders/>
            <w:vAlign w:val="center"/>
          </w:tcPr>
          <w:p>
            <w:pPr>
              <w:pStyle w:val="TableContents"/>
              <w:bidi w:val="0"/>
              <w:spacing w:before="0" w:after="283"/>
              <w:jc w:val="left"/>
              <w:rPr>
                <w:sz w:val="4"/>
                <w:szCs w:val="4"/>
              </w:rPr>
            </w:pPr>
            <w:r>
              <w:rPr>
                <w:sz w:val="4"/>
                <w:szCs w:val="4"/>
              </w:rPr>
            </w:r>
          </w:p>
        </w:tc>
        <w:tc>
          <w:tcPr>
            <w:tcW w:w="1155"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3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Rockies</w:t>
            </w:r>
          </w:p>
        </w:tc>
      </w:tr>
      <w:tr>
        <w:trPr/>
        <w:tc>
          <w:tcPr>
            <w:tcW w:w="3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5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3625"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Aggregate average daily throughput - natural gas (MMcf/d)</w:t>
            </w:r>
          </w:p>
        </w:tc>
        <w:tc>
          <w:tcPr>
            <w:tcW w:w="6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130</w:t>
            </w:r>
          </w:p>
        </w:tc>
        <w:tc>
          <w:tcPr>
            <w:tcW w:w="6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c>
      </w:tr>
      <w:tr>
        <w:trPr/>
        <w:tc>
          <w:tcPr>
            <w:tcW w:w="36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Aggregate average daily throughput - liquids (Mbbl/d)</w:t>
            </w:r>
          </w:p>
        </w:tc>
        <w:tc>
          <w:tcPr>
            <w:tcW w:w="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75</w:t>
            </w:r>
          </w:p>
        </w:tc>
        <w:tc>
          <w:tcPr>
            <w:tcW w:w="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r>
    </w:tbl>
    <w:p>
      <w:pPr>
        <w:pStyle w:val="TextBody"/>
        <w:bidi w:val="0"/>
        <w:spacing w:lineRule="auto" w:line="268" w:before="120" w:after="283"/>
        <w:jc w:val="left"/>
        <w:rPr/>
      </w:pPr>
      <w:r>
        <w:rPr>
          <w:rFonts w:ascii="Times New Roman;sans-serif" w:hAnsi="Times New Roman;sans-serif"/>
          <w:b w:val="false"/>
          <w:color w:val="000000"/>
          <w:sz w:val="20"/>
          <w:u w:val="single"/>
        </w:rPr>
        <w:t>Natural gas</w:t>
      </w:r>
      <w:r>
        <w:rPr>
          <w:rFonts w:ascii="Times New Roman;sans-serif" w:hAnsi="Times New Roman;sans-serif"/>
          <w:b w:val="false"/>
          <w:color w:val="000000"/>
          <w:sz w:val="20"/>
        </w:rPr>
        <w:t>. Natural gas volume throughput increased for the three and six months ended June 30, 2024,</w:t>
      </w:r>
      <w:r>
        <w:rPr>
          <w:color w:val="FF0000"/>
        </w:rPr>
        <w:t> </w:t>
      </w:r>
      <w:r>
        <w:rPr>
          <w:rFonts w:ascii="Times New Roman;sans-serif" w:hAnsi="Times New Roman;sans-serif"/>
          <w:b w:val="false"/>
          <w:color w:val="000000"/>
          <w:sz w:val="20"/>
        </w:rPr>
        <w:t>compared to the three and six months ended June 30, 2023, primarily reflecting 100 new well connections that came online subsequent to June 30, 2023, partially offset by winter related interruptions which occurred during the first quarter of 2024.</w:t>
      </w:r>
    </w:p>
    <w:p>
      <w:pPr>
        <w:pStyle w:val="TextBody"/>
        <w:bidi w:val="0"/>
        <w:spacing w:lineRule="auto" w:line="26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June 30, 2024 and 2023, costs of natural gas and NGLs includes $11.4 million and $9.6 million, respectively, of gathering fees collected under percentage of proceeds arrangements.</w:t>
      </w:r>
    </w:p>
    <w:p>
      <w:pPr>
        <w:pStyle w:val="TextBody"/>
        <w:bidi w:val="0"/>
        <w:spacing w:lineRule="auto" w:line="26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2024 and 2023, costs of natural gas and NGLs includes $22.6 million and $20.5 million, respectively, of gathering fees collected under percentage of proceeds arrangements.</w:t>
      </w:r>
    </w:p>
    <w:p>
      <w:pPr>
        <w:pStyle w:val="TextBody"/>
        <w:bidi w:val="0"/>
        <w:spacing w:lineRule="auto" w:line="288" w:before="120" w:after="283"/>
        <w:jc w:val="left"/>
        <w:rPr/>
      </w:pPr>
      <w:r>
        <w:rPr>
          <w:rFonts w:ascii="Times New Roman;sans-serif" w:hAnsi="Times New Roman;sans-serif"/>
          <w:b w:val="false"/>
          <w:color w:val="000000"/>
          <w:sz w:val="20"/>
          <w:u w:val="single"/>
        </w:rPr>
        <w:t>Liquids</w:t>
      </w:r>
      <w:r>
        <w:rPr>
          <w:rFonts w:ascii="Times New Roman;sans-serif" w:hAnsi="Times New Roman;sans-serif"/>
          <w:b w:val="false"/>
          <w:color w:val="000000"/>
          <w:sz w:val="20"/>
        </w:rPr>
        <w:t xml:space="preserve">. Liquids volume throughput increased for the three and six months ended June 30, 2024, compared to the three and six months ended June 30, 2023, primarily associated with 56 new well connections that came online subsequent to June 30, 2023 offset by natural production declines.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data for our Rockies reportable segment follows.</w:t>
      </w:r>
    </w:p>
    <w:tbl>
      <w:tblPr>
        <w:tblW w:w="10205" w:type="dxa"/>
        <w:jc w:val="left"/>
        <w:tblInd w:w="0" w:type="dxa"/>
        <w:tblLayout w:type="fixed"/>
        <w:tblCellMar>
          <w:top w:w="28" w:type="dxa"/>
          <w:left w:w="28" w:type="dxa"/>
          <w:bottom w:w="28" w:type="dxa"/>
          <w:right w:w="28" w:type="dxa"/>
        </w:tblCellMar>
      </w:tblPr>
      <w:tblGrid>
        <w:gridCol w:w="1061"/>
        <w:gridCol w:w="731"/>
        <w:gridCol w:w="735"/>
        <w:gridCol w:w="211"/>
        <w:gridCol w:w="721"/>
        <w:gridCol w:w="109"/>
        <w:gridCol w:w="109"/>
        <w:gridCol w:w="109"/>
        <w:gridCol w:w="109"/>
        <w:gridCol w:w="211"/>
        <w:gridCol w:w="721"/>
        <w:gridCol w:w="109"/>
        <w:gridCol w:w="109"/>
        <w:gridCol w:w="109"/>
        <w:gridCol w:w="109"/>
        <w:gridCol w:w="305"/>
        <w:gridCol w:w="305"/>
        <w:gridCol w:w="306"/>
        <w:gridCol w:w="109"/>
        <w:gridCol w:w="109"/>
        <w:gridCol w:w="109"/>
        <w:gridCol w:w="211"/>
        <w:gridCol w:w="721"/>
        <w:gridCol w:w="109"/>
        <w:gridCol w:w="109"/>
        <w:gridCol w:w="109"/>
        <w:gridCol w:w="109"/>
        <w:gridCol w:w="211"/>
        <w:gridCol w:w="721"/>
        <w:gridCol w:w="109"/>
        <w:gridCol w:w="109"/>
        <w:gridCol w:w="109"/>
        <w:gridCol w:w="109"/>
        <w:gridCol w:w="281"/>
        <w:gridCol w:w="281"/>
        <w:gridCol w:w="401"/>
      </w:tblGrid>
      <w:tr>
        <w:trPr/>
        <w:tc>
          <w:tcPr>
            <w:tcW w:w="106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8"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Rockies</w:t>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services and related fees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NGLs and condensate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122%</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66,858 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50,209 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135,452 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natural gas and NGLs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and maintenance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asset sales,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(202%)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(132%)</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 impairment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(96%)</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41,807 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Add:</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Integration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related to capital reimbursement activity</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loss on asset sales,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Long-lived asset impairment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Segment adjusted EBITDA </w:t>
            </w:r>
            <w:r>
              <w:rPr>
                <w:rFonts w:ascii="Times New Roman;sans-serif" w:hAnsi="Times New Roman;sans-serif"/>
                <w:b w:val="false"/>
                <w:color w:val="000000"/>
                <w:sz w:val="13"/>
              </w:rPr>
              <w:t>(1)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22,858 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16,858 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45,732 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39,988 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c>
      </w:tr>
    </w:tbl>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Not considered meaningful</w:t>
      </w:r>
    </w:p>
    <w:p>
      <w:pPr>
        <w:pStyle w:val="TextBody"/>
        <w:bidi w:val="0"/>
        <w:spacing w:lineRule="auto" w:line="288" w:before="120" w:after="283"/>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Segment adjusted EBITDA is a non-GAAP financial measure.</w:t>
      </w:r>
    </w:p>
    <w:p>
      <w:pPr>
        <w:pStyle w:val="TextBody"/>
        <w:bidi w:val="0"/>
        <w:spacing w:lineRule="auto" w:line="288" w:before="120" w:after="283"/>
        <w:jc w:val="left"/>
        <w:rPr/>
      </w:pPr>
      <w:r>
        <w:rPr>
          <w:rFonts w:ascii="Times New Roman;sans-serif" w:hAnsi="Times New Roman;sans-serif"/>
          <w:b w:val="false"/>
          <w:color w:val="000000"/>
          <w:sz w:val="20"/>
          <w:u w:val="single"/>
        </w:rPr>
        <w:t>Three and six months ended June 30, 2024</w:t>
      </w:r>
      <w:r>
        <w:rPr>
          <w:rFonts w:ascii="Times New Roman;sans-serif" w:hAnsi="Times New Roman;sans-serif"/>
          <w:b w:val="false"/>
          <w:color w:val="000000"/>
          <w:sz w:val="20"/>
        </w:rPr>
        <w:t>. Segment adjusted EBITDA increased $6.0 million and $5.7 million, compared to the three and six months ended June 30, 2023, respectively, primarily as a result of increased throughput as described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222885"/>
                <wp:effectExtent l="0" t="0" r="0" b="0"/>
                <wp:wrapNone/>
                <wp:docPr id="36" name="Frame3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120" w:after="283"/>
        <w:jc w:val="left"/>
        <w:rPr/>
      </w:pPr>
      <w:hyperlink w:anchor="i69ee8b4d644242bf8ed471293c41640a_7">
        <w:r>
          <w:rPr>
            <w:rStyle w:val="InternetLink"/>
            <w:rFonts w:ascii="Times New Roman;sans-serif" w:hAnsi="Times New Roman;sans-serif"/>
            <w:b w:val="false"/>
            <w:color w:val="000080"/>
            <w:sz w:val="20"/>
            <w:u w:val="single"/>
          </w:rPr>
          <w:t xml:space="preserve">Table </w:t>
        </w:r>
      </w:hyperlink>
      <w:hyperlink w:anchor="i69ee8b4d644242bf8ed471293c41640a_7">
        <w:r>
          <w:rPr>
            <w:rStyle w:val="InternetLink"/>
            <w:rFonts w:ascii="Times New Roman;sans-serif" w:hAnsi="Times New Roman;sans-serif"/>
            <w:b w:val="false"/>
            <w:color w:val="000080"/>
            <w:sz w:val="20"/>
            <w:u w:val="single"/>
          </w:rPr>
          <w:t>of</w:t>
        </w:r>
      </w:hyperlink>
      <w:hyperlink w:anchor="i69ee8b4d644242bf8ed471293c41640a_7">
        <w:r>
          <w:rPr>
            <w:rStyle w:val="InternetLink"/>
            <w:rFonts w:ascii="Times New Roman;sans-serif" w:hAnsi="Times New Roman;sans-serif"/>
            <w:b w:val="false"/>
            <w:color w:val="000080"/>
            <w:sz w:val="20"/>
            <w:u w:val="single"/>
          </w:rPr>
          <w:t xml:space="preserve"> Contents</w:t>
        </w:r>
      </w:hyperlink>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ans-serif" w:hAnsi="Times New Roman;sans-serif"/>
          <w:b/>
          <w:i/>
          <w:color w:val="000000"/>
          <w:sz w:val="20"/>
        </w:rPr>
        <w:t>Permian.</w:t>
      </w:r>
      <w:r>
        <w:rPr>
          <w:color w:val="000000"/>
        </w:rPr>
        <w: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throughput for our Permian reportable segment follows.</w:t>
      </w:r>
    </w:p>
    <w:tbl>
      <w:tblPr>
        <w:tblW w:w="10205" w:type="dxa"/>
        <w:jc w:val="left"/>
        <w:tblInd w:w="0" w:type="dxa"/>
        <w:tblLayout w:type="fixed"/>
        <w:tblCellMar>
          <w:top w:w="28" w:type="dxa"/>
          <w:left w:w="28" w:type="dxa"/>
          <w:bottom w:w="28" w:type="dxa"/>
          <w:right w:w="28" w:type="dxa"/>
        </w:tblCellMar>
      </w:tblPr>
      <w:tblGrid>
        <w:gridCol w:w="1184"/>
        <w:gridCol w:w="1042"/>
        <w:gridCol w:w="1045"/>
        <w:gridCol w:w="251"/>
        <w:gridCol w:w="242"/>
        <w:gridCol w:w="216"/>
        <w:gridCol w:w="216"/>
        <w:gridCol w:w="216"/>
        <w:gridCol w:w="216"/>
        <w:gridCol w:w="250"/>
        <w:gridCol w:w="216"/>
        <w:gridCol w:w="216"/>
        <w:gridCol w:w="109"/>
        <w:gridCol w:w="109"/>
        <w:gridCol w:w="109"/>
        <w:gridCol w:w="305"/>
        <w:gridCol w:w="305"/>
        <w:gridCol w:w="306"/>
        <w:gridCol w:w="109"/>
        <w:gridCol w:w="109"/>
        <w:gridCol w:w="109"/>
        <w:gridCol w:w="300"/>
        <w:gridCol w:w="214"/>
        <w:gridCol w:w="200"/>
        <w:gridCol w:w="200"/>
        <w:gridCol w:w="200"/>
        <w:gridCol w:w="200"/>
        <w:gridCol w:w="300"/>
        <w:gridCol w:w="214"/>
        <w:gridCol w:w="200"/>
        <w:gridCol w:w="109"/>
        <w:gridCol w:w="109"/>
        <w:gridCol w:w="109"/>
        <w:gridCol w:w="281"/>
        <w:gridCol w:w="281"/>
        <w:gridCol w:w="408"/>
      </w:tblGrid>
      <w:tr>
        <w:trPr/>
        <w:tc>
          <w:tcPr>
            <w:tcW w:w="1184"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045"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r>
      <w:tr>
        <w:trPr/>
        <w:tc>
          <w:tcPr>
            <w:tcW w:w="3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34"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Permian</w:t>
            </w:r>
          </w:p>
        </w:tc>
      </w:tr>
      <w:tr>
        <w:trPr/>
        <w:tc>
          <w:tcPr>
            <w:tcW w:w="3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327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daily throughput (MMcf/d) (Double E)</w:t>
            </w:r>
          </w:p>
        </w:tc>
        <w:tc>
          <w:tcPr>
            <w:tcW w:w="4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549 </w:t>
            </w:r>
          </w:p>
        </w:tc>
        <w:tc>
          <w:tcPr>
            <w:tcW w:w="21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508 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254 </w:t>
            </w:r>
          </w:p>
        </w:tc>
        <w:tc>
          <w:tcPr>
            <w:tcW w:w="2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bl>
    <w:p>
      <w:pPr>
        <w:pStyle w:val="TextBody"/>
        <w:bidi w:val="0"/>
        <w:spacing w:lineRule="auto" w:line="288" w:before="120" w:after="283"/>
        <w:jc w:val="left"/>
        <w:rPr/>
      </w:pPr>
      <w:r>
        <w:rPr>
          <w:rFonts w:ascii="Times New Roman;sans-serif" w:hAnsi="Times New Roman;sans-serif"/>
          <w:b w:val="false"/>
          <w:color w:val="000000"/>
          <w:sz w:val="20"/>
          <w:shd w:fill="FFFFFF" w:val="clear"/>
        </w:rPr>
        <w:t xml:space="preserve">Volume throughput for Double E increased </w:t>
      </w:r>
      <w:r>
        <w:rPr>
          <w:rFonts w:ascii="Times New Roman;sans-serif" w:hAnsi="Times New Roman;sans-serif"/>
          <w:b w:val="false"/>
          <w:color w:val="000000"/>
          <w:sz w:val="20"/>
        </w:rPr>
        <w:t>for the three and six months ended June 30, 2024,</w:t>
      </w:r>
      <w:r>
        <w:rPr>
          <w:color w:val="000000"/>
          <w:shd w:fill="FFFFFF" w:val="clear"/>
        </w:rPr>
        <w:t xml:space="preserve"> </w:t>
      </w:r>
      <w:r>
        <w:rPr>
          <w:rFonts w:ascii="Times New Roman;sans-serif" w:hAnsi="Times New Roman;sans-serif"/>
          <w:b w:val="false"/>
          <w:color w:val="000000"/>
          <w:sz w:val="20"/>
        </w:rPr>
        <w:t>compared to the three and six months ended June 30, 2023.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MVC quantities that Double E’s shippers have contracted to with firm transportation service agreements and related negotiated rate agreements:</w:t>
      </w:r>
    </w:p>
    <w:tbl>
      <w:tblPr>
        <w:tblW w:w="7124" w:type="dxa"/>
        <w:jc w:val="left"/>
        <w:tblInd w:w="0" w:type="dxa"/>
        <w:tblLayout w:type="fixed"/>
        <w:tblCellMar>
          <w:top w:w="28" w:type="dxa"/>
          <w:left w:w="28" w:type="dxa"/>
          <w:bottom w:w="28" w:type="dxa"/>
          <w:right w:w="28" w:type="dxa"/>
        </w:tblCellMar>
      </w:tblPr>
      <w:tblGrid>
        <w:gridCol w:w="744"/>
        <w:gridCol w:w="654"/>
        <w:gridCol w:w="657"/>
        <w:gridCol w:w="1484"/>
        <w:gridCol w:w="1484"/>
        <w:gridCol w:w="2101"/>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1484" w:type="dxa"/>
            <w:tcBorders/>
            <w:vAlign w:val="center"/>
          </w:tcPr>
          <w:p>
            <w:pPr>
              <w:pStyle w:val="TableContents"/>
              <w:bidi w:val="0"/>
              <w:spacing w:before="0" w:after="283"/>
              <w:jc w:val="left"/>
              <w:rPr>
                <w:sz w:val="4"/>
                <w:szCs w:val="4"/>
              </w:rPr>
            </w:pPr>
            <w:r>
              <w:rPr>
                <w:sz w:val="4"/>
                <w:szCs w:val="4"/>
              </w:rPr>
            </w:r>
          </w:p>
        </w:tc>
        <w:tc>
          <w:tcPr>
            <w:tcW w:w="2101" w:type="dxa"/>
            <w:tcBorders/>
            <w:vAlign w:val="center"/>
          </w:tcPr>
          <w:p>
            <w:pPr>
              <w:pStyle w:val="TableContents"/>
              <w:bidi w:val="0"/>
              <w:spacing w:before="0" w:after="283"/>
              <w:jc w:val="left"/>
              <w:rPr>
                <w:sz w:val="4"/>
                <w:szCs w:val="4"/>
              </w:rPr>
            </w:pPr>
            <w:r>
              <w:rPr>
                <w:sz w:val="4"/>
                <w:szCs w:val="4"/>
              </w:rPr>
            </w:r>
          </w:p>
        </w:tc>
      </w:tr>
      <w:tr>
        <w:trPr/>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6"/>
              </w:rPr>
            </w:pPr>
            <w:r>
              <w:rPr>
                <w:rFonts w:ascii="Times New Roman;sans-serif" w:hAnsi="Times New Roman;sans-serif"/>
                <w:b/>
                <w:color w:val="000000"/>
                <w:sz w:val="16"/>
              </w:rPr>
              <w:t>(Amounts in MMBTU/day)</w:t>
            </w:r>
          </w:p>
        </w:tc>
        <w:tc>
          <w:tcPr>
            <w:tcW w:w="5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MVC quantities for the year ended December 31,</w:t>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5069"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vAlign w:val="center"/>
          </w:tcPr>
          <w:p>
            <w:pPr>
              <w:pStyle w:val="TableContents"/>
              <w:bidi w:val="0"/>
              <w:spacing w:before="0" w:after="283"/>
              <w:jc w:val="left"/>
              <w:rPr>
                <w:sz w:val="4"/>
                <w:szCs w:val="4"/>
              </w:rPr>
            </w:pPr>
            <w:r>
              <w:rPr>
                <w:sz w:val="4"/>
                <w:szCs w:val="4"/>
              </w:rPr>
            </w:r>
          </w:p>
        </w:tc>
        <w:tc>
          <w:tcPr>
            <w:tcW w:w="5069" w:type="dxa"/>
            <w:gridSpan w:val="3"/>
            <w:tcBorders/>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2024</w:t>
            </w:r>
          </w:p>
        </w:tc>
        <w:tc>
          <w:tcPr>
            <w:tcW w:w="29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1,008,587 </w:t>
            </w:r>
          </w:p>
        </w:tc>
        <w:tc>
          <w:tcPr>
            <w:tcW w:w="21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w:t>
            </w:r>
          </w:p>
        </w:tc>
        <w:tc>
          <w:tcPr>
            <w:tcW w:w="2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1,068,630 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2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1,115,000 </w:t>
            </w:r>
          </w:p>
        </w:tc>
        <w:tc>
          <w:tcPr>
            <w:tcW w:w="21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2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1,115,000 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2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1,115,000 </w:t>
            </w:r>
          </w:p>
        </w:tc>
        <w:tc>
          <w:tcPr>
            <w:tcW w:w="21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2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1,115,000 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2030</w:t>
            </w:r>
          </w:p>
        </w:tc>
        <w:tc>
          <w:tcPr>
            <w:tcW w:w="2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1,115,000 </w:t>
            </w:r>
          </w:p>
        </w:tc>
        <w:tc>
          <w:tcPr>
            <w:tcW w:w="21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2031</w:t>
            </w:r>
          </w:p>
        </w:tc>
        <w:tc>
          <w:tcPr>
            <w:tcW w:w="2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1,009,521 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2032</w:t>
            </w:r>
          </w:p>
        </w:tc>
        <w:tc>
          <w:tcPr>
            <w:tcW w:w="2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240,000 </w:t>
            </w:r>
          </w:p>
        </w:tc>
        <w:tc>
          <w:tcPr>
            <w:tcW w:w="21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2033</w:t>
            </w:r>
          </w:p>
        </w:tc>
        <w:tc>
          <w:tcPr>
            <w:tcW w:w="2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240,000 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2034</w:t>
            </w:r>
          </w:p>
        </w:tc>
        <w:tc>
          <w:tcPr>
            <w:tcW w:w="29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105,753 </w:t>
            </w:r>
          </w:p>
        </w:tc>
        <w:tc>
          <w:tcPr>
            <w:tcW w:w="210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2035</w:t>
            </w:r>
          </w:p>
        </w:tc>
        <w:tc>
          <w:tcPr>
            <w:tcW w:w="2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9,863 </w:t>
            </w:r>
          </w:p>
        </w:tc>
        <w:tc>
          <w:tcPr>
            <w:tcW w:w="21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222885"/>
                <wp:effectExtent l="0" t="0" r="0" b="0"/>
                <wp:wrapNone/>
                <wp:docPr id="37" name="Frame3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120" w:after="283"/>
        <w:jc w:val="left"/>
        <w:rPr/>
      </w:pPr>
      <w:hyperlink w:anchor="i69ee8b4d644242bf8ed471293c41640a_7">
        <w:r>
          <w:rPr>
            <w:rStyle w:val="InternetLink"/>
            <w:rFonts w:ascii="Times New Roman;sans-serif" w:hAnsi="Times New Roman;sans-serif"/>
            <w:b w:val="false"/>
            <w:color w:val="000080"/>
            <w:sz w:val="20"/>
            <w:u w:val="single"/>
          </w:rPr>
          <w:t xml:space="preserve">Table </w:t>
        </w:r>
      </w:hyperlink>
      <w:hyperlink w:anchor="i69ee8b4d644242bf8ed471293c41640a_7">
        <w:r>
          <w:rPr>
            <w:rStyle w:val="InternetLink"/>
            <w:rFonts w:ascii="Times New Roman;sans-serif" w:hAnsi="Times New Roman;sans-serif"/>
            <w:b w:val="false"/>
            <w:color w:val="000080"/>
            <w:sz w:val="20"/>
            <w:u w:val="single"/>
          </w:rPr>
          <w:t>of</w:t>
        </w:r>
      </w:hyperlink>
      <w:hyperlink w:anchor="i69ee8b4d644242bf8ed471293c41640a_7">
        <w:r>
          <w:rPr>
            <w:rStyle w:val="InternetLink"/>
            <w:rFonts w:ascii="Times New Roman;sans-serif" w:hAnsi="Times New Roman;sans-serif"/>
            <w:b w:val="false"/>
            <w:color w:val="000080"/>
            <w:sz w:val="20"/>
            <w:u w:val="single"/>
          </w:rPr>
          <w:t xml:space="preserve">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data for our Permian reportable segment follows.</w:t>
      </w:r>
    </w:p>
    <w:tbl>
      <w:tblPr>
        <w:tblW w:w="10205" w:type="dxa"/>
        <w:jc w:val="left"/>
        <w:tblInd w:w="0" w:type="dxa"/>
        <w:tblLayout w:type="fixed"/>
        <w:tblCellMar>
          <w:top w:w="28" w:type="dxa"/>
          <w:left w:w="28" w:type="dxa"/>
          <w:bottom w:w="28" w:type="dxa"/>
          <w:right w:w="28" w:type="dxa"/>
        </w:tblCellMar>
      </w:tblPr>
      <w:tblGrid>
        <w:gridCol w:w="1050"/>
        <w:gridCol w:w="836"/>
        <w:gridCol w:w="814"/>
        <w:gridCol w:w="214"/>
        <w:gridCol w:w="626"/>
        <w:gridCol w:w="110"/>
        <w:gridCol w:w="110"/>
        <w:gridCol w:w="110"/>
        <w:gridCol w:w="110"/>
        <w:gridCol w:w="214"/>
        <w:gridCol w:w="626"/>
        <w:gridCol w:w="110"/>
        <w:gridCol w:w="109"/>
        <w:gridCol w:w="109"/>
        <w:gridCol w:w="109"/>
        <w:gridCol w:w="305"/>
        <w:gridCol w:w="305"/>
        <w:gridCol w:w="306"/>
        <w:gridCol w:w="109"/>
        <w:gridCol w:w="109"/>
        <w:gridCol w:w="109"/>
        <w:gridCol w:w="211"/>
        <w:gridCol w:w="721"/>
        <w:gridCol w:w="109"/>
        <w:gridCol w:w="109"/>
        <w:gridCol w:w="109"/>
        <w:gridCol w:w="109"/>
        <w:gridCol w:w="211"/>
        <w:gridCol w:w="721"/>
        <w:gridCol w:w="109"/>
        <w:gridCol w:w="109"/>
        <w:gridCol w:w="109"/>
        <w:gridCol w:w="109"/>
        <w:gridCol w:w="281"/>
        <w:gridCol w:w="281"/>
        <w:gridCol w:w="407"/>
      </w:tblGrid>
      <w:tr>
        <w:trPr/>
        <w:tc>
          <w:tcPr>
            <w:tcW w:w="1050" w:type="dxa"/>
            <w:tcBorders/>
            <w:vAlign w:val="center"/>
          </w:tcPr>
          <w:p>
            <w:pPr>
              <w:pStyle w:val="TableContents"/>
              <w:bidi w:val="0"/>
              <w:spacing w:before="0" w:after="283"/>
              <w:jc w:val="left"/>
              <w:rPr>
                <w:sz w:val="4"/>
                <w:szCs w:val="4"/>
              </w:rPr>
            </w:pPr>
            <w:r>
              <w:rPr>
                <w:sz w:val="4"/>
                <w:szCs w:val="4"/>
              </w:rPr>
            </w:r>
          </w:p>
        </w:tc>
        <w:tc>
          <w:tcPr>
            <w:tcW w:w="836"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5"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Permian</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892 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9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Add:</w:t>
            </w:r>
          </w:p>
        </w:tc>
        <w:tc>
          <w:tcPr>
            <w:tcW w:w="9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Proportional adjusted EBITDA for Double E</w:t>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6,843 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4,594 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Segment adjusted EBITDA </w:t>
            </w:r>
            <w:r>
              <w:rPr>
                <w:rFonts w:ascii="Times New Roman;sans-serif" w:hAnsi="Times New Roman;sans-serif"/>
                <w:b w:val="false"/>
                <w:color w:val="000000"/>
                <w:sz w:val="13"/>
              </w:rPr>
              <w:t>(1)</w:t>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7,697 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5,370 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14,962 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10,443 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r>
    </w:tbl>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 considered meaningful</w:t>
      </w:r>
    </w:p>
    <w:p>
      <w:pPr>
        <w:pStyle w:val="TextBody"/>
        <w:bidi w:val="0"/>
        <w:spacing w:lineRule="auto" w:line="288" w:before="120" w:after="283"/>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Segment adjusted EBITDA is a non-GAAP financial measure.</w:t>
      </w:r>
    </w:p>
    <w:p>
      <w:pPr>
        <w:pStyle w:val="TextBody"/>
        <w:bidi w:val="0"/>
        <w:spacing w:lineRule="auto" w:line="288" w:before="120" w:after="283"/>
        <w:jc w:val="left"/>
        <w:rPr/>
      </w:pPr>
      <w:r>
        <w:rPr>
          <w:rFonts w:ascii="Times New Roman;sans-serif" w:hAnsi="Times New Roman;sans-serif"/>
          <w:b w:val="false"/>
          <w:color w:val="000000"/>
          <w:sz w:val="20"/>
          <w:u w:val="single"/>
        </w:rPr>
        <w:t>Three and six months ended June 30, 2024</w:t>
      </w:r>
      <w:r>
        <w:rPr>
          <w:rFonts w:ascii="Times New Roman;sans-serif" w:hAnsi="Times New Roman;sans-serif"/>
          <w:b w:val="false"/>
          <w:color w:val="000000"/>
          <w:sz w:val="20"/>
        </w:rPr>
        <w:t>. Segment adjusted EBITDA increased</w:t>
      </w:r>
      <w:r>
        <w:rPr>
          <w:color w:val="FF0000"/>
        </w:rPr>
        <w:t> </w:t>
      </w:r>
      <w:r>
        <w:rPr>
          <w:rFonts w:ascii="Times New Roman;sans-serif" w:hAnsi="Times New Roman;sans-serif"/>
          <w:b w:val="false"/>
          <w:color w:val="000000"/>
          <w:sz w:val="20"/>
        </w:rPr>
        <w:t xml:space="preserve">$2.3 million and $4.5 million, compared to the three and six months ended June 30, 2023, primarily as a result of an increase in proportional adjusted EBITDA from our equity method investment in Double 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222885"/>
                <wp:effectExtent l="0" t="0" r="0" b="0"/>
                <wp:wrapNone/>
                <wp:docPr id="38" name="Frame3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120" w:after="283"/>
        <w:jc w:val="left"/>
        <w:rPr/>
      </w:pPr>
      <w:hyperlink w:anchor="i69ee8b4d644242bf8ed471293c41640a_7">
        <w:r>
          <w:rPr>
            <w:rStyle w:val="InternetLink"/>
            <w:rFonts w:ascii="Times New Roman;sans-serif" w:hAnsi="Times New Roman;sans-serif"/>
            <w:b w:val="false"/>
            <w:color w:val="000080"/>
            <w:sz w:val="20"/>
            <w:u w:val="single"/>
          </w:rPr>
          <w:t xml:space="preserve">Table </w:t>
        </w:r>
      </w:hyperlink>
      <w:hyperlink w:anchor="i69ee8b4d644242bf8ed471293c41640a_7">
        <w:r>
          <w:rPr>
            <w:rStyle w:val="InternetLink"/>
            <w:rFonts w:ascii="Times New Roman;sans-serif" w:hAnsi="Times New Roman;sans-serif"/>
            <w:b w:val="false"/>
            <w:color w:val="000080"/>
            <w:sz w:val="20"/>
            <w:u w:val="single"/>
          </w:rPr>
          <w:t>of</w:t>
        </w:r>
      </w:hyperlink>
      <w:hyperlink w:anchor="i69ee8b4d644242bf8ed471293c41640a_7">
        <w:r>
          <w:rPr>
            <w:rStyle w:val="InternetLink"/>
            <w:rFonts w:ascii="Times New Roman;sans-serif" w:hAnsi="Times New Roman;sans-serif"/>
            <w:b w:val="false"/>
            <w:color w:val="000080"/>
            <w:sz w:val="20"/>
            <w:u w:val="single"/>
          </w:rPr>
          <w:t xml:space="preserve"> Contents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Piceance.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throughput for our Piceance reportable segment follows.</w:t>
      </w:r>
    </w:p>
    <w:tbl>
      <w:tblPr>
        <w:tblW w:w="10205" w:type="dxa"/>
        <w:jc w:val="left"/>
        <w:tblInd w:w="0" w:type="dxa"/>
        <w:tblLayout w:type="fixed"/>
        <w:tblCellMar>
          <w:top w:w="28" w:type="dxa"/>
          <w:left w:w="28" w:type="dxa"/>
          <w:bottom w:w="28" w:type="dxa"/>
          <w:right w:w="28" w:type="dxa"/>
        </w:tblCellMar>
      </w:tblPr>
      <w:tblGrid>
        <w:gridCol w:w="1169"/>
        <w:gridCol w:w="1029"/>
        <w:gridCol w:w="1032"/>
        <w:gridCol w:w="251"/>
        <w:gridCol w:w="242"/>
        <w:gridCol w:w="217"/>
        <w:gridCol w:w="217"/>
        <w:gridCol w:w="217"/>
        <w:gridCol w:w="217"/>
        <w:gridCol w:w="251"/>
        <w:gridCol w:w="242"/>
        <w:gridCol w:w="217"/>
        <w:gridCol w:w="109"/>
        <w:gridCol w:w="109"/>
        <w:gridCol w:w="109"/>
        <w:gridCol w:w="305"/>
        <w:gridCol w:w="305"/>
        <w:gridCol w:w="306"/>
        <w:gridCol w:w="109"/>
        <w:gridCol w:w="109"/>
        <w:gridCol w:w="109"/>
        <w:gridCol w:w="300"/>
        <w:gridCol w:w="215"/>
        <w:gridCol w:w="201"/>
        <w:gridCol w:w="201"/>
        <w:gridCol w:w="201"/>
        <w:gridCol w:w="201"/>
        <w:gridCol w:w="300"/>
        <w:gridCol w:w="215"/>
        <w:gridCol w:w="201"/>
        <w:gridCol w:w="109"/>
        <w:gridCol w:w="109"/>
        <w:gridCol w:w="109"/>
        <w:gridCol w:w="281"/>
        <w:gridCol w:w="281"/>
        <w:gridCol w:w="410"/>
      </w:tblGrid>
      <w:tr>
        <w:trPr/>
        <w:tc>
          <w:tcPr>
            <w:tcW w:w="1169"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3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5"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Piceance</w:t>
            </w:r>
          </w:p>
        </w:tc>
      </w:tr>
      <w:tr>
        <w:trPr/>
        <w:tc>
          <w:tcPr>
            <w:tcW w:w="3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323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Aggregate average daily throughput (MMcf/d)</w:t>
            </w:r>
          </w:p>
        </w:tc>
        <w:tc>
          <w:tcPr>
            <w:tcW w:w="4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289 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297 </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292 </w:t>
            </w:r>
          </w:p>
        </w:tc>
        <w:tc>
          <w:tcPr>
            <w:tcW w:w="20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r>
    </w:tbl>
    <w:p>
      <w:pPr>
        <w:pStyle w:val="TextBody"/>
        <w:bidi w:val="0"/>
        <w:spacing w:lineRule="auto" w:line="288" w:before="120" w:after="283"/>
        <w:jc w:val="left"/>
        <w:rPr/>
      </w:pPr>
      <w:r>
        <w:rPr>
          <w:rFonts w:ascii="Times New Roman;sans-serif" w:hAnsi="Times New Roman;sans-serif"/>
          <w:b w:val="false"/>
          <w:color w:val="000000"/>
          <w:sz w:val="20"/>
        </w:rPr>
        <w:t>Volume throughput decreased for the three months ended June 30, 2024,</w:t>
      </w:r>
      <w:r>
        <w:rPr>
          <w:color w:val="000000"/>
          <w:shd w:fill="FFFFFF" w:val="clear"/>
        </w:rPr>
        <w:t xml:space="preserve"> </w:t>
      </w:r>
      <w:r>
        <w:rPr>
          <w:rFonts w:ascii="Times New Roman;sans-serif" w:hAnsi="Times New Roman;sans-serif"/>
          <w:b w:val="false"/>
          <w:color w:val="000000"/>
          <w:sz w:val="20"/>
        </w:rPr>
        <w:t>compared to the three months ended June 30, 2023,</w:t>
      </w:r>
      <w:r>
        <w:rPr>
          <w:color w:val="000000"/>
          <w:shd w:fill="FFFFFF" w:val="clear"/>
        </w:rPr>
        <w:t xml:space="preserve"> </w:t>
      </w:r>
      <w:r>
        <w:rPr>
          <w:rFonts w:ascii="Times New Roman;sans-serif" w:hAnsi="Times New Roman;sans-serif"/>
          <w:b w:val="false"/>
          <w:color w:val="000000"/>
          <w:sz w:val="20"/>
        </w:rPr>
        <w:t>primarily as a result of natural production declines, offset by 33 new well connections that came online subsequent to June 30, 2023.</w:t>
      </w:r>
    </w:p>
    <w:p>
      <w:pPr>
        <w:pStyle w:val="TextBody"/>
        <w:bidi w:val="0"/>
        <w:spacing w:lineRule="auto" w:line="288" w:before="120" w:after="283"/>
        <w:jc w:val="left"/>
        <w:rPr/>
      </w:pPr>
      <w:r>
        <w:rPr>
          <w:rFonts w:ascii="Times New Roman;sans-serif" w:hAnsi="Times New Roman;sans-serif"/>
          <w:b w:val="false"/>
          <w:color w:val="000000"/>
          <w:sz w:val="20"/>
        </w:rPr>
        <w:t>Volume throughput increased for the six months ended June 30, 2024,</w:t>
      </w:r>
      <w:r>
        <w:rPr>
          <w:color w:val="000000"/>
          <w:shd w:fill="FFFFFF" w:val="clear"/>
        </w:rPr>
        <w:t xml:space="preserve"> </w:t>
      </w:r>
      <w:r>
        <w:rPr>
          <w:rFonts w:ascii="Times New Roman;sans-serif" w:hAnsi="Times New Roman;sans-serif"/>
          <w:b w:val="false"/>
          <w:color w:val="000000"/>
          <w:sz w:val="20"/>
        </w:rPr>
        <w:t>compared to the six months ended June 30, 2023,</w:t>
      </w:r>
      <w:r>
        <w:rPr>
          <w:color w:val="000000"/>
          <w:shd w:fill="FFFFFF" w:val="clear"/>
        </w:rPr>
        <w:t xml:space="preserve"> </w:t>
      </w:r>
      <w:r>
        <w:rPr>
          <w:rFonts w:ascii="Times New Roman;sans-serif" w:hAnsi="Times New Roman;sans-serif"/>
          <w:b w:val="false"/>
          <w:color w:val="000000"/>
          <w:sz w:val="20"/>
        </w:rPr>
        <w:t>primarily as a result of 33 new well connections that came online subsequent to June 30, 2023, partially offset by natural production declines.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data for our Piceance reportable segment follows.</w:t>
      </w:r>
    </w:p>
    <w:tbl>
      <w:tblPr>
        <w:tblW w:w="10205" w:type="dxa"/>
        <w:jc w:val="left"/>
        <w:tblInd w:w="0" w:type="dxa"/>
        <w:tblLayout w:type="fixed"/>
        <w:tblCellMar>
          <w:top w:w="28" w:type="dxa"/>
          <w:left w:w="28" w:type="dxa"/>
          <w:bottom w:w="28" w:type="dxa"/>
          <w:right w:w="28" w:type="dxa"/>
        </w:tblCellMar>
      </w:tblPr>
      <w:tblGrid>
        <w:gridCol w:w="1074"/>
        <w:gridCol w:w="724"/>
        <w:gridCol w:w="729"/>
        <w:gridCol w:w="211"/>
        <w:gridCol w:w="721"/>
        <w:gridCol w:w="109"/>
        <w:gridCol w:w="109"/>
        <w:gridCol w:w="109"/>
        <w:gridCol w:w="109"/>
        <w:gridCol w:w="211"/>
        <w:gridCol w:w="721"/>
        <w:gridCol w:w="109"/>
        <w:gridCol w:w="109"/>
        <w:gridCol w:w="109"/>
        <w:gridCol w:w="109"/>
        <w:gridCol w:w="305"/>
        <w:gridCol w:w="305"/>
        <w:gridCol w:w="306"/>
        <w:gridCol w:w="109"/>
        <w:gridCol w:w="109"/>
        <w:gridCol w:w="109"/>
        <w:gridCol w:w="211"/>
        <w:gridCol w:w="721"/>
        <w:gridCol w:w="109"/>
        <w:gridCol w:w="109"/>
        <w:gridCol w:w="109"/>
        <w:gridCol w:w="109"/>
        <w:gridCol w:w="211"/>
        <w:gridCol w:w="721"/>
        <w:gridCol w:w="109"/>
        <w:gridCol w:w="109"/>
        <w:gridCol w:w="109"/>
        <w:gridCol w:w="109"/>
        <w:gridCol w:w="281"/>
        <w:gridCol w:w="281"/>
        <w:gridCol w:w="401"/>
      </w:tblGrid>
      <w:tr>
        <w:trPr/>
        <w:tc>
          <w:tcPr>
            <w:tcW w:w="107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8"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Piceance</w:t>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25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services and related fees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38,450 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NGLs and condensate sales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19,963 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44,908 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natural gas and NGLs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and maintenance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asset sales, net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5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20,103 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40,042 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Add:</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related to capital reimbursement activity</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on asset sales, net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3" w:type="dxa"/>
            <w:gridSpan w:val="3"/>
            <w:tcBorders/>
            <w:vAlign w:val="center"/>
          </w:tcPr>
          <w:p>
            <w:pPr>
              <w:pStyle w:val="TableContents"/>
              <w:bidi w:val="0"/>
              <w:spacing w:before="0" w:after="283"/>
              <w:jc w:val="left"/>
              <w:rPr>
                <w:sz w:val="4"/>
                <w:szCs w:val="4"/>
              </w:rPr>
            </w:pPr>
            <w:r>
              <w:rPr>
                <w:sz w:val="4"/>
                <w:szCs w:val="4"/>
              </w:rPr>
            </w:r>
          </w:p>
        </w:tc>
      </w:tr>
      <w:tr>
        <w:trPr/>
        <w:tc>
          <w:tcPr>
            <w:tcW w:w="252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7"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Segment adjusted EBITDA </w:t>
            </w:r>
            <w:r>
              <w:rPr>
                <w:rFonts w:ascii="Times New Roman;sans-serif" w:hAnsi="Times New Roman;sans-serif"/>
                <w:b w:val="false"/>
                <w:color w:val="000000"/>
                <w:sz w:val="13"/>
              </w:rPr>
              <w:t>(1)</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28,081 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28,348 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w:t>
      </w:r>
    </w:p>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*Not considered meaningful</w:t>
      </w:r>
    </w:p>
    <w:p>
      <w:pPr>
        <w:pStyle w:val="TextBody"/>
        <w:bidi w:val="0"/>
        <w:spacing w:lineRule="auto" w:line="288" w:before="120" w:after="283"/>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Segment adjusted EBITDA is a non-GAAP financial measure.</w:t>
      </w:r>
    </w:p>
    <w:p>
      <w:pPr>
        <w:pStyle w:val="TextBody"/>
        <w:bidi w:val="0"/>
        <w:spacing w:lineRule="auto" w:line="288" w:before="120" w:after="283"/>
        <w:jc w:val="left"/>
        <w:rPr/>
      </w:pPr>
      <w:r>
        <w:rPr>
          <w:rFonts w:ascii="Times New Roman;sans-serif" w:hAnsi="Times New Roman;sans-serif"/>
          <w:b w:val="false"/>
          <w:color w:val="000000"/>
          <w:sz w:val="20"/>
          <w:u w:val="single"/>
        </w:rPr>
        <w:t>Three and six months ended June 30, 2024</w:t>
      </w:r>
      <w:r>
        <w:rPr>
          <w:rFonts w:ascii="Times New Roman;sans-serif" w:hAnsi="Times New Roman;sans-serif"/>
          <w:b w:val="false"/>
          <w:color w:val="000000"/>
          <w:sz w:val="20"/>
        </w:rPr>
        <w:t xml:space="preserve">. Segment adjusted EBITDA decreased $1.5 million and $0.3 million, compared to the three and six months ended June 30, 2023 primarily related to the contractual step-downs.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222885"/>
                <wp:effectExtent l="0" t="0" r="0" b="0"/>
                <wp:wrapNone/>
                <wp:docPr id="39" name="Frame3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120" w:after="283"/>
        <w:jc w:val="left"/>
        <w:rPr/>
      </w:pPr>
      <w:hyperlink w:anchor="i69ee8b4d644242bf8ed471293c41640a_7">
        <w:r>
          <w:rPr>
            <w:rStyle w:val="InternetLink"/>
            <w:rFonts w:ascii="Times New Roman;sans-serif" w:hAnsi="Times New Roman;sans-serif"/>
            <w:b w:val="false"/>
            <w:color w:val="000080"/>
            <w:sz w:val="20"/>
            <w:u w:val="single"/>
          </w:rPr>
          <w:t xml:space="preserve">Table </w:t>
        </w:r>
      </w:hyperlink>
      <w:hyperlink w:anchor="i69ee8b4d644242bf8ed471293c41640a_7">
        <w:r>
          <w:rPr>
            <w:rStyle w:val="InternetLink"/>
            <w:rFonts w:ascii="Times New Roman;sans-serif" w:hAnsi="Times New Roman;sans-serif"/>
            <w:b w:val="false"/>
            <w:color w:val="000080"/>
            <w:sz w:val="20"/>
            <w:u w:val="single"/>
          </w:rPr>
          <w:t>of</w:t>
        </w:r>
      </w:hyperlink>
      <w:hyperlink w:anchor="i69ee8b4d644242bf8ed471293c41640a_7">
        <w:r>
          <w:rPr>
            <w:rStyle w:val="InternetLink"/>
            <w:rFonts w:ascii="Times New Roman;sans-serif" w:hAnsi="Times New Roman;sans-serif"/>
            <w:b w:val="false"/>
            <w:color w:val="000080"/>
            <w:sz w:val="20"/>
            <w:u w:val="single"/>
          </w:rPr>
          <w:t xml:space="preserve"> Contents</w:t>
        </w:r>
      </w:hyperlink>
    </w:p>
    <w:p>
      <w:pPr>
        <w:pStyle w:val="TextBody"/>
        <w:bidi w:val="0"/>
        <w:spacing w:lineRule="auto" w:line="288" w:before="120" w:after="283"/>
        <w:jc w:val="left"/>
        <w:rPr/>
      </w:pPr>
      <w:r>
        <w:rPr>
          <w:rFonts w:ascii="Times New Roman;sans-serif" w:hAnsi="Times New Roman;sans-serif"/>
          <w:b/>
          <w:i/>
          <w:color w:val="000000"/>
          <w:sz w:val="20"/>
        </w:rPr>
        <w:t>Barnett.</w:t>
      </w:r>
      <w:r>
        <w:rPr>
          <w:color w:val="000000"/>
        </w:rPr>
        <w:t>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throughput for our Barnett reportable segment follows.</w:t>
      </w:r>
    </w:p>
    <w:tbl>
      <w:tblPr>
        <w:tblW w:w="10205" w:type="dxa"/>
        <w:jc w:val="left"/>
        <w:tblInd w:w="0" w:type="dxa"/>
        <w:tblLayout w:type="fixed"/>
        <w:tblCellMar>
          <w:top w:w="28" w:type="dxa"/>
          <w:left w:w="28" w:type="dxa"/>
          <w:bottom w:w="28" w:type="dxa"/>
          <w:right w:w="28" w:type="dxa"/>
        </w:tblCellMar>
      </w:tblPr>
      <w:tblGrid>
        <w:gridCol w:w="1069"/>
        <w:gridCol w:w="942"/>
        <w:gridCol w:w="943"/>
        <w:gridCol w:w="251"/>
        <w:gridCol w:w="249"/>
        <w:gridCol w:w="243"/>
        <w:gridCol w:w="243"/>
        <w:gridCol w:w="243"/>
        <w:gridCol w:w="243"/>
        <w:gridCol w:w="251"/>
        <w:gridCol w:w="249"/>
        <w:gridCol w:w="243"/>
        <w:gridCol w:w="109"/>
        <w:gridCol w:w="109"/>
        <w:gridCol w:w="109"/>
        <w:gridCol w:w="305"/>
        <w:gridCol w:w="305"/>
        <w:gridCol w:w="306"/>
        <w:gridCol w:w="109"/>
        <w:gridCol w:w="109"/>
        <w:gridCol w:w="109"/>
        <w:gridCol w:w="300"/>
        <w:gridCol w:w="226"/>
        <w:gridCol w:w="223"/>
        <w:gridCol w:w="223"/>
        <w:gridCol w:w="223"/>
        <w:gridCol w:w="223"/>
        <w:gridCol w:w="300"/>
        <w:gridCol w:w="226"/>
        <w:gridCol w:w="223"/>
        <w:gridCol w:w="109"/>
        <w:gridCol w:w="109"/>
        <w:gridCol w:w="109"/>
        <w:gridCol w:w="281"/>
        <w:gridCol w:w="281"/>
        <w:gridCol w:w="410"/>
      </w:tblGrid>
      <w:tr>
        <w:trPr/>
        <w:tc>
          <w:tcPr>
            <w:tcW w:w="1069" w:type="dxa"/>
            <w:tcBorders/>
            <w:vAlign w:val="center"/>
          </w:tcPr>
          <w:p>
            <w:pPr>
              <w:pStyle w:val="TableContents"/>
              <w:bidi w:val="0"/>
              <w:spacing w:before="0" w:after="283"/>
              <w:jc w:val="left"/>
              <w:rPr>
                <w:sz w:val="4"/>
                <w:szCs w:val="4"/>
              </w:rPr>
            </w:pPr>
            <w:r>
              <w:rPr>
                <w:sz w:val="4"/>
                <w:szCs w:val="4"/>
              </w:rPr>
            </w:r>
          </w:p>
        </w:tc>
        <w:tc>
          <w:tcPr>
            <w:tcW w:w="942" w:type="dxa"/>
            <w:tcBorders/>
            <w:vAlign w:val="center"/>
          </w:tcPr>
          <w:p>
            <w:pPr>
              <w:pStyle w:val="TableContents"/>
              <w:bidi w:val="0"/>
              <w:spacing w:before="0" w:after="283"/>
              <w:jc w:val="left"/>
              <w:rPr>
                <w:sz w:val="4"/>
                <w:szCs w:val="4"/>
              </w:rPr>
            </w:pPr>
            <w:r>
              <w:rPr>
                <w:sz w:val="4"/>
                <w:szCs w:val="4"/>
              </w:rPr>
            </w:r>
          </w:p>
        </w:tc>
        <w:tc>
          <w:tcPr>
            <w:tcW w:w="94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1"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Barnett</w:t>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7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6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29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Average daily throughput (MMcf/d)</w:t>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182 </w:t>
            </w:r>
          </w:p>
        </w:tc>
        <w:tc>
          <w:tcPr>
            <w:tcW w:w="24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191 </w:t>
            </w:r>
          </w:p>
        </w:tc>
        <w:tc>
          <w:tcPr>
            <w:tcW w:w="2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Volume throughput continues to be impacted by temporary production curtailments associated with reductions in commodity pricing.</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Financial data for our Barnett reportable segment follows.</w:t>
      </w:r>
    </w:p>
    <w:tbl>
      <w:tblPr>
        <w:tblW w:w="10205" w:type="dxa"/>
        <w:jc w:val="left"/>
        <w:tblInd w:w="0" w:type="dxa"/>
        <w:tblLayout w:type="fixed"/>
        <w:tblCellMar>
          <w:top w:w="28" w:type="dxa"/>
          <w:left w:w="28" w:type="dxa"/>
          <w:bottom w:w="28" w:type="dxa"/>
          <w:right w:w="28" w:type="dxa"/>
        </w:tblCellMar>
      </w:tblPr>
      <w:tblGrid>
        <w:gridCol w:w="1125"/>
        <w:gridCol w:w="790"/>
        <w:gridCol w:w="794"/>
        <w:gridCol w:w="213"/>
        <w:gridCol w:w="623"/>
        <w:gridCol w:w="110"/>
        <w:gridCol w:w="110"/>
        <w:gridCol w:w="110"/>
        <w:gridCol w:w="110"/>
        <w:gridCol w:w="213"/>
        <w:gridCol w:w="623"/>
        <w:gridCol w:w="110"/>
        <w:gridCol w:w="109"/>
        <w:gridCol w:w="109"/>
        <w:gridCol w:w="109"/>
        <w:gridCol w:w="305"/>
        <w:gridCol w:w="305"/>
        <w:gridCol w:w="306"/>
        <w:gridCol w:w="109"/>
        <w:gridCol w:w="109"/>
        <w:gridCol w:w="109"/>
        <w:gridCol w:w="211"/>
        <w:gridCol w:w="721"/>
        <w:gridCol w:w="109"/>
        <w:gridCol w:w="109"/>
        <w:gridCol w:w="109"/>
        <w:gridCol w:w="109"/>
        <w:gridCol w:w="211"/>
        <w:gridCol w:w="721"/>
        <w:gridCol w:w="109"/>
        <w:gridCol w:w="109"/>
        <w:gridCol w:w="109"/>
        <w:gridCol w:w="109"/>
        <w:gridCol w:w="281"/>
        <w:gridCol w:w="281"/>
        <w:gridCol w:w="406"/>
      </w:tblGrid>
      <w:tr>
        <w:trPr/>
        <w:tc>
          <w:tcPr>
            <w:tcW w:w="1125"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3"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2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96" w:type="dxa"/>
            <w:gridSpan w:val="3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Barnett</w:t>
            </w:r>
          </w:p>
        </w:tc>
      </w:tr>
      <w:tr>
        <w:trPr/>
        <w:tc>
          <w:tcPr>
            <w:tcW w:w="2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3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27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w:t>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Gathering services and related fees</w:t>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9,358 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c>
      </w:tr>
      <w:tr>
        <w:trPr/>
        <w:tc>
          <w:tcPr>
            <w:tcW w:w="2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Natural gas, NGLs and condensate sales</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r>
      <w:tr>
        <w:trPr/>
        <w:tc>
          <w:tcPr>
            <w:tcW w:w="27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 xml:space="preserve">Other revenues </w:t>
            </w:r>
            <w:r>
              <w:rPr>
                <w:rFonts w:ascii="Times New Roman;sans-serif" w:hAnsi="Times New Roman;sans-serif"/>
                <w:b w:val="false"/>
                <w:color w:val="000000"/>
                <w:sz w:val="13"/>
              </w:rPr>
              <w:t>(1)</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c>
      </w:tr>
      <w:tr>
        <w:trPr/>
        <w:tc>
          <w:tcPr>
            <w:tcW w:w="27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10,934 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11,266 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20,794 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r>
      <w:tr>
        <w:trPr/>
        <w:tc>
          <w:tcPr>
            <w:tcW w:w="2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9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Operation and maintenance</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4,561 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r>
      <w:tr>
        <w:trPr/>
        <w:tc>
          <w:tcPr>
            <w:tcW w:w="2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c>
      </w:tr>
      <w:tr>
        <w:trPr/>
        <w:tc>
          <w:tcPr>
            <w:tcW w:w="27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3,820 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3,798 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r>
              <w:rPr>
                <w:rFonts w:ascii="Times New Roman;sans-serif" w:hAnsi="Times New Roman;sans-serif"/>
                <w:b w:val="false"/>
                <w:color w:val="000000"/>
                <w:sz w:val="20"/>
              </w:rPr>
              <w:t>%</w:t>
            </w:r>
          </w:p>
        </w:tc>
      </w:tr>
      <w:tr>
        <w:trPr/>
        <w:tc>
          <w:tcPr>
            <w:tcW w:w="2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Gain on asset sales, net</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(100%)</w:t>
            </w:r>
          </w:p>
        </w:tc>
      </w:tr>
      <w:tr>
        <w:trPr/>
        <w:tc>
          <w:tcPr>
            <w:tcW w:w="2709"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27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9,235 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8,673 </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c>
      </w:tr>
      <w:tr>
        <w:trPr/>
        <w:tc>
          <w:tcPr>
            <w:tcW w:w="2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Add:</w:t>
            </w:r>
          </w:p>
        </w:tc>
        <w:tc>
          <w:tcPr>
            <w:tcW w:w="9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4,054 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4,033 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related to capital reimbursement activity</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(333)</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(328)</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Gain on asset sales, net</w:t>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30"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8" w:type="dxa"/>
            <w:gridSpan w:val="3"/>
            <w:tcBorders/>
            <w:vAlign w:val="center"/>
          </w:tcPr>
          <w:p>
            <w:pPr>
              <w:pStyle w:val="TableContents"/>
              <w:bidi w:val="0"/>
              <w:spacing w:before="0" w:after="283"/>
              <w:jc w:val="left"/>
              <w:rPr>
                <w:sz w:val="4"/>
                <w:szCs w:val="4"/>
              </w:rPr>
            </w:pPr>
            <w:r>
              <w:rPr>
                <w:sz w:val="4"/>
                <w:szCs w:val="4"/>
              </w:rPr>
            </w:r>
          </w:p>
        </w:tc>
      </w:tr>
      <w:tr>
        <w:trPr/>
        <w:tc>
          <w:tcPr>
            <w:tcW w:w="27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Times New Roman;sans-serif" w:hAnsi="Times New Roman;sans-serif"/>
                <w:b w:val="false"/>
                <w:color w:val="000000"/>
                <w:sz w:val="20"/>
              </w:rPr>
              <w:t>Segment adjusted EBITDA</w:t>
            </w:r>
            <w:r>
              <w:rPr>
                <w:color w:val="000000"/>
              </w:rPr>
              <w:t xml:space="preserve"> </w:t>
            </w:r>
            <w:r>
              <w:rPr>
                <w:rFonts w:ascii="Times New Roman;sans-serif" w:hAnsi="Times New Roman;sans-serif"/>
                <w:b w:val="false"/>
                <w:color w:val="000000"/>
                <w:sz w:val="13"/>
              </w:rPr>
              <w:t>(2)</w:t>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5,420 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7,269 </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14,296 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w:t>
      </w:r>
    </w:p>
    <w:p>
      <w:pPr>
        <w:pStyle w:val="TextBody"/>
        <w:bidi w:val="0"/>
        <w:spacing w:lineRule="auto" w:line="288" w:before="120" w:after="60"/>
        <w:jc w:val="left"/>
        <w:rPr>
          <w:rFonts w:ascii="Times New Roman;sans-serif" w:hAnsi="Times New Roman;sans-serif"/>
          <w:b w:val="false"/>
          <w:color w:val="000000"/>
          <w:sz w:val="18"/>
        </w:rPr>
      </w:pPr>
      <w:r>
        <w:rPr>
          <w:rFonts w:ascii="Times New Roman;sans-serif" w:hAnsi="Times New Roman;sans-serif"/>
          <w:b w:val="false"/>
          <w:color w:val="000000"/>
          <w:sz w:val="18"/>
        </w:rPr>
        <w:t>*Not considered meaningful</w:t>
      </w:r>
    </w:p>
    <w:p>
      <w:pPr>
        <w:pStyle w:val="TextBody"/>
        <w:bidi w:val="0"/>
        <w:spacing w:lineRule="auto" w:line="288" w:before="0" w:after="0"/>
        <w:jc w:val="left"/>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Includes the amortization expense associated with our favorable gas gathering contracts as reported in Other revenues.</w:t>
      </w:r>
    </w:p>
    <w:p>
      <w:pPr>
        <w:pStyle w:val="TextBody"/>
        <w:bidi w:val="0"/>
        <w:spacing w:lineRule="auto" w:line="288" w:before="0" w:after="0"/>
        <w:jc w:val="left"/>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Segment adjusted EBITDA is a non-GAAP financial measure.</w:t>
      </w:r>
    </w:p>
    <w:p>
      <w:pPr>
        <w:pStyle w:val="TextBody"/>
        <w:bidi w:val="0"/>
        <w:spacing w:lineRule="auto" w:line="288" w:before="120" w:after="283"/>
        <w:jc w:val="left"/>
        <w:rPr/>
      </w:pPr>
      <w:r>
        <w:rPr>
          <w:rFonts w:ascii="Times New Roman;sans-serif" w:hAnsi="Times New Roman;sans-serif"/>
          <w:b w:val="false"/>
          <w:color w:val="000000"/>
          <w:sz w:val="20"/>
          <w:u w:val="single"/>
        </w:rPr>
        <w:t>Three and six months ended June 30, 2024</w:t>
      </w:r>
      <w:r>
        <w:rPr>
          <w:rFonts w:ascii="Times New Roman;sans-serif" w:hAnsi="Times New Roman;sans-serif"/>
          <w:b w:val="false"/>
          <w:color w:val="000000"/>
          <w:sz w:val="20"/>
        </w:rPr>
        <w:t xml:space="preserve">. Segment adjusted EBITDA decreased $1.8 million and $3.8 million, compared to the three and six months ended June 30, 2023, respectively, primarily as a result of a decrease in gas gathering services revenue.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222885"/>
                <wp:effectExtent l="0" t="0" r="0" b="0"/>
                <wp:wrapNone/>
                <wp:docPr id="40" name="Frame4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120" w:after="283"/>
        <w:jc w:val="left"/>
        <w:rPr/>
      </w:pPr>
      <w:hyperlink w:anchor="i69ee8b4d644242bf8ed471293c41640a_7">
        <w:r>
          <w:rPr>
            <w:rStyle w:val="InternetLink"/>
            <w:rFonts w:ascii="Times New Roman;sans-serif" w:hAnsi="Times New Roman;sans-serif"/>
            <w:b w:val="false"/>
            <w:color w:val="000080"/>
            <w:sz w:val="20"/>
            <w:u w:val="single"/>
          </w:rPr>
          <w:t xml:space="preserve">Table </w:t>
        </w:r>
      </w:hyperlink>
      <w:hyperlink w:anchor="i69ee8b4d644242bf8ed471293c41640a_7">
        <w:r>
          <w:rPr>
            <w:rStyle w:val="InternetLink"/>
            <w:rFonts w:ascii="Times New Roman;sans-serif" w:hAnsi="Times New Roman;sans-serif"/>
            <w:b w:val="false"/>
            <w:color w:val="000080"/>
            <w:sz w:val="20"/>
            <w:u w:val="single"/>
          </w:rPr>
          <w:t>of</w:t>
        </w:r>
      </w:hyperlink>
      <w:hyperlink w:anchor="i69ee8b4d644242bf8ed471293c41640a_7">
        <w:r>
          <w:rPr>
            <w:rStyle w:val="InternetLink"/>
            <w:rFonts w:ascii="Times New Roman;sans-serif" w:hAnsi="Times New Roman;sans-serif"/>
            <w:b w:val="false"/>
            <w:color w:val="000080"/>
            <w:sz w:val="20"/>
            <w:u w:val="single"/>
          </w:rPr>
          <w:t xml:space="preserve"> Contents</w:t>
        </w:r>
      </w:hyperlink>
    </w:p>
    <w:p>
      <w:pPr>
        <w:pStyle w:val="TextBody"/>
        <w:bidi w:val="0"/>
        <w:spacing w:lineRule="auto" w:line="288" w:before="120" w:after="283"/>
        <w:jc w:val="left"/>
        <w:rPr>
          <w:rFonts w:ascii="Times New Roman;sans-serif" w:hAnsi="Times New Roman;sans-serif"/>
          <w:b/>
          <w:color w:val="000000"/>
          <w:sz w:val="22"/>
        </w:rPr>
      </w:pPr>
      <w:r>
        <w:rPr>
          <w:rFonts w:ascii="Times New Roman;sans-serif" w:hAnsi="Times New Roman;sans-serif"/>
          <w:b/>
          <w:color w:val="000000"/>
          <w:sz w:val="22"/>
        </w:rPr>
        <w:t>Corporate and Other Overview for the Three and Six Months Ended June 30, 2024 and 2023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and Other represents those results that are not specifically attributable to a reportable segment or that have not been allocated to our reportable segments, including certain general and administrative expense items, transaction costs, acquisition integration costs and interest expense. Corporate and Other includes intercompany eliminations.</w:t>
      </w:r>
    </w:p>
    <w:tbl>
      <w:tblPr>
        <w:tblW w:w="9881" w:type="dxa"/>
        <w:jc w:val="left"/>
        <w:tblInd w:w="0" w:type="dxa"/>
        <w:tblLayout w:type="fixed"/>
        <w:tblCellMar>
          <w:top w:w="28" w:type="dxa"/>
          <w:left w:w="28" w:type="dxa"/>
          <w:bottom w:w="28" w:type="dxa"/>
          <w:right w:w="28" w:type="dxa"/>
        </w:tblCellMar>
      </w:tblPr>
      <w:tblGrid>
        <w:gridCol w:w="837"/>
        <w:gridCol w:w="734"/>
        <w:gridCol w:w="739"/>
        <w:gridCol w:w="211"/>
        <w:gridCol w:w="721"/>
        <w:gridCol w:w="109"/>
        <w:gridCol w:w="109"/>
        <w:gridCol w:w="109"/>
        <w:gridCol w:w="109"/>
        <w:gridCol w:w="211"/>
        <w:gridCol w:w="616"/>
        <w:gridCol w:w="109"/>
        <w:gridCol w:w="109"/>
        <w:gridCol w:w="109"/>
        <w:gridCol w:w="109"/>
        <w:gridCol w:w="305"/>
        <w:gridCol w:w="305"/>
        <w:gridCol w:w="306"/>
        <w:gridCol w:w="109"/>
        <w:gridCol w:w="109"/>
        <w:gridCol w:w="109"/>
        <w:gridCol w:w="211"/>
        <w:gridCol w:w="721"/>
        <w:gridCol w:w="109"/>
        <w:gridCol w:w="109"/>
        <w:gridCol w:w="109"/>
        <w:gridCol w:w="109"/>
        <w:gridCol w:w="211"/>
        <w:gridCol w:w="721"/>
        <w:gridCol w:w="109"/>
        <w:gridCol w:w="109"/>
        <w:gridCol w:w="109"/>
        <w:gridCol w:w="109"/>
        <w:gridCol w:w="281"/>
        <w:gridCol w:w="281"/>
        <w:gridCol w:w="399"/>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71"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Corporate and Other</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Percentage</w:t>
              <w:br/>
              <w:t>Change</w:t>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Costs and expenses: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6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Transaction costs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35,175 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69,398 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r>
              <w:rPr>
                <w:rFonts w:ascii="Times New Roman;sans-serif" w:hAnsi="Times New Roman;sans-serif"/>
                <w:b w:val="false"/>
                <w:color w:val="000000"/>
                <w:sz w:val="20"/>
              </w:rPr>
              <w:t>%</w:t>
            </w:r>
          </w:p>
        </w:tc>
      </w:tr>
    </w:tbl>
    <w:p>
      <w:pPr>
        <w:pStyle w:val="TextBody"/>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________</w:t>
      </w:r>
    </w:p>
    <w:p>
      <w:pPr>
        <w:pStyle w:val="TextBody"/>
        <w:bidi w:val="0"/>
        <w:spacing w:lineRule="auto" w:line="288" w:before="12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Not considered meaningful</w:t>
      </w:r>
    </w:p>
    <w:p>
      <w:pPr>
        <w:pStyle w:val="TextBody"/>
        <w:bidi w:val="0"/>
        <w:spacing w:lineRule="auto" w:line="288" w:before="120" w:after="283"/>
        <w:jc w:val="left"/>
        <w:rPr/>
      </w:pPr>
      <w:r>
        <w:rPr>
          <w:rFonts w:ascii="Times New Roman;sans-serif" w:hAnsi="Times New Roman;sans-serif"/>
          <w:b w:val="false"/>
          <w:color w:val="000000"/>
          <w:sz w:val="20"/>
          <w:u w:val="single"/>
        </w:rPr>
        <w:t>General and administrative</w:t>
      </w:r>
      <w:r>
        <w:rPr>
          <w:rFonts w:ascii="Times New Roman;sans-serif" w:hAnsi="Times New Roman;sans-serif"/>
          <w:b w:val="false"/>
          <w:color w:val="000000"/>
          <w:sz w:val="20"/>
        </w:rPr>
        <w:t>. General and administrative expenses increased by $3.5 million and $7.5 million for the three and six months ended June 30, 2024,</w:t>
      </w:r>
      <w:r>
        <w:rPr>
          <w:color w:val="000000"/>
          <w:shd w:fill="FFFFFF" w:val="clear"/>
        </w:rPr>
        <w:t xml:space="preserve"> </w:t>
      </w:r>
      <w:r>
        <w:rPr>
          <w:rFonts w:ascii="Times New Roman;sans-serif" w:hAnsi="Times New Roman;sans-serif"/>
          <w:b w:val="false"/>
          <w:color w:val="000000"/>
          <w:sz w:val="20"/>
        </w:rPr>
        <w:t>compared to the three months ended June 30, 2023, respectively, primarily due to increased employee salaries and benefit expense, as well as professional and other expenses associated with our Corporate Reorganization.</w:t>
      </w:r>
    </w:p>
    <w:p>
      <w:pPr>
        <w:pStyle w:val="TextBody"/>
        <w:bidi w:val="0"/>
        <w:spacing w:lineRule="auto" w:line="288" w:before="120" w:after="283"/>
        <w:jc w:val="left"/>
        <w:rPr/>
      </w:pPr>
      <w:r>
        <w:rPr>
          <w:rFonts w:ascii="Times New Roman;sans-serif" w:hAnsi="Times New Roman;sans-serif"/>
          <w:b w:val="false"/>
          <w:color w:val="000000"/>
          <w:sz w:val="20"/>
          <w:u w:val="single"/>
        </w:rPr>
        <w:t>Transaction costs.</w:t>
      </w:r>
      <w:r>
        <w:rPr>
          <w:color w:val="000000"/>
        </w:rPr>
        <w:t xml:space="preserve"> </w:t>
      </w:r>
      <w:r>
        <w:rPr>
          <w:rFonts w:ascii="Times New Roman;sans-serif" w:hAnsi="Times New Roman;sans-serif"/>
          <w:b w:val="false"/>
          <w:color w:val="000000"/>
          <w:sz w:val="20"/>
        </w:rPr>
        <w:t xml:space="preserve">Transaction costs in 2024 are primarily related to the </w:t>
      </w:r>
      <w:r>
        <w:rPr>
          <w:rFonts w:ascii="Times New Roman;sans-serif" w:hAnsi="Times New Roman;sans-serif"/>
          <w:b w:val="false"/>
          <w:i/>
          <w:color w:val="000000"/>
          <w:sz w:val="20"/>
        </w:rPr>
        <w:t>Utica Sale</w:t>
      </w:r>
      <w:r>
        <w:rPr>
          <w:color w:val="000000"/>
        </w:rPr>
        <w:t xml:space="preserve"> </w:t>
      </w:r>
      <w:r>
        <w:rPr>
          <w:rFonts w:ascii="Times New Roman;sans-serif" w:hAnsi="Times New Roman;sans-serif"/>
          <w:b w:val="false"/>
          <w:color w:val="000000"/>
          <w:sz w:val="20"/>
        </w:rPr>
        <w:t>that closed on March 22, 2024, the Mountaineer Transaction that closed on May 1, 2024 and the costs incurred in connection with our Corporate Reorganization and strategic alternatives review .</w:t>
      </w:r>
    </w:p>
    <w:p>
      <w:pPr>
        <w:pStyle w:val="TextBody"/>
        <w:bidi w:val="0"/>
        <w:spacing w:lineRule="auto" w:line="288" w:before="120" w:after="283"/>
        <w:jc w:val="left"/>
        <w:rPr/>
      </w:pPr>
      <w:r>
        <w:rPr>
          <w:rFonts w:ascii="Times New Roman;sans-serif" w:hAnsi="Times New Roman;sans-serif"/>
          <w:b w:val="false"/>
          <w:color w:val="000000"/>
          <w:sz w:val="20"/>
          <w:u w:val="single"/>
        </w:rPr>
        <w:t>Interest expense</w:t>
      </w:r>
      <w:r>
        <w:rPr>
          <w:rFonts w:ascii="Times New Roman;sans-serif" w:hAnsi="Times New Roman;sans-serif"/>
          <w:b w:val="false"/>
          <w:color w:val="000000"/>
          <w:sz w:val="20"/>
        </w:rPr>
        <w:t>. Interest expense decreased $3.7 million for the three months ended June 30, 2024, compared to three months ended June 30, 2023, primarily due to $7.3 million of reduced interest expense in connection with the repayment of the ABL Facility and $3.0 of reduced interest expense as a result of the exchange and repurchase of $209.7 million of the 2025 Senior Notes that occurred in November 2023, partially offset by $5.7 million of increased borrowing costs on the 2026 Unsecured Notes issued in November 2023.</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decreased $0.1 million for the six months ended June 30, 2024, compared to six months ended June 30, 2023, primarily due to $7.8 million of reduced interest expense in connection with the repayment of the ABL Facility and $6.0 of reduced interest expense as a result of the exchange and repurchase of $209.7 million of the 2025 Senior Notes that occurred in November 2023, partially offset by $12.0 million of increased borrowing costs on the 2026 Unsecured Notes issued in November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Liquidity and Capital Resources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rely primarily on internally generated cash flows as well as current cash balance and external financing sources, including commercial bank borrowings, and the issuance of debt, equity and preferred equity securities, and proceeds from potential asset divestitures to fund our capital expenditures. We believe that our ABL Facility and Permian Transmission Credit Facility, together with internally generated cash flows, current cash balance and access to debt or equity capital markets, will be adequate to finance our operations for the next twelve months without adversely impacting our liquidity.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may enter into off-balance sheet arrangements and transactions that can give rise to material off-balance sheet obligations. As of June 30, 2024, our material off-balance sheet arrangements and transactions include (i) letters of credit outstanding against our ABL Facility aggregating to $4.3 million, and (ii) letters of credit outstanding against our Permian Transmission Credit Facility aggregating to $10.5 million. There are no other transactions, arrangements or other relationships with unconsolidated entities or other persons that are reasonably likely to materially affect our liquidity or availability of our capital resources.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in compliance with all covenants contained in the Senior Notes, the ABL Facility and the Permian Transmission Credit Facility. The ABL Facility requires that Summit Holdings not permit (i) the First Lien Net Leverage Ratio (as defined in the ABL Agreement) as of the last day of any fiscal quarter to be greater than 2.50:1.00, or (ii) the Interest Coverage Ratio (as defined in the ABL Agreement) for any fiscal quarter ending on or before December 31, 2024, (x) if no loans under the Credit Agreement are outstanding and unrestricted cash exceeds $200.0 million on such date, 1.50:1.00 and (y) if any loans under the Credit Agreement are outstanding or unrestricted cash is less than such threshold on such date, 1.75:1.00 and (b) thereafter, 1.90:1.00.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222885"/>
                <wp:effectExtent l="0" t="0" r="0" b="0"/>
                <wp:wrapNone/>
                <wp:docPr id="41" name="Frame41"/>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120" w:after="283"/>
        <w:jc w:val="left"/>
        <w:rPr/>
      </w:pPr>
      <w:hyperlink w:anchor="i69ee8b4d644242bf8ed471293c41640a_7">
        <w:r>
          <w:rPr>
            <w:rStyle w:val="InternetLink"/>
            <w:rFonts w:ascii="Times New Roman;sans-serif" w:hAnsi="Times New Roman;sans-serif"/>
            <w:b w:val="false"/>
            <w:color w:val="000080"/>
            <w:sz w:val="20"/>
            <w:u w:val="single"/>
          </w:rPr>
          <w:t xml:space="preserve">Table </w:t>
        </w:r>
      </w:hyperlink>
      <w:hyperlink w:anchor="i69ee8b4d644242bf8ed471293c41640a_7">
        <w:r>
          <w:rPr>
            <w:rStyle w:val="InternetLink"/>
            <w:rFonts w:ascii="Times New Roman;sans-serif" w:hAnsi="Times New Roman;sans-serif"/>
            <w:b w:val="false"/>
            <w:color w:val="000080"/>
            <w:sz w:val="20"/>
            <w:u w:val="single"/>
          </w:rPr>
          <w:t>of</w:t>
        </w:r>
      </w:hyperlink>
      <w:hyperlink w:anchor="i69ee8b4d644242bf8ed471293c41640a_7">
        <w:r>
          <w:rPr>
            <w:rStyle w:val="InternetLink"/>
            <w:rFonts w:ascii="Times New Roman;sans-serif" w:hAnsi="Times New Roman;sans-serif"/>
            <w:b w:val="false"/>
            <w:color w:val="000080"/>
            <w:sz w:val="20"/>
            <w:u w:val="single"/>
          </w:rPr>
          <w:t xml:space="preserve"> Contents</w:t>
        </w:r>
      </w:hyperlink>
    </w:p>
    <w:p>
      <w:pPr>
        <w:pStyle w:val="TextBody"/>
        <w:bidi w:val="0"/>
        <w:spacing w:lineRule="auto" w:line="268" w:before="0" w:after="0"/>
        <w:jc w:val="left"/>
        <w:rPr/>
      </w:pPr>
      <w:r>
        <w:rPr>
          <w:rFonts w:ascii="Times New Roman;sans-serif" w:hAnsi="Times New Roman;sans-serif"/>
          <w:b/>
          <w:i/>
          <w:color w:val="000000"/>
          <w:sz w:val="20"/>
        </w:rPr>
        <w:t>ABL Facility.</w:t>
      </w:r>
      <w:r>
        <w:rPr>
          <w:color w:val="000000"/>
        </w:rPr>
        <w:t xml:space="preserve"> </w:t>
      </w:r>
      <w:r>
        <w:rPr>
          <w:rFonts w:ascii="Times New Roman;sans-serif" w:hAnsi="Times New Roman;sans-serif"/>
          <w:b w:val="false"/>
          <w:color w:val="000000"/>
          <w:sz w:val="20"/>
        </w:rPr>
        <w:t>As of June 30, 2024, we had a $400.0 million revolving ABL Facility with a maturity date of May 1, 2026; provided that if the outstanding amount of the 2025 Senior Notes (or any permitted refinancing indebtedness in respect thereof that has a final maturity, scheduled amortization or any other scheduled repayment, mandatory prepayment, mandatory redemption or sinking fund obligation prior to the date that is 120 days after the Termination Date (as defined in the ABL Agreement)) on such date equals or exceeds $50.0 million, then the ABL Facility will mature on December 13, 2024. As of June 30, 2024, there were no amounts outstanding under the ABL Facility and the available borrowing capacity totaled $371.7 million after giving effect to the issuance thereunder of $4.3 million of outstanding but undrawn irrevocable standby letters of credit and $24.0 million of commitment reserves. For additional information on our refinancing transactions, see Note 16.</w:t>
      </w:r>
    </w:p>
    <w:p>
      <w:pPr>
        <w:pStyle w:val="TextBody"/>
        <w:bidi w:val="0"/>
        <w:spacing w:lineRule="auto" w:line="288" w:before="120" w:after="283"/>
        <w:jc w:val="left"/>
        <w:rPr/>
      </w:pPr>
      <w:r>
        <w:rPr>
          <w:rFonts w:ascii="Times New Roman;sans-serif" w:hAnsi="Times New Roman;sans-serif"/>
          <w:b/>
          <w:i/>
          <w:color w:val="000000"/>
          <w:sz w:val="20"/>
        </w:rPr>
        <w:t>2025 Senior Notes</w:t>
      </w:r>
      <w:r>
        <w:rPr>
          <w:rFonts w:ascii="Times New Roman;sans-serif" w:hAnsi="Times New Roman;sans-serif"/>
          <w:b w:val="false"/>
          <w:color w:val="000000"/>
          <w:sz w:val="20"/>
        </w:rPr>
        <w:t>. In February 2017, the Co-Issuers co-issued $500.0 million of 5.75% senior unsecured notes maturing April 15, 2025 (the “2025 Senior Notes”). As of June 30, 2024, the outstanding balance of the 2025 Senior Notes was $49.8 million. The 2025 Senior Notes were senior, unsecured obligations and ranked equally in right of payment with all of our existing and future senior obligations. The 2025 Senior Notes were effectively subordinated in right of payment to all of our secured indebtedness, to the extent of the collateral securing such indebtedness. As of June 30, 2024, the Co-Issuers could have redeemed all or part of the 2025 Senior Notes at a redemption price of 100.000%, plus accrued and unpaid interest, if any, to, but not including the redemption date. For additional information on our refinancing transactions, see Note 16.</w:t>
      </w:r>
    </w:p>
    <w:p>
      <w:pPr>
        <w:pStyle w:val="TextBody"/>
        <w:bidi w:val="0"/>
        <w:spacing w:lineRule="auto" w:line="288" w:before="120" w:after="283"/>
        <w:jc w:val="left"/>
        <w:rPr/>
      </w:pPr>
      <w:r>
        <w:rPr>
          <w:rFonts w:ascii="Times New Roman;sans-serif" w:hAnsi="Times New Roman;sans-serif"/>
          <w:b/>
          <w:i/>
          <w:color w:val="000000"/>
          <w:sz w:val="20"/>
        </w:rPr>
        <w:t>2026 Secured Notes</w:t>
      </w:r>
      <w:r>
        <w:rPr>
          <w:rFonts w:ascii="Times New Roman;sans-serif" w:hAnsi="Times New Roman;sans-serif"/>
          <w:b w:val="false"/>
          <w:color w:val="000000"/>
          <w:sz w:val="20"/>
        </w:rPr>
        <w:t>. In November 2021, we issued $700.0 million of the 2026 Secured Notes, at a price of 98.5% of face value. Additionally, in November 2022, we issued an additional $85.0 million of 2026 Secured Notes at a price of 99.26% of their face value. The Co-Issuers paid interest on the 2026 Secured Notes semi-annually on April 15 and October 15 of each year, and the 2026 Secured Notes were jointly and severally guaranteed, on a senior second-priority secured basis (subject to permitted liens), by us and each of our restricted subsidiaries that is an obligor under the ABL Facility, or under the 2025 Senior Notes on the issue date of the 2026 Secured Notes. As of June 30, 2024, the outstanding balance of the 2026 Secured Notes was $764.5 million.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2026 Secured Notes would have matured on October 15, 2026; provided that, if the outstanding amount of the 2025 Senior Notes (or any refinancing indebtedness in respect thereof that has a final maturity on or prior to the date that is 91 days after the Initial Maturity Date (as defined in the 2026 Secured Notes Indenture)) is greater than or equal to $50.0 million on January 14, 2025, which is 91 days prior to the scheduled maturity date of the 2025 Senior Notes, then the 2026 Secured Notes would have matured on January 14, 2025.</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Starting in the first quarter of 2023 with respect to the fiscal year ended 2022, and continuing annually through the fiscal year ended 2025, we were required under the terms of the 2026 Secured Notes Indenture to, if we have Excess Cash Flow (as defined in the 2026 Secured Notes Indenture), and subject to our ability to make such an offer under the ABL Facility, offer to purchase an amount of the 2026 Secured Notes, at 100% of the principal amount plus accrued and unpaid interest, equal to 100% of the Excess Cash Flow generated in the prior year. Excess Cash Flow is generally defined as consolidated cash flow minus the sum of capital expenditures and cash payments in respect of permitted investments and permitted restricted payments.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Generally, if we did not offer to purchase designated annual amounts of its 2026 Secured Notes or reduce its first lien capacity under the 2026 Secured Notes Indenture per annum from 2023 through 2025, the interest rate on the 2026 Secured Notes is subject to certain rate escalations. Per the terms of the 2026 Secured Notes Indenture, the designated amounts are $50.0 million aggregate principal amount of the 2026 Secured Notes by April 1, 2023, otherwise the interest rate shall automatically increase by 50 basis points per annum; $100.0 million aggregate principal amount of the 2026 Secured Notes by April 1, 2024, otherwise the interest rate shall automatically increase by 100 basis points per annum (minus any amount previously increased); and $200.0 million aggregate principal amount of the 2026 Secured Notes by April 1, 2025, otherwise the interest rate shall automatically increase by 200 basis points per annum (minus any amount previously increased).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 amount of our Excess Cash Flow for the fiscal year ended 2023, on March 27, 2024, we commenced a cash tender offer to purchase up to $19.3 million aggregate principal amount of the outstanding 2026 Secured Notes at 100% of the principal amount plus accrued and unpaid interest. The cash flow offer expired on April 24, 2024 with $13.6 million tendered and validly accepted and fully discharged as of June 30, 2024.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April 1, 2024, we had not made offers to purchase in the required amount of $100.0 million and the interest rate on the 2026 Secured Notes increased an incremental 50 basis points to 9.50% effective on such date.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May 7, 2024, we commenced a cash tender offer to purchase up to $215.0 million of the outstanding 2026 Secured Notes (the “Asset Sale Offer”). The Asset Sale Offer expired on June 5, 2024 with $6.9 million of the 2026 Secured Notes validly tendered and fully discharged as of June 30,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222885"/>
                <wp:effectExtent l="0" t="0" r="0" b="0"/>
                <wp:wrapNone/>
                <wp:docPr id="42" name="Frame42"/>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120" w:after="283"/>
        <w:jc w:val="left"/>
        <w:rPr/>
      </w:pPr>
      <w:hyperlink w:anchor="i69ee8b4d644242bf8ed471293c41640a_7">
        <w:r>
          <w:rPr>
            <w:rStyle w:val="InternetLink"/>
            <w:rFonts w:ascii="Times New Roman;sans-serif" w:hAnsi="Times New Roman;sans-serif"/>
            <w:b w:val="false"/>
            <w:color w:val="000080"/>
            <w:sz w:val="20"/>
            <w:u w:val="single"/>
          </w:rPr>
          <w:t xml:space="preserve">Table </w:t>
        </w:r>
      </w:hyperlink>
      <w:hyperlink w:anchor="i69ee8b4d644242bf8ed471293c41640a_7">
        <w:r>
          <w:rPr>
            <w:rStyle w:val="InternetLink"/>
            <w:rFonts w:ascii="Times New Roman;sans-serif" w:hAnsi="Times New Roman;sans-serif"/>
            <w:b w:val="false"/>
            <w:color w:val="000080"/>
            <w:sz w:val="20"/>
            <w:u w:val="single"/>
          </w:rPr>
          <w:t>of</w:t>
        </w:r>
      </w:hyperlink>
      <w:hyperlink w:anchor="i69ee8b4d644242bf8ed471293c41640a_7">
        <w:r>
          <w:rPr>
            <w:rStyle w:val="InternetLink"/>
            <w:rFonts w:ascii="Times New Roman;sans-serif" w:hAnsi="Times New Roman;sans-serif"/>
            <w:b w:val="false"/>
            <w:color w:val="000080"/>
            <w:sz w:val="20"/>
            <w:u w:val="single"/>
          </w:rPr>
          <w:t xml:space="preserve">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the extent we made an offer to purchase, and the offer was not fully accepted by the holders of the 2026 Secured Notes, we could have used any remaining amount not accepted for any purpose not prohibited by the 2026 Secured Notes Indenture or the ABL Facility.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on our refinancing transactions, see Note 16.</w:t>
      </w:r>
    </w:p>
    <w:p>
      <w:pPr>
        <w:pStyle w:val="TextBody"/>
        <w:bidi w:val="0"/>
        <w:spacing w:lineRule="auto" w:line="288" w:before="120" w:after="120"/>
        <w:jc w:val="left"/>
        <w:rPr/>
      </w:pPr>
      <w:r>
        <w:rPr>
          <w:rFonts w:ascii="Times New Roman;sans-serif" w:hAnsi="Times New Roman;sans-serif"/>
          <w:b/>
          <w:i/>
          <w:color w:val="000000"/>
          <w:sz w:val="20"/>
        </w:rPr>
        <w:t>2026 Unsecured Notes.</w:t>
      </w:r>
      <w:r>
        <w:rPr>
          <w:color w:val="000000"/>
        </w:rPr>
        <w:t xml:space="preserve"> </w:t>
      </w:r>
      <w:r>
        <w:rPr>
          <w:rFonts w:ascii="Times New Roman;sans-serif" w:hAnsi="Times New Roman;sans-serif"/>
          <w:b w:val="false"/>
          <w:color w:val="000000"/>
          <w:sz w:val="20"/>
        </w:rPr>
        <w:t>In November 2023, we issued a total of $209.5 million aggregate principal amount of 2026 Unsecured Notes in exchange for $180.0 million aggregate principal amount of the 2025 Senior Notes and $29.5 million in cash. The 2026 Unsecured Notes bore interest at 12.00% and would have matured on October 15, 2026, in line with the maturity date of the 2026 Secured Notes. On June 7, 2024, the Co-Issuers, delivered a redemption notice with respect to all $209.5 million of the outstanding 2026 Unsecured Notes at 101.000%. On June 24, 2024, the 2026 Unsecured Notes were fully repaid and discharged. As of June 30, 2024, the 2026 Unsecured Notes were redeemed in full and satisfied and discharged.</w:t>
      </w:r>
    </w:p>
    <w:p>
      <w:pPr>
        <w:pStyle w:val="TextBody"/>
        <w:bidi w:val="0"/>
        <w:spacing w:lineRule="auto" w:line="288" w:before="120" w:after="120"/>
        <w:jc w:val="left"/>
        <w:rPr/>
      </w:pPr>
      <w:r>
        <w:rPr>
          <w:rFonts w:ascii="Times New Roman;sans-serif" w:hAnsi="Times New Roman;sans-serif"/>
          <w:b/>
          <w:i/>
          <w:color w:val="000000"/>
          <w:sz w:val="20"/>
        </w:rPr>
        <w:t>Other.</w:t>
      </w:r>
      <w:r>
        <w:rPr>
          <w:color w:val="000000"/>
        </w:rPr>
        <w:t xml:space="preserve"> </w:t>
      </w:r>
      <w:r>
        <w:rPr>
          <w:rFonts w:ascii="Times New Roman;sans-serif" w:hAnsi="Times New Roman;sans-serif"/>
          <w:b w:val="false"/>
          <w:color w:val="000000"/>
          <w:sz w:val="20"/>
        </w:rPr>
        <w:t>We may in the future use a combination of cash, secured or unsecured borrowings and issuances of our common units or other securities and the proceeds from asset sales to retire or refinance our outstanding debt or Series A Preferred Units through privately negotiated transactions, open market repurchases, redemptions, exchange offers, tender offers or otherwise, but we are under no obligation to do so. Any such transactions occurring prior to the August 1, 2024 Corporate Reorganization may produce allocations of taxable income to a unitholder with respect to such time period, such as gains on asset sales or income from cancellation of indebtedness, that would be large on a per-unit basis relative to the then trading price of our common units and were not, and will not be, accompanied by any corresponding distribution of cash to fund the payment of the resulting tax liability to the unitholder.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2"/>
        </w:rPr>
      </w:pPr>
      <w:r>
        <w:rPr>
          <w:rFonts w:ascii="Times New Roman;sans-serif" w:hAnsi="Times New Roman;sans-serif"/>
          <w:b/>
          <w:color w:val="000000"/>
          <w:sz w:val="22"/>
        </w:rPr>
        <w:t>Cash Flows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the net change in cash and cash equivalents were as follows:</w:t>
      </w:r>
    </w:p>
    <w:tbl>
      <w:tblPr>
        <w:tblW w:w="7193" w:type="dxa"/>
        <w:jc w:val="left"/>
        <w:tblInd w:w="0" w:type="dxa"/>
        <w:tblLayout w:type="fixed"/>
        <w:tblCellMar>
          <w:top w:w="28" w:type="dxa"/>
          <w:left w:w="28" w:type="dxa"/>
          <w:bottom w:w="28" w:type="dxa"/>
          <w:right w:w="28" w:type="dxa"/>
        </w:tblCellMar>
      </w:tblPr>
      <w:tblGrid>
        <w:gridCol w:w="1677"/>
        <w:gridCol w:w="1476"/>
        <w:gridCol w:w="1481"/>
        <w:gridCol w:w="211"/>
        <w:gridCol w:w="826"/>
        <w:gridCol w:w="109"/>
        <w:gridCol w:w="109"/>
        <w:gridCol w:w="109"/>
        <w:gridCol w:w="109"/>
        <w:gridCol w:w="211"/>
        <w:gridCol w:w="721"/>
        <w:gridCol w:w="154"/>
      </w:tblGrid>
      <w:tr>
        <w:trPr/>
        <w:tc>
          <w:tcPr>
            <w:tcW w:w="1677" w:type="dxa"/>
            <w:tcBorders/>
            <w:vAlign w:val="center"/>
          </w:tcPr>
          <w:p>
            <w:pPr>
              <w:pStyle w:val="TableContents"/>
              <w:bidi w:val="0"/>
              <w:spacing w:before="0" w:after="283"/>
              <w:jc w:val="left"/>
              <w:rPr>
                <w:sz w:val="4"/>
                <w:szCs w:val="4"/>
              </w:rPr>
            </w:pPr>
            <w:r>
              <w:rPr>
                <w:sz w:val="4"/>
                <w:szCs w:val="4"/>
              </w:rPr>
            </w:r>
          </w:p>
        </w:tc>
        <w:tc>
          <w:tcPr>
            <w:tcW w:w="1476" w:type="dxa"/>
            <w:tcBorders/>
            <w:vAlign w:val="center"/>
          </w:tcPr>
          <w:p>
            <w:pPr>
              <w:pStyle w:val="TableContents"/>
              <w:bidi w:val="0"/>
              <w:spacing w:before="0" w:after="283"/>
              <w:jc w:val="left"/>
              <w:rPr>
                <w:sz w:val="4"/>
                <w:szCs w:val="4"/>
              </w:rPr>
            </w:pPr>
            <w:r>
              <w:rPr>
                <w:sz w:val="4"/>
                <w:szCs w:val="4"/>
              </w:rPr>
            </w:r>
          </w:p>
        </w:tc>
        <w:tc>
          <w:tcPr>
            <w:tcW w:w="14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 June 30,</w:t>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operating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investing activities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672,038 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(38,217)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financing activities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(559,440)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(12,077)</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3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Net change in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143,571 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Operating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provided by operating activities for the six months ended June 30, 2024 primarily reflected: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a net income of $109.1 million plus positive adjustments of $66.3 million for non-cash operating items; and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 $11.9 million change in working capital accounts.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provided by operating activities for the six months ended June 30, 2023 primarily reflected: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 net loss of $27.7 million plus adjustments of $85.9 million for non-cash operating items;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 $6.5 million change in working capital accounts.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Investing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provided by investing activities during the six months ended June 30, 2024 primarily reflected: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$332.7 million of cash inflows from the proceeds of the sale Ohio Gathering;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$292.3 million of cash inflows from the proceeds of the Utica Sale (excluding Ohio Gathering);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$70.0 million of cash inflows from the proceeds of the Mountaineer Transaction;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$4.4 million of cash inflows from the sale of compressor equipment;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$26.9 million of cash outflows for capital expenditures.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used in investing activities during the six months ended June 30, 2023 primarily reflected: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$32.2 million of cash outflows for capital expenditures;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$3.5 million for cash investments in the Double E Project.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222885"/>
                <wp:effectExtent l="0" t="0" r="0" b="0"/>
                <wp:wrapNone/>
                <wp:docPr id="43" name="Frame4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120" w:after="283"/>
        <w:jc w:val="left"/>
        <w:rPr/>
      </w:pPr>
      <w:hyperlink w:anchor="i69ee8b4d644242bf8ed471293c41640a_7">
        <w:r>
          <w:rPr>
            <w:rStyle w:val="InternetLink"/>
            <w:rFonts w:ascii="Times New Roman;sans-serif" w:hAnsi="Times New Roman;sans-serif"/>
            <w:b w:val="false"/>
            <w:color w:val="000080"/>
            <w:sz w:val="20"/>
            <w:u w:val="single"/>
          </w:rPr>
          <w:t xml:space="preserve">Table </w:t>
        </w:r>
      </w:hyperlink>
      <w:hyperlink w:anchor="i69ee8b4d644242bf8ed471293c41640a_7">
        <w:r>
          <w:rPr>
            <w:rStyle w:val="InternetLink"/>
            <w:rFonts w:ascii="Times New Roman;sans-serif" w:hAnsi="Times New Roman;sans-serif"/>
            <w:b w:val="false"/>
            <w:color w:val="000080"/>
            <w:sz w:val="20"/>
            <w:u w:val="single"/>
          </w:rPr>
          <w:t>of</w:t>
        </w:r>
      </w:hyperlink>
      <w:hyperlink w:anchor="i69ee8b4d644242bf8ed471293c41640a_7">
        <w:r>
          <w:rPr>
            <w:rStyle w:val="InternetLink"/>
            <w:rFonts w:ascii="Times New Roman;sans-serif" w:hAnsi="Times New Roman;sans-serif"/>
            <w:b w:val="false"/>
            <w:color w:val="000080"/>
            <w:sz w:val="20"/>
            <w:u w:val="single"/>
          </w:rPr>
          <w:t xml:space="preserve"> Contents</w:t>
        </w:r>
      </w:hyperlink>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Financing activities.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used in financing activities during the six months ended June 30, 2024 primarily reflected: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$313.0 million of cash outflows for repayments on the ABL Facility;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$209.5 million of cash outflows from the redemption of 2026 Unsecured Notes;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$13.6 million of cash outflows for the Excess Cash Flow Offer;</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$7.6 million of cash outflows for repayments on the Permian Transmission Term Loan; and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$6.9 million of cash outflows for the Asset Sale Offer.</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used in financing activities during the six months ended June 30, 2023 primarily reflected: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 xml:space="preserve">$37.0 million of cash outflows for repayments on the ABL Facility; </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$5.1 million of cash outflows for repayments on the Permian Transmission Term Loan; offset by</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$35.0 million from borrowings on the ABL Facility.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2"/>
        </w:rPr>
      </w:pPr>
      <w:r>
        <w:rPr>
          <w:rFonts w:ascii="Times New Roman;sans-serif" w:hAnsi="Times New Roman;sans-serif"/>
          <w:b/>
          <w:color w:val="000000"/>
          <w:sz w:val="22"/>
        </w:rPr>
        <w:t>Capital Requirements</w:t>
      </w:r>
    </w:p>
    <w:p>
      <w:pPr>
        <w:pStyle w:val="TextBody"/>
        <w:bidi w:val="0"/>
        <w:spacing w:lineRule="auto" w:line="288" w:before="120" w:after="283"/>
        <w:jc w:val="left"/>
        <w:rPr/>
      </w:pPr>
      <w:r>
        <w:rPr>
          <w:rFonts w:ascii="Times New Roman;sans-serif" w:hAnsi="Times New Roman;sans-serif"/>
          <w:b/>
          <w:i/>
          <w:color w:val="000000"/>
          <w:sz w:val="20"/>
        </w:rPr>
        <w:t>Overall.</w:t>
      </w:r>
      <w:r>
        <w:rPr>
          <w:color w:val="000000"/>
        </w:rPr>
        <w:t xml:space="preserv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business is capital intensive, requiring significant investment for the maintenance of existing gathering systems and the acquisition or construction and development of new gathering systems and other midstream assets and facilities. Our Partnership Agreement required that we categorize our capital expenditures as either:</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maintenance capital expenditures, which are cash expenditures (including expenditures for the addition or improvement to, or the replacement of, our capital assets or for the acquisition of existing, or the construction or development of, new capital assets) made to maintain our long-term operating income or operating capacity; or</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expansion capital expenditures, which are cash expenditures incurred for acquisitions or capital improvements that we expect will increase our operating income or operating capacity over the long term.</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consummation of the Corporate Reorganization, the Partnership Agreement was amended to, among other things, reflect that all of the issued and outstanding limited partnership interests of the Partnership are held by Summit Midstream Corporation. For information on the Corporate Reorganization, see Note 16 – Subsequent Events.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six months ended June 30, 2024, cash paid for capital expenditures totaled $26.9 million which included $6.3 million of maintenance capital expenditures. For the six months ended June 30, 2024, we did not make any contributions to Ohio Gathering and we contributed $0.4 million to Double E.</w:t>
      </w:r>
    </w:p>
    <w:p>
      <w:pPr>
        <w:pStyle w:val="TextBody"/>
        <w:bidi w:val="0"/>
        <w:spacing w:lineRule="auto" w:line="26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rely primarily on internally generated cash flows, our current cash balance as well as external financing sources, including commercial bank borrowings and the issuance of debt, equity and preferred equity securities, and proceeds from potential asset divestitures to fund our capital expenditures. We believe that our internally generated cash flows, current cash balance, our ABL Facility and the Permian Transmission Credit Facility, and access to debt or equity capital markets, will be adequate to finance our operations for the next twelve months without adversely impacting our liquidity. .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estimate that our 2024 capital program will range from $30.0 million to $40.0 million, including between $10.0 million and $15.0 million of maintenance capital expenditures. We estimate that our 2024 investment in our Double E equity method investee will be approximately $5.0 million.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 are a number of risks and uncertainties that could cause our current expectations to change, including, but not limited to, (i) the ability to reach agreements with third parties; (ii) prevailing conditions and outlook in the natural gas, crude oil and NGLs and markets, and (iii) our ability to obtain financing from commercial banks, the capital markets, or other financing sources.</w:t>
      </w:r>
    </w:p>
    <w:p>
      <w:pPr>
        <w:pStyle w:val="TextBody"/>
        <w:bidi w:val="0"/>
        <w:spacing w:lineRule="auto" w:line="288" w:before="120" w:after="283"/>
        <w:jc w:val="left"/>
        <w:rPr>
          <w:rFonts w:ascii="Times New Roman;sans-serif" w:hAnsi="Times New Roman;sans-serif"/>
          <w:b/>
          <w:i/>
          <w:color w:val="000000"/>
          <w:sz w:val="20"/>
        </w:rPr>
      </w:pPr>
      <w:r>
        <w:rPr>
          <w:rFonts w:ascii="Times New Roman;sans-serif" w:hAnsi="Times New Roman;sans-serif"/>
          <w:b/>
          <w:i/>
          <w:color w:val="000000"/>
          <w:sz w:val="20"/>
        </w:rPr>
        <w:t>Excess Cash Flow Offers to Purchase.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Starting in the first quarter of 2023 with respect to the fiscal year ended 2022, and continuing annually through the fiscal year 2025, we were required under the terms of the 2026 Secured Notes Indenture to, if we have Excess Cash Flow (as defined in the 2026 Secured Notes Indenture), and subject to our ability to make such an offer under the ABL Facility, offer to purchase an amount of the 2026 Secured Notes, at 100% of the principal amount plus accrued and unpaid interest, equal to 100% of the Excess Cash Flow generated in the prior year. Excess Cash Flow is generally defined as consolidated cash flow minus the sum of capital expenditures and cash payments in respect of permitted investments and permitted restricted payments.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222885"/>
                <wp:effectExtent l="0" t="0" r="0" b="0"/>
                <wp:wrapNone/>
                <wp:docPr id="44" name="Frame44"/>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120" w:after="283"/>
        <w:jc w:val="left"/>
        <w:rPr/>
      </w:pPr>
      <w:hyperlink w:anchor="i69ee8b4d644242bf8ed471293c41640a_7">
        <w:r>
          <w:rPr>
            <w:rStyle w:val="InternetLink"/>
            <w:rFonts w:ascii="Times New Roman;sans-serif" w:hAnsi="Times New Roman;sans-serif"/>
            <w:b w:val="false"/>
            <w:color w:val="000080"/>
            <w:sz w:val="20"/>
            <w:u w:val="single"/>
          </w:rPr>
          <w:t xml:space="preserve">Table </w:t>
        </w:r>
      </w:hyperlink>
      <w:hyperlink w:anchor="i69ee8b4d644242bf8ed471293c41640a_7">
        <w:r>
          <w:rPr>
            <w:rStyle w:val="InternetLink"/>
            <w:rFonts w:ascii="Times New Roman;sans-serif" w:hAnsi="Times New Roman;sans-serif"/>
            <w:b w:val="false"/>
            <w:color w:val="000080"/>
            <w:sz w:val="20"/>
            <w:u w:val="single"/>
          </w:rPr>
          <w:t>of</w:t>
        </w:r>
      </w:hyperlink>
      <w:hyperlink w:anchor="i69ee8b4d644242bf8ed471293c41640a_7">
        <w:r>
          <w:rPr>
            <w:rStyle w:val="InternetLink"/>
            <w:rFonts w:ascii="Times New Roman;sans-serif" w:hAnsi="Times New Roman;sans-serif"/>
            <w:b w:val="false"/>
            <w:color w:val="000080"/>
            <w:sz w:val="20"/>
            <w:u w:val="single"/>
          </w:rPr>
          <w:t xml:space="preserve">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Generally, if we did not offer to purchase designated annual amounts of our 2026 Secured Notes or reduce our first lien capacity under the 2026 Secured Notes Indenture per annum from 2023 through 2025, the interest rate on the 2026 Secured Notes is subject to certain rate escalations. Per the terms of the 2026 Secured Notes Indenture, the designated amounts are to offer to purchase $50.0 million aggregate principal amount of the 2026 Secured Notes by April 1, 2023, otherwise the interest rate shall automatically increase by 50 basis points per annum; $100.0 million aggregate principal amount of the 2026 Secured Notes by April 1, 2024, otherwise the interest rate shall automatically increase by 100 basis points per annum (minus any amount previously increased); and $200.0 million aggregate principal amount of the 2026 Secured Notes by April 1, 2025, otherwise the interest rate shall automatically increase by 200 basis points per annum (minus any amount previously increased).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Based on the amount of our Excess Cash Flow for the fiscal year ended 2023, on March 27, 2024, we commenced a cash tender offer to purchase up to $19.3 million aggregate principal amount of the outstanding 2026 Secured Notes at 100% of the principal amount plus accrued and unpaid interest. The cash flow offer expired on April 24, 2024 with $13.6 million tendered, validly accepted and fully discharged as of June 30, 2024.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April 1, 2024, we had not made offers to purchase in the required amount of $100.0 million and the interest rate on the 2026 Secured Notes increased an incremental 50 basis points to 9.50% effective on such date. </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 the extent we made an offer to purchase, and the offer was not fully accepted by the holders of the 2026 Secured Notes, we could have used any remaining amount not accepted for any purpose not prohibited by the 2026 Secured Notes Indenture or the ABL Facility.</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additional information, see Note 16 – Subsequent Events.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2"/>
        </w:rPr>
      </w:pPr>
      <w:r>
        <w:rPr>
          <w:rFonts w:ascii="Times New Roman;sans-serif" w:hAnsi="Times New Roman;sans-serif"/>
          <w:b/>
          <w:color w:val="000000"/>
          <w:sz w:val="22"/>
        </w:rPr>
        <w:t>Credit and Counterparty Concentration Risks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examine the creditworthiness of counterparties to whom we extend credit and manage our exposure to credit risk through credit analysis, credit approval, credit limits and monitoring procedures, and for certain transactions, we may request letters of credit, prepayments or guarantees.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Certain of our customers may be temporarily unable to meet their current obligations. While this may cause disruption to cash flows, we believe that we are properly positioned to deal with the potential disruption because the vast majority of our gathering assets are strategically positioned at the beginning of the midstream value chain. The majority of our infrastructure is connected directly to our customers’ wellheads and pad sites, which means our gathering systems are typically the first third-party infrastructure through which our customers’ commodities flow and, in many cases, the only way for our customers to get their production to market.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have exposure due to nonperformance under our MVC contracts whereby a potential customer, may not have the wherewithal to make its MVC shortfall payments when they become due. We typically receive payment for all prior-year MVC shortfall billings in the quarter immediately following billing. Therefore, our exposure to risk of nonperformance is limited to and accumulates during the current year-to-date contracted measurement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2"/>
        </w:rPr>
      </w:pPr>
      <w:r>
        <w:rPr>
          <w:rFonts w:ascii="Times New Roman;sans-serif" w:hAnsi="Times New Roman;sans-serif"/>
          <w:b/>
          <w:color w:val="000000"/>
          <w:sz w:val="22"/>
        </w:rPr>
        <w:t>Off-Balance Sheet Arrangements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and six months ended June 30, 2024, there were no material changes to the off-balance sheet obligations disclosed in our 2023 Annual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2"/>
        </w:rPr>
      </w:pPr>
      <w:r>
        <w:rPr>
          <w:rFonts w:ascii="Times New Roman;sans-serif" w:hAnsi="Times New Roman;sans-serif"/>
          <w:b/>
          <w:color w:val="000000"/>
          <w:sz w:val="22"/>
        </w:rPr>
        <w:t>Summarized Financial Information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supplemental summarized financial information below reflects SMLP's separate accounts, the combined accounts of Summit Holdings and Finance Corp. (together, the “Co-Issuers”) and its guarantor subsidiaries (the “Guarantor Subsidiaries” and together with the Co-Issuers, the “Obligor Group”) for the dates and periods indicated. The financial information of the Obligor Group is presented on a combined basis and intercompany balances and transactions between the Co-Issuers and Guarantor Subsidiaries have been eliminated. There were no reportable transactions between the Co-Issuers and Obligor Group and the subsidiaries that were not issuers or guarantors of the Senior Notes.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to holders of the Senior Notes are affected by the composition of and relationships among the Co-Issuers, the Guarantor Subsidiaries and Permian Holdco and Summit Permian Transmission, both of which are unrestricted subsidiaries of SMLP and are not issuers or guarantors of the Senior Notes. The assets of our unrestricted subsidiaries are not available to satisfy the demands of the holders of the Senior Notes. In addition, our unrestricted subsidiaries are subject to certain contractual restrictions related to the payment of dividends, and other rights in favor of their non-affiliated stakeholders, that limit their ability to satisfy the demands of the holders of the Senior Notes.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March 22, 2024, we completed the disposition of Summit Utica, to a subsidiary of MPLX LP. In connection with the disposition, the status of Summit Utica as guarantor subsidiary, was modified prior to the occurrence of the disposition.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222885"/>
                <wp:effectExtent l="0" t="0" r="0" b="0"/>
                <wp:wrapNone/>
                <wp:docPr id="45" name="Frame45"/>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120" w:after="283"/>
        <w:jc w:val="left"/>
        <w:rPr/>
      </w:pPr>
      <w:hyperlink w:anchor="i69ee8b4d644242bf8ed471293c41640a_7">
        <w:r>
          <w:rPr>
            <w:rStyle w:val="InternetLink"/>
            <w:rFonts w:ascii="Times New Roman;sans-serif" w:hAnsi="Times New Roman;sans-serif"/>
            <w:b w:val="false"/>
            <w:color w:val="000080"/>
            <w:sz w:val="20"/>
            <w:u w:val="single"/>
          </w:rPr>
          <w:t xml:space="preserve">Table </w:t>
        </w:r>
      </w:hyperlink>
      <w:hyperlink w:anchor="i69ee8b4d644242bf8ed471293c41640a_7">
        <w:r>
          <w:rPr>
            <w:rStyle w:val="InternetLink"/>
            <w:rFonts w:ascii="Times New Roman;sans-serif" w:hAnsi="Times New Roman;sans-serif"/>
            <w:b w:val="false"/>
            <w:color w:val="000080"/>
            <w:sz w:val="20"/>
            <w:u w:val="single"/>
          </w:rPr>
          <w:t>of</w:t>
        </w:r>
      </w:hyperlink>
      <w:hyperlink w:anchor="i69ee8b4d644242bf8ed471293c41640a_7">
        <w:r>
          <w:rPr>
            <w:rStyle w:val="InternetLink"/>
            <w:rFonts w:ascii="Times New Roman;sans-serif" w:hAnsi="Times New Roman;sans-serif"/>
            <w:b w:val="false"/>
            <w:color w:val="000080"/>
            <w:sz w:val="20"/>
            <w:u w:val="single"/>
          </w:rPr>
          <w:t xml:space="preserve">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May 1, 2024, we completed the sale of our Mountaineer Midstream system to Antero Midstream LLC. In connection with the sale, we designated Mountaineer Midstream Company, LLC as an unrestricted subsidiary, terminating its status as a guarantor subsidiary prior to the occurrence of the sale.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summarized financial information below presents the activities and balances of Summit Utica and Mountaineer Midstream as guarantor subsidiaries for all summarized income statement periods and balance sheet dates presented in which they were owned by the Partnership. Summit Utica and Mountaineer Midstream are not included in the Partnership’s balance sheet as of June 30, 2024.</w:t>
      </w:r>
    </w:p>
    <w:p>
      <w:pPr>
        <w:pStyle w:val="TextBody"/>
        <w:bidi w:val="0"/>
        <w:spacing w:before="120" w:after="283"/>
        <w:jc w:val="left"/>
        <w:rPr/>
      </w:pPr>
      <w:r>
        <w:rPr/>
      </w:r>
    </w:p>
    <w:p>
      <w:pPr>
        <w:pStyle w:val="TextBody"/>
        <w:bidi w:val="0"/>
        <w:spacing w:lineRule="auto" w:line="288" w:before="120" w:after="283"/>
        <w:jc w:val="left"/>
        <w:rPr/>
      </w:pPr>
      <w:r>
        <w:rPr>
          <w:rFonts w:ascii="Times New Roman;sans-serif" w:hAnsi="Times New Roman;sans-serif"/>
          <w:b/>
          <w:i/>
          <w:color w:val="000000"/>
          <w:sz w:val="20"/>
        </w:rPr>
        <w:t>Summarized Balance Sheet Information</w:t>
      </w:r>
      <w:r>
        <w:rPr>
          <w:rFonts w:ascii="Times New Roman;sans-serif" w:hAnsi="Times New Roman;sans-serif"/>
          <w:b w:val="false"/>
          <w:color w:val="000000"/>
          <w:sz w:val="20"/>
        </w:rPr>
        <w:t>. Summarized balance sheet information as of June 30, 2024 and December 31, 2023 follows.</w:t>
      </w:r>
    </w:p>
    <w:tbl>
      <w:tblPr>
        <w:tblW w:w="4472" w:type="dxa"/>
        <w:jc w:val="left"/>
        <w:tblInd w:w="0" w:type="dxa"/>
        <w:tblLayout w:type="fixed"/>
        <w:tblCellMar>
          <w:top w:w="28" w:type="dxa"/>
          <w:left w:w="28" w:type="dxa"/>
          <w:bottom w:w="28" w:type="dxa"/>
          <w:right w:w="28" w:type="dxa"/>
        </w:tblCellMar>
      </w:tblPr>
      <w:tblGrid>
        <w:gridCol w:w="670"/>
        <w:gridCol w:w="591"/>
        <w:gridCol w:w="598"/>
        <w:gridCol w:w="211"/>
        <w:gridCol w:w="721"/>
        <w:gridCol w:w="109"/>
        <w:gridCol w:w="109"/>
        <w:gridCol w:w="109"/>
        <w:gridCol w:w="109"/>
        <w:gridCol w:w="220"/>
        <w:gridCol w:w="864"/>
        <w:gridCol w:w="161"/>
      </w:tblGrid>
      <w:tr>
        <w:trPr/>
        <w:tc>
          <w:tcPr>
            <w:tcW w:w="67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June 30, 2024</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SMLP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Obligor Group</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215,781 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1,488,737 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132,410 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794,587 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4472" w:type="dxa"/>
        <w:jc w:val="left"/>
        <w:tblInd w:w="0" w:type="dxa"/>
        <w:tblLayout w:type="fixed"/>
        <w:tblCellMar>
          <w:top w:w="28" w:type="dxa"/>
          <w:left w:w="28" w:type="dxa"/>
          <w:bottom w:w="28" w:type="dxa"/>
          <w:right w:w="28" w:type="dxa"/>
        </w:tblCellMar>
      </w:tblPr>
      <w:tblGrid>
        <w:gridCol w:w="670"/>
        <w:gridCol w:w="591"/>
        <w:gridCol w:w="598"/>
        <w:gridCol w:w="211"/>
        <w:gridCol w:w="721"/>
        <w:gridCol w:w="109"/>
        <w:gridCol w:w="109"/>
        <w:gridCol w:w="109"/>
        <w:gridCol w:w="109"/>
        <w:gridCol w:w="220"/>
        <w:gridCol w:w="864"/>
        <w:gridCol w:w="161"/>
      </w:tblGrid>
      <w:tr>
        <w:trPr/>
        <w:tc>
          <w:tcPr>
            <w:tcW w:w="670"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c>
          <w:tcPr>
            <w:tcW w:w="59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SMLP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Obligor Group</w:t>
            </w:r>
          </w:p>
        </w:tc>
      </w:tr>
      <w:tr>
        <w:trPr/>
        <w:tc>
          <w:tcPr>
            <w:tcW w:w="18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93,035 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2,069,149 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104,694 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1,383,704 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lineRule="auto" w:line="288" w:before="120" w:after="283"/>
        <w:jc w:val="left"/>
        <w:rPr/>
      </w:pPr>
      <w:r>
        <w:rPr>
          <w:rFonts w:ascii="Times New Roman;sans-serif" w:hAnsi="Times New Roman;sans-serif"/>
          <w:b/>
          <w:i/>
          <w:color w:val="000000"/>
          <w:sz w:val="20"/>
        </w:rPr>
        <w:t>Summarized Statements of Operations Information.</w:t>
      </w:r>
      <w:r>
        <w:rPr>
          <w:color w:val="000000"/>
        </w:rPr>
        <w:t> </w:t>
      </w:r>
      <w:r>
        <w:rPr>
          <w:rFonts w:ascii="Times New Roman;sans-serif" w:hAnsi="Times New Roman;sans-serif"/>
          <w:b w:val="false"/>
          <w:color w:val="000000"/>
          <w:sz w:val="20"/>
        </w:rPr>
        <w:t>For the purposes of the following summarized statements of operations, we allocate a portion of general and administrative expenses recognized at the SMLP parent to the Obligor Group to reflect what those entities' results would have been had they operated on a stand-alone basis. Summarized statements of operations for the six months ended June 30, 2024 and for the year ended December 31, 2023 follow.</w:t>
      </w:r>
    </w:p>
    <w:tbl>
      <w:tblPr>
        <w:tblW w:w="8987" w:type="dxa"/>
        <w:jc w:val="left"/>
        <w:tblInd w:w="0" w:type="dxa"/>
        <w:tblLayout w:type="fixed"/>
        <w:tblCellMar>
          <w:top w:w="28" w:type="dxa"/>
          <w:left w:w="28" w:type="dxa"/>
          <w:bottom w:w="28" w:type="dxa"/>
          <w:right w:w="28" w:type="dxa"/>
        </w:tblCellMar>
      </w:tblPr>
      <w:tblGrid>
        <w:gridCol w:w="2278"/>
        <w:gridCol w:w="2006"/>
        <w:gridCol w:w="2015"/>
        <w:gridCol w:w="211"/>
        <w:gridCol w:w="796"/>
        <w:gridCol w:w="109"/>
        <w:gridCol w:w="109"/>
        <w:gridCol w:w="109"/>
        <w:gridCol w:w="109"/>
        <w:gridCol w:w="220"/>
        <w:gridCol w:w="864"/>
        <w:gridCol w:w="161"/>
      </w:tblGrid>
      <w:tr>
        <w:trPr/>
        <w:tc>
          <w:tcPr>
            <w:tcW w:w="2278" w:type="dxa"/>
            <w:tcBorders/>
            <w:vAlign w:val="center"/>
          </w:tcPr>
          <w:p>
            <w:pPr>
              <w:pStyle w:val="TableContents"/>
              <w:bidi w:val="0"/>
              <w:spacing w:before="0" w:after="283"/>
              <w:jc w:val="left"/>
              <w:rPr>
                <w:sz w:val="4"/>
                <w:szCs w:val="4"/>
              </w:rPr>
            </w:pPr>
            <w:r>
              <w:rPr>
                <w:sz w:val="4"/>
                <w:szCs w:val="4"/>
              </w:rPr>
            </w:r>
          </w:p>
        </w:tc>
        <w:tc>
          <w:tcPr>
            <w:tcW w:w="2006" w:type="dxa"/>
            <w:tcBorders/>
            <w:vAlign w:val="center"/>
          </w:tcPr>
          <w:p>
            <w:pPr>
              <w:pStyle w:val="TableContents"/>
              <w:bidi w:val="0"/>
              <w:spacing w:before="0" w:after="283"/>
              <w:jc w:val="left"/>
              <w:rPr>
                <w:sz w:val="4"/>
                <w:szCs w:val="4"/>
              </w:rPr>
            </w:pPr>
            <w:r>
              <w:rPr>
                <w:sz w:val="4"/>
                <w:szCs w:val="4"/>
              </w:rPr>
            </w:r>
          </w:p>
        </w:tc>
        <w:tc>
          <w:tcPr>
            <w:tcW w:w="201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6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Six Months Ended</w:t>
              <w:br/>
              <w:t>June 30, 2024</w:t>
            </w:r>
          </w:p>
        </w:tc>
      </w:tr>
      <w:tr>
        <w:trPr/>
        <w:tc>
          <w:tcPr>
            <w:tcW w:w="6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SMLP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Obligor Group</w:t>
            </w:r>
          </w:p>
        </w:tc>
      </w:tr>
      <w:tr>
        <w:trPr/>
        <w:tc>
          <w:tcPr>
            <w:tcW w:w="6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214,370 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252,331 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Income (loss) before income taxes and income from equity method investees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(11,808)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106,703 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equity method investees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(loss)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(11,365)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113,742 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222885"/>
                <wp:effectExtent l="0" t="0" r="0" b="0"/>
                <wp:wrapNone/>
                <wp:docPr id="46" name="Frame46"/>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120" w:after="283"/>
        <w:jc w:val="left"/>
        <w:rPr/>
      </w:pPr>
      <w:hyperlink w:anchor="i69ee8b4d644242bf8ed471293c41640a_7">
        <w:r>
          <w:rPr>
            <w:rStyle w:val="InternetLink"/>
            <w:rFonts w:ascii="Times New Roman;sans-serif" w:hAnsi="Times New Roman;sans-serif"/>
            <w:b w:val="false"/>
            <w:color w:val="000080"/>
            <w:sz w:val="20"/>
            <w:u w:val="single"/>
          </w:rPr>
          <w:t xml:space="preserve">Table </w:t>
        </w:r>
      </w:hyperlink>
      <w:hyperlink w:anchor="i69ee8b4d644242bf8ed471293c41640a_7">
        <w:r>
          <w:rPr>
            <w:rStyle w:val="InternetLink"/>
            <w:rFonts w:ascii="Times New Roman;sans-serif" w:hAnsi="Times New Roman;sans-serif"/>
            <w:b w:val="false"/>
            <w:color w:val="000080"/>
            <w:sz w:val="20"/>
            <w:u w:val="single"/>
          </w:rPr>
          <w:t>of</w:t>
        </w:r>
      </w:hyperlink>
      <w:hyperlink w:anchor="i69ee8b4d644242bf8ed471293c41640a_7">
        <w:r>
          <w:rPr>
            <w:rStyle w:val="InternetLink"/>
            <w:rFonts w:ascii="Times New Roman;sans-serif" w:hAnsi="Times New Roman;sans-serif"/>
            <w:b w:val="false"/>
            <w:color w:val="000080"/>
            <w:sz w:val="20"/>
            <w:u w:val="single"/>
          </w:rPr>
          <w:t xml:space="preserve"> Contents</w:t>
        </w:r>
      </w:hyperlink>
    </w:p>
    <w:tbl>
      <w:tblPr>
        <w:tblW w:w="8177" w:type="dxa"/>
        <w:jc w:val="left"/>
        <w:tblInd w:w="0" w:type="dxa"/>
        <w:tblLayout w:type="fixed"/>
        <w:tblCellMar>
          <w:top w:w="28" w:type="dxa"/>
          <w:left w:w="28" w:type="dxa"/>
          <w:bottom w:w="28" w:type="dxa"/>
          <w:right w:w="28" w:type="dxa"/>
        </w:tblCellMar>
      </w:tblPr>
      <w:tblGrid>
        <w:gridCol w:w="2023"/>
        <w:gridCol w:w="1782"/>
        <w:gridCol w:w="1789"/>
        <w:gridCol w:w="211"/>
        <w:gridCol w:w="691"/>
        <w:gridCol w:w="109"/>
        <w:gridCol w:w="109"/>
        <w:gridCol w:w="109"/>
        <w:gridCol w:w="109"/>
        <w:gridCol w:w="220"/>
        <w:gridCol w:w="864"/>
        <w:gridCol w:w="161"/>
      </w:tblGrid>
      <w:tr>
        <w:trPr/>
        <w:tc>
          <w:tcPr>
            <w:tcW w:w="2023" w:type="dxa"/>
            <w:tcBorders/>
            <w:vAlign w:val="center"/>
          </w:tcPr>
          <w:p>
            <w:pPr>
              <w:pStyle w:val="TableContents"/>
              <w:bidi w:val="0"/>
              <w:spacing w:before="0" w:after="283"/>
              <w:jc w:val="left"/>
              <w:rPr>
                <w:sz w:val="4"/>
                <w:szCs w:val="4"/>
              </w:rPr>
            </w:pPr>
            <w:r>
              <w:rPr>
                <w:sz w:val="4"/>
                <w:szCs w:val="4"/>
              </w:rPr>
            </w:r>
          </w:p>
        </w:tc>
        <w:tc>
          <w:tcPr>
            <w:tcW w:w="1782" w:type="dxa"/>
            <w:tcBorders/>
            <w:vAlign w:val="center"/>
          </w:tcPr>
          <w:p>
            <w:pPr>
              <w:pStyle w:val="TableContents"/>
              <w:bidi w:val="0"/>
              <w:spacing w:before="0" w:after="283"/>
              <w:jc w:val="left"/>
              <w:rPr>
                <w:sz w:val="4"/>
                <w:szCs w:val="4"/>
              </w:rPr>
            </w:pPr>
            <w:r>
              <w:rPr>
                <w:sz w:val="4"/>
                <w:szCs w:val="4"/>
              </w:rPr>
            </w:r>
          </w:p>
        </w:tc>
        <w:tc>
          <w:tcPr>
            <w:tcW w:w="17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Year Ended December 31, 2023</w:t>
            </w:r>
          </w:p>
        </w:tc>
      </w:tr>
      <w:tr>
        <w:trPr/>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SMLP</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Obligor Group</w:t>
            </w:r>
          </w:p>
        </w:tc>
      </w:tr>
      <w:tr>
        <w:trPr/>
        <w:tc>
          <w:tcPr>
            <w:tcW w:w="5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thousands)</w:t>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451,032 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373,245 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 and income from equity method investees</w:t>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(60,615)</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equity method investees</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(37,693)</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Critical Accounting Estimates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prepare our financial statements in accordance with GAAP. These principles are established by the FASB. We employ methods, estimates and assumptions based on currently available information when recording transactions resulting from business operations. There have been no significant changes to our critical accounting estimates from those disclosed on Form 10-K for the fiscal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Forward-Looking Statements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Investors are cautioned that certain statements contained in this report as well as in periodic press releases and certain oral statements made by our officers and employees during our presentations are “forward-looking” statements. Forward-looking statements include, without limitation, any statement that may project, indicate or imply future results, events, performance or achievements and may contain the words “expect,” “intend,” “plan,” “anticipate,” “estimate,” “believe,” “will be,” “will continue,” “will likely result,” and similar expressions, or future conditional verbs such as “may,” “will,” “should,” “would,” and “could.” In addition, any statement concerning future financial performance (including future revenues, earnings or growth rates), ongoing business strategies or prospects, and possible actions taken by us or our subsidiaries are also forward-looking statements. These forward-looking statements involve various risks and uncertainties, including, but not limited to, those described in Part II. Item 1A. Risk Factors included in this report.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Forward-looking statements are based on current expectations and projections about future events and are inherently subject to a variety of risks and uncertainties, many of which are beyond the control of our management team. All forward-looking statements in this report and subsequent written and oral forward-looking statements attributable to us, or to persons acting on our behalf, are expressly qualified in their entirety by the cautionary statements in this paragraph. These risks and uncertainties include, among others: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decision whether to pay, or our ability to grow, our cash distributions;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fluctuations in natural gas, NGLs and crude oil prices, including as a result of political or economic measures taken by various countries or OPEC;</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extent and success of our customers' drilling and completion efforts, as well as the quantity of natural gas, crude oil, freshwater deliveries, and produced water volumes produced within proximity of our assets;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failure or delays by our customers in achieving expected production in their natural gas, crude oil and produced water projects;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competitive conditions in our industry and their impact on our ability to connect hydrocarbon supplies to our gathering and processing assets or systems;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actions or inactions taken or nonperformance by third parties, including suppliers, contractors, operators, processors, transporters and customers, including the inability or failure of our shipper customers to meet their financial obligations under our gathering agreements and our ability to enforce the terms and conditions of certain of our gathering agreements in the event of a bankruptcy of one or more of our customers;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ability to divest of certain of our assets to third parties on attractive terms, which is subject to a number of factors, including prevailing conditions and outlook in the natural gas, NGL and crude oil industries and markets;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ability to attract and retain key management personnel;</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commercial bank and capital market conditions and the potential impact of changes or disruptions in the credit and/or capital markets;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changes in the availability and cost of capital and the results of our financing efforts, including availability of funds in the credit and/or capital markets;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restrictions placed on us by the agreements governing our debt and preferred equity instruments;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222885"/>
                <wp:effectExtent l="0" t="0" r="0" b="0"/>
                <wp:wrapNone/>
                <wp:docPr id="47" name="Frame47"/>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120" w:after="283"/>
        <w:jc w:val="left"/>
        <w:rPr/>
      </w:pPr>
      <w:hyperlink w:anchor="i69ee8b4d644242bf8ed471293c41640a_7">
        <w:r>
          <w:rPr>
            <w:rStyle w:val="InternetLink"/>
            <w:rFonts w:ascii="Times New Roman;sans-serif" w:hAnsi="Times New Roman;sans-serif"/>
            <w:b w:val="false"/>
            <w:color w:val="000080"/>
            <w:sz w:val="20"/>
            <w:u w:val="single"/>
          </w:rPr>
          <w:t xml:space="preserve">Table </w:t>
        </w:r>
      </w:hyperlink>
      <w:hyperlink w:anchor="i69ee8b4d644242bf8ed471293c41640a_7">
        <w:r>
          <w:rPr>
            <w:rStyle w:val="InternetLink"/>
            <w:rFonts w:ascii="Times New Roman;sans-serif" w:hAnsi="Times New Roman;sans-serif"/>
            <w:b w:val="false"/>
            <w:color w:val="000080"/>
            <w:sz w:val="20"/>
            <w:u w:val="single"/>
          </w:rPr>
          <w:t>of</w:t>
        </w:r>
      </w:hyperlink>
      <w:hyperlink w:anchor="i69ee8b4d644242bf8ed471293c41640a_7">
        <w:r>
          <w:rPr>
            <w:rStyle w:val="InternetLink"/>
            <w:rFonts w:ascii="Times New Roman;sans-serif" w:hAnsi="Times New Roman;sans-serif"/>
            <w:b w:val="false"/>
            <w:color w:val="000080"/>
            <w:sz w:val="20"/>
            <w:u w:val="single"/>
          </w:rPr>
          <w:t xml:space="preserve"> Contents</w:t>
        </w:r>
      </w:hyperlink>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availability, terms and cost of downstream transportation and processing services;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natural disasters, accidents, weather-related delays, casualty losses and other matters beyond our control;</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current and potential future impact of pandemics on our business, results of operations, financial position or cash flows;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operational risks and hazards inherent in the gathering, compression, treating and/or processing of natural gas, crude oil and produced water;</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ability to comply with the terms of the agreements comprising the Global Settlement;</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weather conditions and terrain in certain areas in which we operate;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physical and financial risks associated with climate change;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any other issues that can result in deficiencies in the design, installation or operation of our gathering, compression, treating, processing and freshwater facilities;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timely receipt of necessary government approvals and permits, our ability to control the costs of construction, including costs of materials, labor and rights-of-way and other factors that may impact our ability to complete projects within budget and on schedule;</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ability to finance our obligations related to capital expenditures, including through opportunistic asset divestitures or joint ventures and the impact any such divestitures or joint ventures could have on our results;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effects of existing and future laws and governmental regulations, including environmental, safety and climate change requirements and federal, state and local restrictions or requirements applicable to oil and/or gas drilling, production or transportation;</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the effects of litigation;</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interest rates;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changes in general economic conditions;</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our ability to effect a transaction pursuant to our strategic review; and</w:t>
      </w:r>
    </w:p>
    <w:p>
      <w:pPr>
        <w:pStyle w:val="TextBody"/>
        <w:bidi w:val="0"/>
        <w:spacing w:lineRule="auto" w:line="288" w:before="120" w:after="283"/>
        <w:ind w:left="0" w:right="0" w:hanging="540"/>
        <w:jc w:val="left"/>
        <w:rPr/>
      </w:pPr>
      <w:r>
        <w:rPr>
          <w:color w:val="000000"/>
        </w:rPr>
        <w:t>•</w:t>
      </w:r>
      <w:r>
        <w:rPr>
          <w:rFonts w:ascii="Times New Roman;sans-serif" w:hAnsi="Times New Roman;sans-serif"/>
          <w:b w:val="false"/>
          <w:color w:val="000000"/>
          <w:sz w:val="20"/>
        </w:rPr>
        <w:t>certain factors discussed elsewhere in this report.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Developments in any of these areas could cause actual results to differ materially from those anticipated or projected or cause a significant reduction in the market price of our common units, preferred units and senior notes.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foregoing list of risks and uncertainties may not contain all of the risks and uncertainties that could affect us. In addition, in light of these risks and uncertainties, the matters referred to in the forward-looking statements contained in this document may not in fact occur. Accordingly, undue reliance should not be placed on these statements. We undertake no obligation to publicly update or revise any forward-looking statements as a result of new information, future events or otherwise, except as otherwise required by law.</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Information About Us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Investors should note that we make available, free of charge on our website at www.summitmidstream.com, our annual reports on Form 10-K, quarterly reports on Form 10-Q, current reports on Form 8-K, and any amendments to those reports as soon as reasonably practicable after we electronically file such material with, or furnish it to, the SEC. We also post announcements, updates, events, investor information and presentations on our website in addition to copies of all recent news releases. We may use the Investors section of our website to communicate with investors. It is possible that the financial and other information posted there could be deemed to be material information. Documents and information on our website are not incorporated by reference herein.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SEC maintains a website at www.sec.gov that contains reports, proxy and information statements, and other information regarding issuers, including us, that file electronically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222885"/>
                <wp:effectExtent l="0" t="0" r="0" b="0"/>
                <wp:wrapNone/>
                <wp:docPr id="48" name="Frame48"/>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120" w:after="283"/>
        <w:jc w:val="left"/>
        <w:rPr/>
      </w:pPr>
      <w:hyperlink w:anchor="i69ee8b4d644242bf8ed471293c41640a_7">
        <w:r>
          <w:rPr>
            <w:rStyle w:val="InternetLink"/>
            <w:rFonts w:ascii="Times New Roman;sans-serif" w:hAnsi="Times New Roman;sans-serif"/>
            <w:b w:val="false"/>
            <w:color w:val="000080"/>
            <w:sz w:val="20"/>
            <w:u w:val="single"/>
          </w:rPr>
          <w:t xml:space="preserve">Table </w:t>
        </w:r>
      </w:hyperlink>
      <w:hyperlink w:anchor="i69ee8b4d644242bf8ed471293c41640a_7">
        <w:r>
          <w:rPr>
            <w:rStyle w:val="InternetLink"/>
            <w:rFonts w:ascii="Times New Roman;sans-serif" w:hAnsi="Times New Roman;sans-serif"/>
            <w:b w:val="false"/>
            <w:color w:val="000080"/>
            <w:sz w:val="20"/>
            <w:u w:val="single"/>
          </w:rPr>
          <w:t>of</w:t>
        </w:r>
      </w:hyperlink>
      <w:hyperlink w:anchor="i69ee8b4d644242bf8ed471293c41640a_7">
        <w:r>
          <w:rPr>
            <w:rStyle w:val="InternetLink"/>
            <w:rFonts w:ascii="Times New Roman;sans-serif" w:hAnsi="Times New Roman;sans-serif"/>
            <w:b w:val="false"/>
            <w:color w:val="000080"/>
            <w:sz w:val="20"/>
            <w:u w:val="single"/>
          </w:rPr>
          <w:t xml:space="preserve"> Contents</w:t>
        </w:r>
      </w:hyperlink>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Item 3. Quantitative and Qualitative Disclosures About Market Risk.</w:t>
      </w:r>
    </w:p>
    <w:p>
      <w:pPr>
        <w:pStyle w:val="TextBody"/>
        <w:bidi w:val="0"/>
        <w:spacing w:lineRule="auto" w:line="288" w:before="120" w:after="283"/>
        <w:jc w:val="left"/>
        <w:rPr>
          <w:rFonts w:ascii="Times New Roman;sans-serif" w:hAnsi="Times New Roman;sans-serif"/>
          <w:b/>
          <w:color w:val="000000"/>
          <w:sz w:val="22"/>
        </w:rPr>
      </w:pPr>
      <w:r>
        <w:rPr>
          <w:rFonts w:ascii="Times New Roman;sans-serif" w:hAnsi="Times New Roman;sans-serif"/>
          <w:b/>
          <w:color w:val="000000"/>
          <w:sz w:val="22"/>
        </w:rPr>
        <w:t>Interest Rate Risk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Our interest rate risk exposure, which is largely related to our indebtedness, has not changed materially since December 31, 2023. As of June 30, 2024, we had approximately $814.2 million principal of fixed-rate debt, nil outstanding under our variable rate ABL Facility and $137.2 million outstanding under the variable rate Permian Transmission Term Loan (see Note 8 - Debt). As of June 30, 2024, we had $123.5 million of interest rate exposure hedged to offset the impact of changes in interest rates on our Permian Transmission Term Loan. While existing fixed-rate debt mitigates the downside impact of fluctuations in interest rates, future issuances of long-term debt could be impacted by increases in interest rates, which could result in higher overall interest costs. In addition, the borrowings under our ABL Facility, which have a variable interest rate, also expose us to the risk of increasing interest rates. For additional information, see the "Interest Rate Risk" section included in Item 7A. Quantitative and Qualitative Disclosures About Market Risk of the 2023 Annual Report and updates to our risk factors included herein.</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See Note 16 – Subsequent Events for additional information on our Refinancing Transactions.</w:t>
      </w:r>
    </w:p>
    <w:p>
      <w:pPr>
        <w:pStyle w:val="TextBody"/>
        <w:bidi w:val="0"/>
        <w:spacing w:lineRule="auto" w:line="288" w:before="120" w:after="283"/>
        <w:jc w:val="left"/>
        <w:rPr>
          <w:rFonts w:ascii="Times New Roman;sans-serif" w:hAnsi="Times New Roman;sans-serif"/>
          <w:b/>
          <w:color w:val="000000"/>
          <w:sz w:val="22"/>
        </w:rPr>
      </w:pPr>
      <w:r>
        <w:rPr>
          <w:rFonts w:ascii="Times New Roman;sans-serif" w:hAnsi="Times New Roman;sans-serif"/>
          <w:b/>
          <w:color w:val="000000"/>
          <w:sz w:val="22"/>
        </w:rPr>
        <w:t>Commodity Price Risk</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 generate a majority of our revenues pursuant to primarily long-term and fee-based gathering agreements, many of which include MVCs and areas of mutual interest. Our direct commodity price exposure relates to (i) the sale of physical natural gas and/or NGLs purchased under percentage-of-proceeds and other processing arrangements with certain of our customers in the Rockies and Piceance segments, (ii) the sale of natural gas we retain from certain Barnett segment customers and (iii) the sale of condensate we retain from certain gathering services in the Piceance segment. Our gathering agreements with certain Barnett customers permit us to retain a certain quantity of natural gas that we sell to offset the power costs we incur to operate our electric-drive compression assets. We manage our direct exposure to natural gas and power prices through the use of forward power purchase contracts with wholesale power providers that require us to purchase a fixed quantity of power at a fixed heat rate based on prevailing natural gas prices on the Henry Hub Index. We sell retainage natural gas at prices that are based on the Atmos Zone 3 Index. By basing the power prices on a system and basin-relevant market, we are able to closely associate the relationship between the compression electricity expense and natural gas retainage sales. We do not enter into risk management contracts for speculative purposes. Our current commodity price risk exposure has not changed materially since December 31, 2023. For additional information, see the "Commodity Price Risk" section included in Item 7A. Quantitative and Qualitative Disclosures About Market Risk of the 2023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Item 4. Controls and Procedures.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the direction of our General Partner's Chief Executive Officer and Chief Financial Officer, we evaluated our disclosure controls and procedures and internal control over financial reporting and concluded that (i) our disclosure controls and procedures were effective as of June 30, 2024 and (ii) no change in internal control over financial reporting occurred during the quarter ended June 30, 2024, that has materially affected, or is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222885"/>
                <wp:effectExtent l="0" t="0" r="0" b="0"/>
                <wp:wrapNone/>
                <wp:docPr id="49" name="Frame49"/>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120" w:after="283"/>
        <w:jc w:val="left"/>
        <w:rPr/>
      </w:pPr>
      <w:hyperlink w:anchor="i69ee8b4d644242bf8ed471293c41640a_7">
        <w:r>
          <w:rPr>
            <w:rStyle w:val="InternetLink"/>
            <w:rFonts w:ascii="Times New Roman;sans-serif" w:hAnsi="Times New Roman;sans-serif"/>
            <w:b w:val="false"/>
            <w:color w:val="000080"/>
            <w:sz w:val="20"/>
            <w:u w:val="single"/>
          </w:rPr>
          <w:t xml:space="preserve">Table </w:t>
        </w:r>
      </w:hyperlink>
      <w:hyperlink w:anchor="i69ee8b4d644242bf8ed471293c41640a_7">
        <w:r>
          <w:rPr>
            <w:rStyle w:val="InternetLink"/>
            <w:rFonts w:ascii="Times New Roman;sans-serif" w:hAnsi="Times New Roman;sans-serif"/>
            <w:b w:val="false"/>
            <w:color w:val="000080"/>
            <w:sz w:val="20"/>
            <w:u w:val="single"/>
          </w:rPr>
          <w:t>of</w:t>
        </w:r>
      </w:hyperlink>
      <w:hyperlink w:anchor="i69ee8b4d644242bf8ed471293c41640a_7">
        <w:r>
          <w:rPr>
            <w:rStyle w:val="InternetLink"/>
            <w:rFonts w:ascii="Times New Roman;sans-serif" w:hAnsi="Times New Roman;sans-serif"/>
            <w:b w:val="false"/>
            <w:color w:val="000080"/>
            <w:sz w:val="20"/>
            <w:u w:val="single"/>
          </w:rPr>
          <w:t xml:space="preserve"> Contents</w:t>
        </w:r>
      </w:hyperlink>
    </w:p>
    <w:p>
      <w:pPr>
        <w:pStyle w:val="TextBody"/>
        <w:bidi w:val="0"/>
        <w:spacing w:lineRule="auto" w:line="288" w:before="120" w:after="283"/>
        <w:jc w:val="left"/>
        <w:rPr>
          <w:rFonts w:ascii="Times New Roman;sans-serif" w:hAnsi="Times New Roman;sans-serif"/>
          <w:b/>
          <w:color w:val="000000"/>
          <w:sz w:val="24"/>
        </w:rPr>
      </w:pPr>
      <w:r>
        <w:rPr>
          <w:rFonts w:ascii="Times New Roman;sans-serif" w:hAnsi="Times New Roman;sans-serif"/>
          <w:b/>
          <w:color w:val="000000"/>
          <w:sz w:val="24"/>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may, from time to time, be involved in litigation and claims arising out of our operations in the ordinary course of business, we are not currently a party to any significant legal or governmental proceedings, except as described below. In addition, we are not aware of any significant legal or governmental proceedings contemplated to be brought against us, under the various environmental protection statutes to which we are subject. </w:t>
      </w:r>
    </w:p>
    <w:p>
      <w:pPr>
        <w:pStyle w:val="TextBody"/>
        <w:bidi w:val="0"/>
        <w:spacing w:lineRule="auto" w:line="288" w:before="120" w:after="283"/>
        <w:jc w:val="left"/>
        <w:rPr/>
      </w:pPr>
      <w:r>
        <w:rPr>
          <w:rFonts w:ascii="Times New Roman;sans-serif" w:hAnsi="Times New Roman;sans-serif"/>
          <w:b/>
          <w:i/>
          <w:color w:val="000000"/>
          <w:sz w:val="20"/>
        </w:rPr>
        <w:t>Fiberspar Corporation.</w:t>
      </w:r>
      <w:r>
        <w:rPr>
          <w:color w:val="000000"/>
        </w:rPr>
        <w:t xml:space="preserve"> </w:t>
      </w:r>
      <w:r>
        <w:rPr>
          <w:rFonts w:ascii="Times New Roman;sans-serif" w:hAnsi="Times New Roman;sans-serif"/>
          <w:b w:val="false"/>
          <w:color w:val="000000"/>
          <w:sz w:val="20"/>
        </w:rPr>
        <w:t>On May 3, 2022, Fiberspar Corporation (“Fiberspar”) filed a petition in the District Court of Harris County, Texas alleging, before costs and interest, over $5.0 million owed but not paid for orders of pipeline product from Fiberspar. The petition asserts causes of action for breach of contract and suit on sworn account. A civil action on the same claims had been filed by Fiberspar in 2016 but was dismissed without prejudice pursuant to a standstill and tolling agreement that expired in 2021. We filed an answer on September 6, 2022 denying Fiberspar’s claims and asserting counter claims. The case is pending in the District Court of Harris County, Texas. We are unable to predict the final outcome of this matter.</w:t>
      </w:r>
    </w:p>
    <w:p>
      <w:pPr>
        <w:pStyle w:val="TextBody"/>
        <w:bidi w:val="0"/>
        <w:spacing w:lineRule="auto" w:line="288" w:before="120" w:after="283"/>
        <w:jc w:val="left"/>
        <w:rPr/>
      </w:pPr>
      <w:r>
        <w:rPr>
          <w:rFonts w:ascii="Times New Roman;sans-serif" w:hAnsi="Times New Roman;sans-serif"/>
          <w:b/>
          <w:i/>
          <w:color w:val="000000"/>
          <w:sz w:val="20"/>
        </w:rPr>
        <w:t>Global Settlement.</w:t>
      </w:r>
      <w:r>
        <w:rPr>
          <w:color w:val="000000"/>
        </w:rPr>
        <w:t xml:space="preserve"> </w:t>
      </w:r>
      <w:r>
        <w:rPr>
          <w:rFonts w:ascii="Times New Roman;sans-serif" w:hAnsi="Times New Roman;sans-serif"/>
          <w:b w:val="false"/>
          <w:color w:val="000000"/>
          <w:sz w:val="20"/>
        </w:rPr>
        <w:t>On August 4, 2021, the Partnership and several of its subsidiaries entered into agreements to resolve government investigations into the previously disclosed 2015 Blacktail Release, from a pipeline owned and operated by Meadowlark Midstream, which at the time was a wholly owned subsidiary of Summit Investments (together with Meadowlark Midstream, the “Companies”). The Companies entered into the following agreements to resolve the U.S. federal and North Dakota state governments’ environmental claims against the Companies with respect to the 2015 Blacktail Release: (i) a Consent Decree with (a) the DOJ, on behalf of the U.S. Environmental Protection Agency and the U.S. Department of Interior, and (b) the State of North Dakota, on behalf of the North Dakota Department of Environmental Quality and the North Dakota Game and Fish Department, lodged with the U.S. District Court; (ii) a Plea Agreement with the United States, by and through the U.S. Attorney for the District of North Dakota, and the Environmental Crimes Section of the DOJ; and (iii) a Consent Agreement with the North Dakota Industrial Commission (together, the “Global Settlement”).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Consent Decree provides for, among other requirements and subject to the conditions therein, (i) payment of total civil penalties and reimbursement of assessment costs of $21.25 million, with the federal portion of penalties payable over up to five years and the state portion of penalties payable over up to, for the federal and state civil amounts, six years and, for the federal criminal amounts, five years, with interest accruing at, for the federal and state civil amounts, a fixed rate of 3.25% and, for the federal criminal amounts, a variable rate set by statute; (ii) continuation of remediation efforts at the site of the 2015 Blacktail Release; (iii) other injunctive relief, including, but not limited to, control room management, an environmental management system audit, training, and reporting; and (iv) no admission of liability to the U.S. or North Dakota. The Consent Decree was entered by the U.S. District Court on September 28, 2021.</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 Consent Agreement settles a complaint brought by the North Dakota Industrial Commission in an administrative action against the Companies for alleged violations of the North Dakota Administrative Code (“NDAC”) arising from the 2015 Blacktail Release on the following terms: (i) the Companies admit to three counts of violating the NDAC; (ii) the Companies agree to follow the terms and conditions of the Consent Decree, including payment of penalty and reimbursement amounts set forth in the Consent Decree; and (iii) specified conditions in the Consent Decree regarding operation and testing of certain existing produced water pipelines shall survive until those pipelines are properly abandoned.</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Under the Plea Agreement, the Companies agreed to, among other requirements and subject to the conditions therein, (i) enter guilty pleas for one charge of negligent discharge of a harmful quantity of oil and one charge of knowing failure to immediately report a discharge of oil; (ii) sentencing that includes payment of a fine of $15.0 million plus mandatory special assessments over a period of up to five years with interest accruing at the federal statutory rate; (iii) organizational probation for a minimum period of three years from sentencing on December 6, 2021, which will include payment in full of certain components of the fines and penalty amounts; and (iv) compliance with the remedial measures in the Consent Decree.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6, 2021, the U.S. District Court accepted the Plea Agreement. This Global Settlement resulted in losses amounting to $36.3 million and will be paid over five to six years, of which we have paid principal amounts of $14.7 million as of June 30, 2024.</w:t>
      </w:r>
    </w:p>
    <w:p>
      <w:pPr>
        <w:pStyle w:val="TextBody"/>
        <w:bidi w:val="0"/>
        <w:spacing w:lineRule="auto" w:line="288" w:before="120" w:after="120"/>
        <w:jc w:val="left"/>
        <w:rPr/>
      </w:pPr>
      <w:r>
        <w:rPr>
          <w:rFonts w:ascii="Times New Roman;sans-serif" w:hAnsi="Times New Roman;sans-serif"/>
          <w:b/>
          <w:i/>
          <w:color w:val="000000"/>
          <w:sz w:val="20"/>
        </w:rPr>
        <w:t>Sage Natural Resources.</w:t>
      </w:r>
      <w:r>
        <w:rPr>
          <w:color w:val="000000"/>
        </w:rPr>
        <w:t xml:space="preserve"> </w:t>
      </w:r>
      <w:r>
        <w:rPr>
          <w:rFonts w:ascii="Times New Roman;sans-serif" w:hAnsi="Times New Roman;sans-serif"/>
          <w:b w:val="false"/>
          <w:color w:val="000000"/>
          <w:sz w:val="20"/>
        </w:rPr>
        <w:t xml:space="preserve">In July 2022, the Partnership’s subsidiary DFW Midstream filed a petition in the District Court of Dallas County, Texas seeking payment, before costs and interest, of approximately $1.0 million in electric power costs for gathering services provided to Sage Natural Resources, LLC (“Sage”) in 2021-2022. On July 25, 2024, this matter was resolved with no material impact to the Partnership.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risk factors contained in Exhibit 99.1 to the Partnership’s Current Report on Form 8-K filed with the SEC on June 3, 2024 are incorporated herein by reference except to the extent they address risks arising from or relating to the failure of events described therein to occur, which events have since occurred.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222885"/>
                <wp:effectExtent l="0" t="0" r="0" b="0"/>
                <wp:wrapNone/>
                <wp:docPr id="50" name="Frame50"/>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120" w:after="283"/>
        <w:jc w:val="left"/>
        <w:rPr/>
      </w:pPr>
      <w:hyperlink w:anchor="i69ee8b4d644242bf8ed471293c41640a_7">
        <w:r>
          <w:rPr>
            <w:rStyle w:val="InternetLink"/>
            <w:rFonts w:ascii="Times New Roman;sans-serif" w:hAnsi="Times New Roman;sans-serif"/>
            <w:b w:val="false"/>
            <w:color w:val="000080"/>
            <w:sz w:val="20"/>
            <w:u w:val="single"/>
          </w:rPr>
          <w:t xml:space="preserve">Table </w:t>
        </w:r>
      </w:hyperlink>
      <w:hyperlink w:anchor="i69ee8b4d644242bf8ed471293c41640a_7">
        <w:r>
          <w:rPr>
            <w:rStyle w:val="InternetLink"/>
            <w:rFonts w:ascii="Times New Roman;sans-serif" w:hAnsi="Times New Roman;sans-serif"/>
            <w:b w:val="false"/>
            <w:color w:val="000080"/>
            <w:sz w:val="20"/>
            <w:u w:val="single"/>
          </w:rPr>
          <w:t>of</w:t>
        </w:r>
      </w:hyperlink>
      <w:hyperlink w:anchor="i69ee8b4d644242bf8ed471293c41640a_7">
        <w:r>
          <w:rPr>
            <w:rStyle w:val="InternetLink"/>
            <w:rFonts w:ascii="Times New Roman;sans-serif" w:hAnsi="Times New Roman;sans-serif"/>
            <w:b w:val="false"/>
            <w:color w:val="000080"/>
            <w:sz w:val="20"/>
            <w:u w:val="single"/>
          </w:rPr>
          <w:t xml:space="preserve"> Contents</w:t>
        </w:r>
      </w:hyperlink>
    </w:p>
    <w:p>
      <w:pPr>
        <w:pStyle w:val="TextBody"/>
        <w:bidi w:val="0"/>
        <w:spacing w:before="120" w:after="283"/>
        <w:jc w:val="left"/>
        <w:rPr/>
      </w:pPr>
      <w:r>
        <w:rPr/>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and Use of Proceeds.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pStyle w:val="TextBody"/>
        <w:bidi w:val="0"/>
        <w:spacing w:lineRule="auto" w:line="288" w:before="120" w:after="283"/>
        <w:jc w:val="left"/>
        <w:rPr>
          <w:rFonts w:ascii="Times New Roman;sans-serif" w:hAnsi="Times New Roman;sans-serif"/>
          <w:b/>
          <w:color w:val="000000"/>
          <w:sz w:val="20"/>
        </w:rPr>
      </w:pPr>
      <w:r>
        <w:rPr>
          <w:rFonts w:ascii="Times New Roman;sans-serif" w:hAnsi="Times New Roman;sans-serif"/>
          <w:b/>
          <w:color w:val="000000"/>
          <w:sz w:val="20"/>
        </w:rPr>
        <w:t>Item 4. Mine Safety Disclosure.</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pPr>
      <w:r>
        <w:rPr>
          <w:rFonts w:ascii="Times New Roman;sans-serif" w:hAnsi="Times New Roman;sans-serif"/>
          <w:b/>
          <w:color w:val="000000"/>
          <w:sz w:val="20"/>
        </w:rPr>
        <w:t>Item 5. Other Information</w:t>
      </w:r>
      <w:r>
        <w:rPr>
          <w:rFonts w:ascii="Times New Roman;sans-serif" w:hAnsi="Times New Roman;sans-serif"/>
          <w:b/>
          <w:i/>
          <w:color w:val="000000"/>
          <w:sz w:val="20"/>
        </w:rPr>
        <w:t>.</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4"/>
        </w:rPr>
      </w:pPr>
      <w:r>
        <w:rPr>
          <w:rFonts w:ascii="Times New Roman;sans-serif" w:hAnsi="Times New Roman;sans-serif"/>
          <w:b/>
          <w:color w:val="000000"/>
          <w:sz w:val="24"/>
        </w:rPr>
        <w:t>Item 6. Exhibits.</w:t>
      </w:r>
    </w:p>
    <w:tbl>
      <w:tblPr>
        <w:tblW w:w="10205" w:type="dxa"/>
        <w:jc w:val="left"/>
        <w:tblInd w:w="0" w:type="dxa"/>
        <w:tblLayout w:type="fixed"/>
        <w:tblCellMar>
          <w:top w:w="28" w:type="dxa"/>
          <w:left w:w="28" w:type="dxa"/>
          <w:bottom w:w="28" w:type="dxa"/>
          <w:right w:w="28" w:type="dxa"/>
        </w:tblCellMar>
      </w:tblPr>
      <w:tblGrid>
        <w:gridCol w:w="344"/>
        <w:gridCol w:w="302"/>
        <w:gridCol w:w="304"/>
        <w:gridCol w:w="109"/>
        <w:gridCol w:w="109"/>
        <w:gridCol w:w="109"/>
        <w:gridCol w:w="2615"/>
        <w:gridCol w:w="2604"/>
        <w:gridCol w:w="3709"/>
      </w:tblGrid>
      <w:tr>
        <w:trPr/>
        <w:tc>
          <w:tcPr>
            <w:tcW w:w="34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5" w:type="dxa"/>
            <w:tcBorders/>
            <w:vAlign w:val="center"/>
          </w:tcPr>
          <w:p>
            <w:pPr>
              <w:pStyle w:val="TableContents"/>
              <w:bidi w:val="0"/>
              <w:spacing w:before="0" w:after="283"/>
              <w:jc w:val="left"/>
              <w:rPr>
                <w:sz w:val="4"/>
                <w:szCs w:val="4"/>
              </w:rPr>
            </w:pPr>
            <w:r>
              <w:rPr>
                <w:sz w:val="4"/>
                <w:szCs w:val="4"/>
              </w:rPr>
            </w:r>
          </w:p>
        </w:tc>
        <w:tc>
          <w:tcPr>
            <w:tcW w:w="2604" w:type="dxa"/>
            <w:tcBorders/>
            <w:vAlign w:val="center"/>
          </w:tcPr>
          <w:p>
            <w:pPr>
              <w:pStyle w:val="TableContents"/>
              <w:bidi w:val="0"/>
              <w:spacing w:before="0" w:after="283"/>
              <w:jc w:val="left"/>
              <w:rPr>
                <w:sz w:val="4"/>
                <w:szCs w:val="4"/>
              </w:rPr>
            </w:pPr>
            <w:r>
              <w:rPr>
                <w:sz w:val="4"/>
                <w:szCs w:val="4"/>
              </w:rPr>
            </w:r>
          </w:p>
        </w:tc>
        <w:tc>
          <w:tcPr>
            <w:tcW w:w="3709" w:type="dxa"/>
            <w:tcBorders/>
            <w:vAlign w:val="center"/>
          </w:tcPr>
          <w:p>
            <w:pPr>
              <w:pStyle w:val="TableContents"/>
              <w:bidi w:val="0"/>
              <w:spacing w:before="0" w:after="283"/>
              <w:jc w:val="left"/>
              <w:rPr>
                <w:sz w:val="4"/>
                <w:szCs w:val="4"/>
              </w:rPr>
            </w:pPr>
            <w:r>
              <w:rPr>
                <w:sz w:val="4"/>
                <w:szCs w:val="4"/>
              </w:rPr>
            </w:r>
          </w:p>
        </w:tc>
      </w:tr>
      <w:tr>
        <w:trPr/>
        <w:tc>
          <w:tcPr>
            <w:tcW w:w="9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Description</w:t>
            </w:r>
          </w:p>
        </w:tc>
      </w:tr>
      <w:tr>
        <w:trPr/>
        <w:tc>
          <w:tcPr>
            <w:tcW w:w="95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hyperlink r:id="rId2">
              <w:r>
                <w:rPr>
                  <w:rStyle w:val="InternetLink"/>
                  <w:rFonts w:ascii="Times New Roman;sans-serif" w:hAnsi="Times New Roman;sans-serif"/>
                  <w:b w:val="false"/>
                  <w:color w:val="0000FF"/>
                  <w:sz w:val="20"/>
                  <w:u w:val="single"/>
                </w:rPr>
                <w:t>2.1</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ans-serif" w:hAnsi="Times New Roman;sans-serif"/>
                  <w:b w:val="false"/>
                  <w:color w:val="0000FF"/>
                  <w:sz w:val="20"/>
                  <w:u w:val="single"/>
                </w:rPr>
                <w:t>Agreement and Plan of Merger, dated as of May 31, 2024, by and among Summit Midstream Corporation, Summit SMC NewCo, LLC, Summit Midstream Partners, LP and Summit Midstream GP, LLC (Incorporated herein by reference to Exhibit 2.1 to SMLP’s Current Report on Form 8-K filed June 3, 2024 (Commission File No. 001-35666))</w:t>
              </w:r>
            </w:hyperlink>
          </w:p>
        </w:tc>
      </w:tr>
      <w:tr>
        <w:trPr/>
        <w:tc>
          <w:tcPr>
            <w:tcW w:w="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4">
              <w:r>
                <w:rPr>
                  <w:rStyle w:val="InternetLink"/>
                  <w:rFonts w:ascii="Times New Roman;sans-serif" w:hAnsi="Times New Roman;sans-serif"/>
                  <w:b w:val="false"/>
                  <w:color w:val="0000FF"/>
                  <w:sz w:val="20"/>
                  <w:u w:val="single"/>
                </w:rPr>
                <w:t>3.1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5">
              <w:bookmarkStart w:id="0" w:name="i06c9f6abf4c34c6e8562420fa56bec7b_2-2-1-"/>
              <w:bookmarkEnd w:id="0"/>
              <w:r>
                <w:rPr>
                  <w:rStyle w:val="InternetLink"/>
                  <w:rFonts w:ascii="Times New Roman;sans-serif" w:hAnsi="Times New Roman;sans-serif"/>
                  <w:b w:val="false"/>
                  <w:color w:val="0000FF"/>
                  <w:sz w:val="20"/>
                  <w:u w:val="single"/>
                </w:rPr>
                <w:t>Fifth Amended and Restated Agreement of Limited Partnership of Summit Midstream Partners, LP, dated August 1, 2024 (Incorporated herein by reference to Exhibit 3.1 to SMLP's Current Report on Form 8-K filed August 1, 2024 (Commission File No. 001-35666)).</w:t>
              </w:r>
            </w:hyperlink>
          </w:p>
        </w:tc>
      </w:tr>
      <w:tr>
        <w:trPr/>
        <w:tc>
          <w:tcPr>
            <w:tcW w:w="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6">
              <w:r>
                <w:rPr>
                  <w:rStyle w:val="InternetLink"/>
                  <w:rFonts w:ascii="Times New Roman;sans-serif" w:hAnsi="Times New Roman;sans-serif"/>
                  <w:b w:val="false"/>
                  <w:color w:val="0000FF"/>
                  <w:sz w:val="20"/>
                  <w:u w:val="single"/>
                </w:rPr>
                <w:t>3.2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7">
              <w:r>
                <w:rPr>
                  <w:rStyle w:val="InternetLink"/>
                  <w:rFonts w:ascii="Times New Roman;sans-serif" w:hAnsi="Times New Roman;sans-serif"/>
                  <w:b w:val="false"/>
                  <w:color w:val="0000FF"/>
                  <w:sz w:val="20"/>
                  <w:u w:val="single"/>
                </w:rPr>
                <w:t>Third Amended and Restated Limited Liability Company Agreement of Summit Midstream GP, LLC, dated August 1, 2024 (Incorporated herein by reference to Exhibit 3.2 to SMLP's Current Report on Form 8-K filed August 1, 2024 (Commission File No. 001-35666)).</w:t>
              </w:r>
            </w:hyperlink>
          </w:p>
        </w:tc>
      </w:tr>
      <w:tr>
        <w:trPr/>
        <w:tc>
          <w:tcPr>
            <w:tcW w:w="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8">
              <w:r>
                <w:rPr>
                  <w:rStyle w:val="InternetLink"/>
                  <w:rFonts w:ascii="Times New Roman;sans-serif" w:hAnsi="Times New Roman;sans-serif"/>
                  <w:b w:val="false"/>
                  <w:color w:val="0000FF"/>
                  <w:sz w:val="20"/>
                  <w:u w:val="single"/>
                </w:rPr>
                <w:t>3.3</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9">
              <w:r>
                <w:rPr>
                  <w:rStyle w:val="InternetLink"/>
                  <w:rFonts w:ascii="Times New Roman;sans-serif" w:hAnsi="Times New Roman;sans-serif"/>
                  <w:b w:val="false"/>
                  <w:color w:val="0000FF"/>
                  <w:sz w:val="20"/>
                  <w:u w:val="single"/>
                </w:rPr>
                <w:t>Certificate of Limited Partnership of Summit Midstream Partners, LP (Incorporated herein by reference to Exhibit 3.1 to SMLP's Form S-1 Registration Statement dated August 21, 2012 (Commission File No. 333-183466))</w:t>
              </w:r>
            </w:hyperlink>
          </w:p>
        </w:tc>
      </w:tr>
      <w:tr>
        <w:trPr/>
        <w:tc>
          <w:tcPr>
            <w:tcW w:w="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10">
              <w:r>
                <w:rPr>
                  <w:rStyle w:val="InternetLink"/>
                  <w:rFonts w:ascii="Times New Roman;sans-serif" w:hAnsi="Times New Roman;sans-serif"/>
                  <w:b w:val="false"/>
                  <w:color w:val="0000FF"/>
                  <w:sz w:val="20"/>
                  <w:u w:val="single"/>
                </w:rPr>
                <w:t>3.4</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1">
              <w:r>
                <w:rPr>
                  <w:rStyle w:val="InternetLink"/>
                  <w:rFonts w:ascii="Times New Roman;sans-serif" w:hAnsi="Times New Roman;sans-serif"/>
                  <w:b w:val="false"/>
                  <w:color w:val="0000FF"/>
                  <w:sz w:val="20"/>
                  <w:u w:val="single"/>
                </w:rPr>
                <w:t>Certificate of Formation of Summit Midstream GP, LLC (Incorporated herein by reference to Exhibit 3.4 to SMLP's Form S-1 Registration Statement dated August 21, 2012 (Commission File No. 333-183466))</w:t>
              </w:r>
            </w:hyperlink>
          </w:p>
        </w:tc>
      </w:tr>
      <w:tr>
        <w:trPr/>
        <w:tc>
          <w:tcPr>
            <w:tcW w:w="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r:id="rId12">
              <w:r>
                <w:rPr>
                  <w:rStyle w:val="InternetLink"/>
                  <w:rFonts w:ascii="Times New Roman;sans-serif" w:hAnsi="Times New Roman;sans-serif"/>
                  <w:b w:val="false"/>
                  <w:color w:val="0000FF"/>
                  <w:sz w:val="20"/>
                  <w:u w:val="single"/>
                </w:rPr>
                <w:t>10.1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before="0" w:after="0"/>
              <w:jc w:val="right"/>
              <w:rPr/>
            </w:pPr>
            <w:r>
              <w:rPr/>
            </w:r>
          </w:p>
        </w:tc>
        <w:tc>
          <w:tcPr>
            <w:tcW w:w="89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ans-serif" w:hAnsi="Times New Roman;sans-serif"/>
                  <w:b w:val="false"/>
                  <w:color w:val="0000FF"/>
                  <w:sz w:val="20"/>
                  <w:u w:val="single"/>
                </w:rPr>
                <w:t>Purchase and Sale Agreement, dated May 1, 2024, by and among Mountaineer Midstream Company, LLC, as Seller, and Antero Midstream LLC, as Buyer, and for the limited purposes expressly set forth thereto, Summit Midstream Partners, LP (Incorporated herein by reference to Exhibit 10.1 to SMLP’s Quarterly Report on Form 10-Q filed May 6, 2024 (Commission File No. 001-35666))</w:t>
              </w:r>
            </w:hyperlink>
          </w:p>
        </w:tc>
      </w:tr>
      <w:tr>
        <w:trPr/>
        <w:tc>
          <w:tcPr>
            <w:tcW w:w="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r:id="rId14">
              <w:r>
                <w:rPr>
                  <w:rStyle w:val="InternetLink"/>
                  <w:rFonts w:ascii="Times New Roman;sans-serif" w:hAnsi="Times New Roman;sans-serif"/>
                  <w:b w:val="false"/>
                  <w:color w:val="0000FF"/>
                  <w:sz w:val="20"/>
                  <w:u w:val="single"/>
                </w:rPr>
                <w:t>10.2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ans-serif" w:hAnsi="Times New Roman;sans-serif"/>
                  <w:b w:val="false"/>
                  <w:color w:val="0000FF"/>
                  <w:sz w:val="20"/>
                  <w:u w:val="single"/>
                </w:rPr>
                <w:t>First Amendment to the Summit Midstream Partners, LP 2022 Long-Term Incentive Plan (Incorporated herein by reference to Exhibit 10.1 to SMLP’s Current Report on Form 8-K filed May 22, 2024 (Commission File No. 001-35666))</w:t>
              </w:r>
            </w:hyperlink>
          </w:p>
        </w:tc>
      </w:tr>
      <w:tr>
        <w:trPr/>
        <w:tc>
          <w:tcPr>
            <w:tcW w:w="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smlp-20240630xex311.htm">
              <w:r>
                <w:rPr>
                  <w:rStyle w:val="InternetLink"/>
                  <w:rFonts w:ascii="Times New Roman;sans-serif" w:hAnsi="Times New Roman;sans-serif"/>
                  <w:b w:val="false"/>
                  <w:color w:val="0000FF"/>
                  <w:sz w:val="20"/>
                  <w:u w:val="single"/>
                </w:rPr>
                <w:t>31.1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smlp-20240630xex311.htm">
              <w:r>
                <w:rPr>
                  <w:rStyle w:val="InternetLink"/>
                  <w:rFonts w:ascii="Times New Roman;sans-serif" w:hAnsi="Times New Roman;sans-serif"/>
                  <w:b w:val="false"/>
                  <w:color w:val="0000FF"/>
                  <w:sz w:val="20"/>
                  <w:u w:val="single"/>
                </w:rPr>
                <w:t>Rule 13a-14(a)/15d-14(a) Certification, executed by Heath Deneke, President, Chief Executive Officer and Director</w:t>
              </w:r>
            </w:hyperlink>
          </w:p>
        </w:tc>
      </w:tr>
      <w:tr>
        <w:trPr/>
        <w:tc>
          <w:tcPr>
            <w:tcW w:w="9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hyperlink w:anchor="smlp-20240630xex312.htm">
              <w:r>
                <w:rPr>
                  <w:rStyle w:val="InternetLink"/>
                  <w:rFonts w:ascii="Times New Roman;sans-serif" w:hAnsi="Times New Roman;sans-serif"/>
                  <w:b w:val="false"/>
                  <w:color w:val="0000FF"/>
                  <w:sz w:val="20"/>
                  <w:u w:val="single"/>
                </w:rPr>
                <w:t>31.2</w:t>
              </w:r>
            </w:hyperlink>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hyperlink w:anchor="smlp-20240630xex312.htm">
              <w:r>
                <w:rPr>
                  <w:rStyle w:val="InternetLink"/>
                  <w:rFonts w:ascii="Times New Roman;sans-serif" w:hAnsi="Times New Roman;sans-serif"/>
                  <w:b w:val="false"/>
                  <w:color w:val="000080"/>
                  <w:sz w:val="20"/>
                  <w:u w:val="single"/>
                </w:rPr>
                <w:t>Rule 13</w:t>
              </w:r>
            </w:hyperlink>
            <w:hyperlink w:anchor="smlp-20240630xex312.htm">
              <w:r>
                <w:rPr>
                  <w:rStyle w:val="InternetLink"/>
                  <w:rFonts w:ascii="Times New Roman;sans-serif" w:hAnsi="Times New Roman;sans-serif"/>
                  <w:b w:val="false"/>
                  <w:color w:val="000080"/>
                  <w:sz w:val="20"/>
                  <w:u w:val="single"/>
                </w:rPr>
                <w:t>a-14(a)/15d-14(a) Certification, executed by William J. Mault, Executive Vice President and Chief Financial Officer</w:t>
              </w:r>
            </w:hyperlink>
          </w:p>
        </w:tc>
      </w:tr>
      <w:tr>
        <w:trPr/>
        <w:tc>
          <w:tcPr>
            <w:tcW w:w="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smlp-20240630xex321.htm">
              <w:r>
                <w:rPr>
                  <w:rStyle w:val="InternetLink"/>
                  <w:rFonts w:ascii="Times New Roman;sans-serif" w:hAnsi="Times New Roman;sans-serif"/>
                  <w:b w:val="false"/>
                  <w:color w:val="0000FF"/>
                  <w:sz w:val="20"/>
                  <w:u w:val="single"/>
                </w:rPr>
                <w:t>32.1</w:t>
              </w:r>
            </w:hyperlink>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smlp-20240630xex321.htm">
              <w:r>
                <w:rPr>
                  <w:rStyle w:val="InternetLink"/>
                  <w:rFonts w:ascii="Times New Roman;sans-serif" w:hAnsi="Times New Roman;sans-serif"/>
                  <w:b w:val="false"/>
                  <w:color w:val="0000FF"/>
                  <w:sz w:val="20"/>
                  <w:u w:val="single"/>
                </w:rPr>
                <w:t>Certifications required by Rule 13a-14(b) or Rule 15d-14(b) and Section 1350 of Chapter 63 of Title 18 of the United States Code (18 U.S.C. 1350), executed by Heath Deneke, President, Chief Executive Officer and Director, and William J. Mault, Executive Vice President and Chief Financial Officer</w:t>
              </w:r>
            </w:hyperlink>
          </w:p>
        </w:tc>
      </w:tr>
      <w:tr>
        <w:trPr/>
        <w:tc>
          <w:tcPr>
            <w:tcW w:w="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 the instance document does not appear in the Interactive Data File because its XBRL tags are embedded within the Inline XBRL document</w:t>
            </w:r>
          </w:p>
        </w:tc>
      </w:tr>
      <w:tr>
        <w:trPr/>
        <w:tc>
          <w:tcPr>
            <w:tcW w:w="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w:t>
            </w:r>
          </w:p>
        </w:tc>
      </w:tr>
      <w:tr>
        <w:trPr/>
        <w:tc>
          <w:tcPr>
            <w:tcW w:w="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w:t>
            </w:r>
          </w:p>
        </w:tc>
      </w:tr>
      <w:tr>
        <w:trPr/>
        <w:tc>
          <w:tcPr>
            <w:tcW w:w="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w:t>
            </w:r>
          </w:p>
        </w:tc>
      </w:tr>
      <w:tr>
        <w:trPr/>
        <w:tc>
          <w:tcPr>
            <w:tcW w:w="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w:t>
            </w:r>
          </w:p>
        </w:tc>
      </w:tr>
      <w:tr>
        <w:trPr/>
        <w:tc>
          <w:tcPr>
            <w:tcW w:w="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w:t>
            </w:r>
          </w:p>
        </w:tc>
      </w:tr>
      <w:tr>
        <w:trPr/>
        <w:tc>
          <w:tcPr>
            <w:tcW w:w="9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 Pursuant to Rule 406T of Regulation S-T, the Interactive Data Files on Exhibit 101 hereto are deemed not filed or part of a registration statement or prospectus for purposes of Sections 11 or 12 of the Securities Act of 1933, as amended, are deemed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1"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0"/>
        <w:jc w:val="left"/>
        <w:rPr/>
      </w:pPr>
      <w:hyperlink w:anchor="i69ee8b4d644242bf8ed471293c41640a_7">
        <w:r>
          <w:rPr>
            <w:rStyle w:val="InternetLink"/>
            <w:rFonts w:ascii="Times New Roman;sans-serif" w:hAnsi="Times New Roman;sans-serif"/>
            <w:b w:val="false"/>
            <w:color w:val="000080"/>
            <w:sz w:val="20"/>
            <w:u w:val="single"/>
          </w:rPr>
          <w:t xml:space="preserve">Table </w:t>
        </w:r>
      </w:hyperlink>
      <w:hyperlink w:anchor="i69ee8b4d644242bf8ed471293c41640a_7">
        <w:r>
          <w:rPr>
            <w:rStyle w:val="InternetLink"/>
            <w:rFonts w:ascii="Times New Roman;sans-serif" w:hAnsi="Times New Roman;sans-serif"/>
            <w:b w:val="false"/>
            <w:color w:val="000080"/>
            <w:sz w:val="20"/>
            <w:u w:val="single"/>
          </w:rPr>
          <w:t>of</w:t>
        </w:r>
      </w:hyperlink>
      <w:hyperlink w:anchor="i69ee8b4d644242bf8ed471293c41640a_7">
        <w:r>
          <w:rPr>
            <w:rStyle w:val="InternetLink"/>
            <w:rFonts w:ascii="Times New Roman;sans-serif" w:hAnsi="Times New Roman;sans-serif"/>
            <w:b w:val="false"/>
            <w:color w:val="000080"/>
            <w:sz w:val="20"/>
            <w:u w:val="single"/>
          </w:rPr>
          <w:t xml:space="preserve"> Contents</w:t>
        </w:r>
      </w:hyperlink>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 filed for purposes of Section 18 of the Securities and Exchange Act of 1934, as amended, and otherwise are not subject to liability under those sections. The financial information contained in the XBRL (eXtensible Business Reporting Language)-related documents is unaudited and unreviewed.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2"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120" w:after="283"/>
        <w:jc w:val="left"/>
        <w:rPr/>
      </w:pPr>
      <w:hyperlink w:anchor="i69ee8b4d644242bf8ed471293c41640a_7">
        <w:r>
          <w:rPr>
            <w:rStyle w:val="InternetLink"/>
            <w:rFonts w:ascii="Times New Roman;sans-serif" w:hAnsi="Times New Roman;sans-serif"/>
            <w:b w:val="false"/>
            <w:color w:val="000080"/>
            <w:sz w:val="20"/>
            <w:u w:val="single"/>
          </w:rPr>
          <w:t xml:space="preserve">Table </w:t>
        </w:r>
      </w:hyperlink>
      <w:hyperlink w:anchor="i69ee8b4d644242bf8ed471293c41640a_7">
        <w:r>
          <w:rPr>
            <w:rStyle w:val="InternetLink"/>
            <w:rFonts w:ascii="Times New Roman;sans-serif" w:hAnsi="Times New Roman;sans-serif"/>
            <w:b w:val="false"/>
            <w:color w:val="000080"/>
            <w:sz w:val="20"/>
            <w:u w:val="single"/>
          </w:rPr>
          <w:t>of</w:t>
        </w:r>
      </w:hyperlink>
      <w:hyperlink w:anchor="i69ee8b4d644242bf8ed471293c41640a_7">
        <w:r>
          <w:rPr>
            <w:rStyle w:val="InternetLink"/>
            <w:rFonts w:ascii="Times New Roman;sans-serif" w:hAnsi="Times New Roman;sans-serif"/>
            <w:b w:val="false"/>
            <w:color w:val="000080"/>
            <w:sz w:val="20"/>
            <w:u w:val="single"/>
          </w:rPr>
          <w:t xml:space="preserve"> Contents</w:t>
        </w:r>
      </w:hyperlink>
    </w:p>
    <w:p>
      <w:pPr>
        <w:pStyle w:val="TextBody"/>
        <w:bidi w:val="0"/>
        <w:spacing w:lineRule="auto" w:line="288" w:before="120" w:after="283"/>
        <w:jc w:val="center"/>
        <w:rPr>
          <w:rFonts w:ascii="Times New Roman;sans-serif" w:hAnsi="Times New Roman;sans-serif"/>
          <w:b/>
          <w:color w:val="000000"/>
          <w:sz w:val="24"/>
        </w:rPr>
      </w:pPr>
      <w:r>
        <w:rPr>
          <w:rFonts w:ascii="Times New Roman;sans-serif" w:hAnsi="Times New Roman;sans-serif"/>
          <w:b/>
          <w:color w:val="000000"/>
          <w:sz w:val="24"/>
        </w:rPr>
        <w:t>SIGNATURES</w:t>
      </w:r>
    </w:p>
    <w:p>
      <w:pPr>
        <w:pStyle w:val="TextBody"/>
        <w:bidi w:val="0"/>
        <w:spacing w:lineRule="auto" w:line="288" w:before="12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9569" w:type="dxa"/>
        <w:jc w:val="left"/>
        <w:tblInd w:w="0" w:type="dxa"/>
        <w:tblLayout w:type="fixed"/>
        <w:tblCellMar>
          <w:top w:w="28" w:type="dxa"/>
          <w:left w:w="28" w:type="dxa"/>
          <w:bottom w:w="28" w:type="dxa"/>
          <w:right w:w="28" w:type="dxa"/>
        </w:tblCellMar>
      </w:tblPr>
      <w:tblGrid>
        <w:gridCol w:w="493"/>
        <w:gridCol w:w="435"/>
        <w:gridCol w:w="437"/>
        <w:gridCol w:w="2397"/>
        <w:gridCol w:w="2397"/>
        <w:gridCol w:w="3410"/>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2397" w:type="dxa"/>
            <w:tcBorders/>
            <w:vAlign w:val="center"/>
          </w:tcPr>
          <w:p>
            <w:pPr>
              <w:pStyle w:val="TableContents"/>
              <w:bidi w:val="0"/>
              <w:spacing w:before="0" w:after="283"/>
              <w:jc w:val="left"/>
              <w:rPr>
                <w:sz w:val="4"/>
                <w:szCs w:val="4"/>
              </w:rPr>
            </w:pPr>
            <w:r>
              <w:rPr>
                <w:sz w:val="4"/>
                <w:szCs w:val="4"/>
              </w:rPr>
            </w:r>
          </w:p>
        </w:tc>
        <w:tc>
          <w:tcPr>
            <w:tcW w:w="2397" w:type="dxa"/>
            <w:tcBorders/>
            <w:vAlign w:val="center"/>
          </w:tcPr>
          <w:p>
            <w:pPr>
              <w:pStyle w:val="TableContents"/>
              <w:bidi w:val="0"/>
              <w:spacing w:before="0" w:after="283"/>
              <w:jc w:val="left"/>
              <w:rPr>
                <w:sz w:val="4"/>
                <w:szCs w:val="4"/>
              </w:rPr>
            </w:pPr>
            <w:r>
              <w:rPr>
                <w:sz w:val="4"/>
                <w:szCs w:val="4"/>
              </w:rPr>
            </w:r>
          </w:p>
        </w:tc>
        <w:tc>
          <w:tcPr>
            <w:tcW w:w="3410"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4"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Summit Midstream Partners, LP</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4" w:type="dxa"/>
            <w:gridSpan w:val="3"/>
            <w:tcBorders/>
            <w:tcMar>
              <w:top w:w="0" w:type="dxa"/>
              <w:left w:w="0" w:type="dxa"/>
              <w:bottom w:w="0" w:type="dxa"/>
              <w:right w:w="0" w:type="dxa"/>
            </w:tcMar>
            <w:vAlign w:val="center"/>
          </w:tcPr>
          <w:p>
            <w:pPr>
              <w:pStyle w:val="TableContents"/>
              <w:bidi w:val="0"/>
              <w:spacing w:lineRule="auto" w:line="240" w:before="0" w:after="0"/>
              <w:ind w:left="0" w:right="0" w:hanging="90"/>
              <w:jc w:val="left"/>
              <w:rPr>
                <w:rFonts w:ascii="Times New Roman;sans-serif" w:hAnsi="Times New Roman;sans-serif"/>
                <w:b w:val="false"/>
                <w:color w:val="000000"/>
                <w:sz w:val="20"/>
              </w:rPr>
            </w:pPr>
            <w:r>
              <w:rPr>
                <w:rFonts w:ascii="Times New Roman;sans-serif" w:hAnsi="Times New Roman;sans-serif"/>
                <w:b w:val="false"/>
                <w:color w:val="000000"/>
                <w:sz w:val="20"/>
              </w:rPr>
              <w:t>By: Summit Midstream GP, LLC (its General Partner)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August 9, 2024</w:t>
            </w:r>
          </w:p>
        </w:tc>
        <w:tc>
          <w:tcPr>
            <w:tcW w:w="82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WILLIAM J. MAULT</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William J. Mault, Executive Vice President and Chief Financial Officer (Principal Financial Officer)</w:t>
            </w:r>
          </w:p>
        </w:tc>
      </w:tr>
    </w:tbl>
    <w:p>
      <w:pPr>
        <w:pStyle w:val="TextBody"/>
        <w:bidi w:val="0"/>
        <w:spacing w:before="12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222885"/>
                <wp:effectExtent l="0" t="0" r="0" b="0"/>
                <wp:wrapNone/>
                <wp:docPr id="53" name="Frame53"/>
                <a:graphic xmlns:a="http://schemas.openxmlformats.org/drawingml/2006/main">
                  <a:graphicData uri="http://schemas.microsoft.com/office/word/2010/wordprocessingShape">
                    <wps:wsp>
                      <wps:cNvSpPr txBox="1"/>
                      <wps:spPr>
                        <a:xfrm>
                          <a:off x="0" y="0"/>
                          <a:ext cx="6480175" cy="222885"/>
                        </a:xfrm>
                        <a:prstGeom prst="rect"/>
                        <a:solidFill>
                          <a:srgbClr val="FFFFFF"/>
                        </a:solidFill>
                      </wps:spPr>
                      <wps:txb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7.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12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31.1</w: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CERTIFICATIONS</w:t>
      </w: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I, Heath Deneke, certify that:</w:t>
      </w: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1. I have reviewed this quarterly report on Form 10-Q of Summit Midstream Partners, LP;</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203"/>
        <w:gridCol w:w="179"/>
        <w:gridCol w:w="181"/>
        <w:gridCol w:w="393"/>
        <w:gridCol w:w="393"/>
        <w:gridCol w:w="394"/>
        <w:gridCol w:w="109"/>
        <w:gridCol w:w="109"/>
        <w:gridCol w:w="109"/>
        <w:gridCol w:w="2435"/>
        <w:gridCol w:w="2351"/>
        <w:gridCol w:w="3349"/>
      </w:tblGrid>
      <w:tr>
        <w:trPr/>
        <w:tc>
          <w:tcPr>
            <w:tcW w:w="20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35" w:type="dxa"/>
            <w:tcBorders/>
            <w:vAlign w:val="center"/>
          </w:tcPr>
          <w:p>
            <w:pPr>
              <w:pStyle w:val="TableContents"/>
              <w:bidi w:val="0"/>
              <w:spacing w:before="0" w:after="283"/>
              <w:jc w:val="left"/>
              <w:rPr>
                <w:sz w:val="4"/>
                <w:szCs w:val="4"/>
              </w:rPr>
            </w:pPr>
            <w:r>
              <w:rPr>
                <w:sz w:val="4"/>
                <w:szCs w:val="4"/>
              </w:rPr>
            </w:r>
          </w:p>
        </w:tc>
        <w:tc>
          <w:tcPr>
            <w:tcW w:w="2351" w:type="dxa"/>
            <w:tcBorders/>
            <w:vAlign w:val="center"/>
          </w:tcPr>
          <w:p>
            <w:pPr>
              <w:pStyle w:val="TableContents"/>
              <w:bidi w:val="0"/>
              <w:spacing w:before="0" w:after="283"/>
              <w:jc w:val="left"/>
              <w:rPr>
                <w:sz w:val="4"/>
                <w:szCs w:val="4"/>
              </w:rPr>
            </w:pPr>
            <w:r>
              <w:rPr>
                <w:sz w:val="4"/>
                <w:szCs w:val="4"/>
              </w:rPr>
            </w:r>
          </w:p>
        </w:tc>
        <w:tc>
          <w:tcPr>
            <w:tcW w:w="3349" w:type="dxa"/>
            <w:tcBorders/>
            <w:vAlign w:val="center"/>
          </w:tcPr>
          <w:p>
            <w:pPr>
              <w:pStyle w:val="TableContents"/>
              <w:bidi w:val="0"/>
              <w:spacing w:before="0" w:after="283"/>
              <w:jc w:val="left"/>
              <w:rPr>
                <w:sz w:val="4"/>
                <w:szCs w:val="4"/>
              </w:rPr>
            </w:pPr>
            <w:r>
              <w:rPr>
                <w:sz w:val="4"/>
                <w:szCs w:val="4"/>
              </w:rPr>
            </w:r>
          </w:p>
        </w:tc>
      </w:tr>
      <w:tr>
        <w:trPr/>
        <w:tc>
          <w:tcPr>
            <w:tcW w:w="5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1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August 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 Heath Deneke</w:t>
            </w:r>
          </w:p>
        </w:tc>
      </w:tr>
      <w:tr>
        <w:trPr/>
        <w:tc>
          <w:tcPr>
            <w:tcW w:w="5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Heath Deneke</w:t>
              <w:br/>
              <w:t>President, Chief Executive Officer and Director of Summit Midstream GP, LLC (the general partner of Summit Midstream Partners, LP)</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273050"/>
                <wp:effectExtent l="0" t="0" r="0" b="0"/>
                <wp:wrapNone/>
                <wp:docPr id="54" name="Frame54"/>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EX 31.1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EX 31.1</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31.2</w:t>
      </w:r>
    </w:p>
    <w:p>
      <w:pPr>
        <w:pStyle w:val="TextBody"/>
        <w:bidi w:val="0"/>
        <w:spacing w:lineRule="auto" w:line="288" w:before="360" w:after="283"/>
        <w:jc w:val="center"/>
        <w:rPr>
          <w:rFonts w:ascii="Arial;sans-serif" w:hAnsi="Arial;sans-serif"/>
          <w:b/>
          <w:color w:val="000000"/>
          <w:sz w:val="20"/>
        </w:rPr>
      </w:pPr>
      <w:r>
        <w:rPr>
          <w:rFonts w:ascii="Arial;sans-serif" w:hAnsi="Arial;sans-serif"/>
          <w:b/>
          <w:color w:val="000000"/>
          <w:sz w:val="20"/>
        </w:rPr>
        <w:t>CERTIFICATIONS</w:t>
      </w: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I, William J. Mault, certify that:</w:t>
      </w:r>
    </w:p>
    <w:p>
      <w:pPr>
        <w:pStyle w:val="TextBody"/>
        <w:bidi w:val="0"/>
        <w:spacing w:lineRule="auto" w:line="288" w:before="160" w:after="283"/>
        <w:jc w:val="left"/>
        <w:rPr>
          <w:rFonts w:ascii="Arial;sans-serif" w:hAnsi="Arial;sans-serif"/>
          <w:b w:val="false"/>
          <w:color w:val="000000"/>
          <w:sz w:val="20"/>
        </w:rPr>
      </w:pPr>
      <w:r>
        <w:rPr>
          <w:rFonts w:ascii="Arial;sans-serif" w:hAnsi="Arial;sans-serif"/>
          <w:b w:val="false"/>
          <w:color w:val="000000"/>
          <w:sz w:val="20"/>
        </w:rPr>
        <w:t>1. I have reviewed this quarterly report on Form 10-Q of Summit Midstream Partners, LP;</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4. 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20" w:after="283"/>
        <w:jc w:val="left"/>
        <w:rPr>
          <w:rFonts w:ascii="Arial;sans-serif" w:hAnsi="Arial;sans-serif"/>
          <w:b w:val="false"/>
          <w:color w:val="000000"/>
          <w:sz w:val="20"/>
        </w:rPr>
      </w:pPr>
      <w:r>
        <w:rPr>
          <w:rFonts w:ascii="Arial;sans-serif" w:hAnsi="Arial;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p>
      <w:pPr>
        <w:pStyle w:val="TextBody"/>
        <w:bidi w:val="0"/>
        <w:spacing w:before="120" w:after="283"/>
        <w:jc w:val="left"/>
        <w:rPr/>
      </w:pPr>
      <w:r>
        <w:rPr/>
      </w:r>
    </w:p>
    <w:tbl>
      <w:tblPr>
        <w:tblW w:w="10205" w:type="dxa"/>
        <w:jc w:val="left"/>
        <w:tblInd w:w="0" w:type="dxa"/>
        <w:tblLayout w:type="fixed"/>
        <w:tblCellMar>
          <w:top w:w="28" w:type="dxa"/>
          <w:left w:w="28" w:type="dxa"/>
          <w:bottom w:w="28" w:type="dxa"/>
          <w:right w:w="28" w:type="dxa"/>
        </w:tblCellMar>
      </w:tblPr>
      <w:tblGrid>
        <w:gridCol w:w="203"/>
        <w:gridCol w:w="178"/>
        <w:gridCol w:w="180"/>
        <w:gridCol w:w="386"/>
        <w:gridCol w:w="386"/>
        <w:gridCol w:w="388"/>
        <w:gridCol w:w="109"/>
        <w:gridCol w:w="109"/>
        <w:gridCol w:w="109"/>
        <w:gridCol w:w="2458"/>
        <w:gridCol w:w="2360"/>
        <w:gridCol w:w="3339"/>
      </w:tblGrid>
      <w:tr>
        <w:trPr/>
        <w:tc>
          <w:tcPr>
            <w:tcW w:w="203"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8" w:type="dxa"/>
            <w:tcBorders/>
            <w:vAlign w:val="center"/>
          </w:tcPr>
          <w:p>
            <w:pPr>
              <w:pStyle w:val="TableContents"/>
              <w:bidi w:val="0"/>
              <w:spacing w:before="0" w:after="283"/>
              <w:jc w:val="left"/>
              <w:rPr>
                <w:sz w:val="4"/>
                <w:szCs w:val="4"/>
              </w:rPr>
            </w:pPr>
            <w:r>
              <w:rPr>
                <w:sz w:val="4"/>
                <w:szCs w:val="4"/>
              </w:rPr>
            </w:r>
          </w:p>
        </w:tc>
        <w:tc>
          <w:tcPr>
            <w:tcW w:w="2360" w:type="dxa"/>
            <w:tcBorders/>
            <w:vAlign w:val="center"/>
          </w:tcPr>
          <w:p>
            <w:pPr>
              <w:pStyle w:val="TableContents"/>
              <w:bidi w:val="0"/>
              <w:spacing w:before="0" w:after="283"/>
              <w:jc w:val="left"/>
              <w:rPr>
                <w:sz w:val="4"/>
                <w:szCs w:val="4"/>
              </w:rPr>
            </w:pPr>
            <w:r>
              <w:rPr>
                <w:sz w:val="4"/>
                <w:szCs w:val="4"/>
              </w:rPr>
            </w:r>
          </w:p>
        </w:tc>
        <w:tc>
          <w:tcPr>
            <w:tcW w:w="3339" w:type="dxa"/>
            <w:tcBorders/>
            <w:vAlign w:val="center"/>
          </w:tcPr>
          <w:p>
            <w:pPr>
              <w:pStyle w:val="TableContents"/>
              <w:bidi w:val="0"/>
              <w:spacing w:before="0" w:after="283"/>
              <w:jc w:val="left"/>
              <w:rPr>
                <w:sz w:val="4"/>
                <w:szCs w:val="4"/>
              </w:rPr>
            </w:pPr>
            <w:r>
              <w:rPr>
                <w:sz w:val="4"/>
                <w:szCs w:val="4"/>
              </w:rPr>
            </w:r>
          </w:p>
        </w:tc>
      </w:tr>
      <w:tr>
        <w:trPr/>
        <w:tc>
          <w:tcPr>
            <w:tcW w:w="56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11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20"/>
              </w:rPr>
            </w:pPr>
            <w:r>
              <w:rPr>
                <w:rFonts w:ascii="Arial;sans-serif" w:hAnsi="Arial;sans-serif"/>
                <w:b w:val="false"/>
                <w:color w:val="000000"/>
                <w:sz w:val="20"/>
              </w:rPr>
              <w:t>August 9,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/s/ William J. Mault</w:t>
            </w:r>
          </w:p>
        </w:tc>
      </w:tr>
      <w:tr>
        <w:trPr/>
        <w:tc>
          <w:tcPr>
            <w:tcW w:w="5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William J. Mault</w:t>
              <w:br/>
              <w:t>Executive Vice President and Chief Financial Officer of Summit Midstream GP, LLC (the general partner of Summit Midstream Partners, LP)</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273050"/>
                <wp:effectExtent l="0" t="0" r="0" b="0"/>
                <wp:wrapNone/>
                <wp:docPr id="55" name="Frame55"/>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EX 31.2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EX 31.2</w:t>
                      </w:r>
                    </w:p>
                  </w:txbxContent>
                </v:textbox>
                <w10:wrap type="none"/>
              </v:rect>
            </w:pict>
          </mc:Fallback>
        </mc:AlternateContent>
      </w:r>
    </w:p>
    <w:p>
      <w:pPr>
        <w:pStyle w:val="TextBody"/>
        <w:bidi w:val="0"/>
        <w:spacing w:lineRule="auto" w:line="288" w:before="0" w:after="0"/>
        <w:jc w:val="right"/>
        <w:rPr>
          <w:rFonts w:ascii="Arial;sans-serif" w:hAnsi="Arial;sans-serif"/>
          <w:b/>
          <w:color w:val="000000"/>
          <w:sz w:val="20"/>
        </w:rPr>
      </w:pPr>
      <w:r>
        <w:rPr>
          <w:rFonts w:ascii="Arial;sans-serif" w:hAnsi="Arial;sans-serif"/>
          <w:b/>
          <w:color w:val="000000"/>
          <w:sz w:val="20"/>
        </w:rPr>
        <w:t>EXHIBIT 32.1</w:t>
      </w:r>
    </w:p>
    <w:p>
      <w:pPr>
        <w:pStyle w:val="TextBody"/>
        <w:bidi w:val="0"/>
        <w:spacing w:lineRule="auto" w:line="288" w:before="200" w:after="283"/>
        <w:jc w:val="center"/>
        <w:rPr>
          <w:rFonts w:ascii="Arial;sans-serif" w:hAnsi="Arial;sans-serif"/>
          <w:b/>
          <w:color w:val="000000"/>
          <w:sz w:val="20"/>
        </w:rPr>
      </w:pPr>
      <w:r>
        <w:rPr>
          <w:rFonts w:ascii="Arial;sans-serif" w:hAnsi="Arial;sans-serif"/>
          <w:b/>
          <w:color w:val="000000"/>
          <w:sz w:val="20"/>
        </w:rPr>
        <w:t>CERTIFICATION PURSUANT TO 18 U.S.C. SECTION 1350,</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AS ADOPTED PURSUANT TO</w:t>
      </w:r>
    </w:p>
    <w:p>
      <w:pPr>
        <w:pStyle w:val="TextBody"/>
        <w:bidi w:val="0"/>
        <w:spacing w:lineRule="auto" w:line="288" w:before="0" w:after="0"/>
        <w:jc w:val="center"/>
        <w:rPr>
          <w:rFonts w:ascii="Arial;sans-serif" w:hAnsi="Arial;sans-serif"/>
          <w:b/>
          <w:color w:val="000000"/>
          <w:sz w:val="20"/>
        </w:rPr>
      </w:pPr>
      <w:r>
        <w:rPr>
          <w:rFonts w:ascii="Arial;sans-serif" w:hAnsi="Arial;sans-serif"/>
          <w:b/>
          <w:color w:val="000000"/>
          <w:sz w:val="20"/>
        </w:rPr>
        <w:t>SECTION 906 OF THE SARBANES-OXLEY ACT OF 2002</w:t>
      </w:r>
    </w:p>
    <w:p>
      <w:pPr>
        <w:pStyle w:val="TextBody"/>
        <w:bidi w:val="0"/>
        <w:spacing w:lineRule="auto" w:line="288" w:before="200" w:after="283"/>
        <w:jc w:val="left"/>
        <w:rPr>
          <w:rFonts w:ascii="Arial;sans-serif" w:hAnsi="Arial;sans-serif"/>
          <w:b w:val="false"/>
          <w:color w:val="000000"/>
          <w:sz w:val="20"/>
        </w:rPr>
      </w:pPr>
      <w:r>
        <w:rPr>
          <w:rFonts w:ascii="Arial;sans-serif" w:hAnsi="Arial;sans-serif"/>
          <w:b w:val="false"/>
          <w:color w:val="000000"/>
          <w:sz w:val="20"/>
        </w:rPr>
        <w:t>In connection with the quarterly report on Form 10-Q of Summit Midstream Partners, LP (the “Registrant”) for the quarterly period ended June 30, 2024, as filed with the Securities and Exchange Commission on the date hereof (the “Report”), the undersigned, Heath Deneke, as President, Chief Executive Officer and Director of Summit Midstream GP, LLC, the general partner of the Registrant, and William J. Mault, as Executive Vice President and Chief Financial Officer of Summit Midstream GP, LLC, the general partner of the Registrant, each hereby certify, pursuant to 18 U.S.C. Section 1350, as adopted pursuant to Section 906 of the Sarbanes-Oxley Act of 2002, that, to his knowledge:</w:t>
      </w:r>
    </w:p>
    <w:p>
      <w:pPr>
        <w:pStyle w:val="TextBody"/>
        <w:bidi w:val="0"/>
        <w:spacing w:lineRule="auto" w:line="288" w:before="200" w:after="283"/>
        <w:ind w:left="0" w:right="0" w:hanging="900"/>
        <w:jc w:val="left"/>
        <w:rPr>
          <w:rFonts w:ascii="Arial;sans-serif" w:hAnsi="Arial;sans-serif"/>
          <w:b w:val="false"/>
          <w:color w:val="000000"/>
          <w:sz w:val="20"/>
        </w:rPr>
      </w:pPr>
      <w:r>
        <w:rPr>
          <w:rFonts w:ascii="Arial;sans-serif" w:hAnsi="Arial;sans-serif"/>
          <w:b w:val="false"/>
          <w:color w:val="000000"/>
          <w:sz w:val="20"/>
        </w:rPr>
        <w:t>(1)The Report fully complies with the requirements of Section 13(a) or 15(d) of the Securities Exchange Act of 1934; and</w:t>
      </w:r>
    </w:p>
    <w:p>
      <w:pPr>
        <w:pStyle w:val="TextBody"/>
        <w:bidi w:val="0"/>
        <w:spacing w:lineRule="auto" w:line="288" w:before="200" w:after="283"/>
        <w:ind w:left="0" w:right="0" w:hanging="900"/>
        <w:jc w:val="left"/>
        <w:rPr>
          <w:rFonts w:ascii="Arial;sans-serif" w:hAnsi="Arial;sans-serif"/>
          <w:b w:val="false"/>
          <w:color w:val="000000"/>
          <w:sz w:val="20"/>
        </w:rPr>
      </w:pPr>
      <w:r>
        <w:rPr>
          <w:rFonts w:ascii="Arial;sans-serif" w:hAnsi="Arial;sans-serif"/>
          <w:b w:val="false"/>
          <w:color w:val="000000"/>
          <w:sz w:val="20"/>
        </w:rPr>
        <w:t>(2)The information contained in the Report fairly presents, in all material respects, the financial condition and results of operations of the Registrant.</w:t>
      </w:r>
    </w:p>
    <w:tbl>
      <w:tblPr>
        <w:tblW w:w="8192" w:type="dxa"/>
        <w:jc w:val="left"/>
        <w:tblInd w:w="0" w:type="dxa"/>
        <w:tblLayout w:type="fixed"/>
        <w:tblCellMar>
          <w:top w:w="28" w:type="dxa"/>
          <w:left w:w="28" w:type="dxa"/>
          <w:bottom w:w="28" w:type="dxa"/>
          <w:right w:w="28" w:type="dxa"/>
        </w:tblCellMar>
      </w:tblPr>
      <w:tblGrid>
        <w:gridCol w:w="249"/>
        <w:gridCol w:w="220"/>
        <w:gridCol w:w="221"/>
        <w:gridCol w:w="176"/>
        <w:gridCol w:w="176"/>
        <w:gridCol w:w="176"/>
        <w:gridCol w:w="2038"/>
        <w:gridCol w:w="2038"/>
        <w:gridCol w:w="2898"/>
      </w:tblGrid>
      <w:tr>
        <w:trPr/>
        <w:tc>
          <w:tcPr>
            <w:tcW w:w="2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2038" w:type="dxa"/>
            <w:tcBorders/>
            <w:vAlign w:val="center"/>
          </w:tcPr>
          <w:p>
            <w:pPr>
              <w:pStyle w:val="TableContents"/>
              <w:bidi w:val="0"/>
              <w:spacing w:before="0" w:after="283"/>
              <w:jc w:val="left"/>
              <w:rPr>
                <w:sz w:val="4"/>
                <w:szCs w:val="4"/>
              </w:rPr>
            </w:pPr>
            <w:r>
              <w:rPr>
                <w:sz w:val="4"/>
                <w:szCs w:val="4"/>
              </w:rPr>
            </w:r>
          </w:p>
        </w:tc>
        <w:tc>
          <w:tcPr>
            <w:tcW w:w="2898" w:type="dxa"/>
            <w:tcBorders/>
            <w:vAlign w:val="center"/>
          </w:tcPr>
          <w:p>
            <w:pPr>
              <w:pStyle w:val="TableContents"/>
              <w:bidi w:val="0"/>
              <w:spacing w:before="0" w:after="283"/>
              <w:jc w:val="left"/>
              <w:rPr>
                <w:sz w:val="4"/>
                <w:szCs w:val="4"/>
              </w:rPr>
            </w:pPr>
            <w:r>
              <w:rPr>
                <w:sz w:val="4"/>
                <w:szCs w:val="4"/>
              </w:rPr>
            </w:r>
          </w:p>
        </w:tc>
      </w:tr>
      <w:tr>
        <w:trPr/>
        <w:tc>
          <w:tcPr>
            <w:tcW w:w="8192"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/s/ Heath Deneke</w:t>
            </w:r>
          </w:p>
        </w:tc>
      </w:tr>
      <w:tr>
        <w:trPr/>
        <w:tc>
          <w:tcPr>
            <w:tcW w:w="6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52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Heath Deneke</w:t>
            </w:r>
          </w:p>
        </w:tc>
      </w:tr>
      <w:tr>
        <w:trPr/>
        <w:tc>
          <w:tcPr>
            <w:tcW w:w="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President, Chief Executive Officer and Director of Summit Midstream GP, LLC</w:t>
              <w:br/>
              <w:t>(the general partner of Summit Midstream Partners, LP)</w:t>
            </w:r>
          </w:p>
        </w:tc>
      </w:tr>
      <w:tr>
        <w:trPr/>
        <w:tc>
          <w:tcPr>
            <w:tcW w:w="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7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August 9, 2024</w:t>
            </w:r>
          </w:p>
        </w:tc>
      </w:tr>
    </w:tbl>
    <w:tbl>
      <w:tblPr>
        <w:tblW w:w="8738" w:type="dxa"/>
        <w:jc w:val="center"/>
        <w:tblInd w:w="0" w:type="dxa"/>
        <w:tblLayout w:type="fixed"/>
        <w:tblCellMar>
          <w:top w:w="28" w:type="dxa"/>
          <w:left w:w="28" w:type="dxa"/>
          <w:bottom w:w="28" w:type="dxa"/>
          <w:right w:w="28" w:type="dxa"/>
        </w:tblCellMar>
      </w:tblPr>
      <w:tblGrid>
        <w:gridCol w:w="249"/>
        <w:gridCol w:w="220"/>
        <w:gridCol w:w="221"/>
        <w:gridCol w:w="193"/>
        <w:gridCol w:w="193"/>
        <w:gridCol w:w="193"/>
        <w:gridCol w:w="2180"/>
        <w:gridCol w:w="2180"/>
        <w:gridCol w:w="3109"/>
      </w:tblGrid>
      <w:tr>
        <w:trPr/>
        <w:tc>
          <w:tcPr>
            <w:tcW w:w="24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2180" w:type="dxa"/>
            <w:tcBorders/>
            <w:vAlign w:val="center"/>
          </w:tcPr>
          <w:p>
            <w:pPr>
              <w:pStyle w:val="TableContents"/>
              <w:bidi w:val="0"/>
              <w:spacing w:before="0" w:after="283"/>
              <w:jc w:val="left"/>
              <w:rPr>
                <w:sz w:val="4"/>
                <w:szCs w:val="4"/>
              </w:rPr>
            </w:pPr>
            <w:r>
              <w:rPr>
                <w:sz w:val="4"/>
                <w:szCs w:val="4"/>
              </w:rPr>
            </w:r>
          </w:p>
        </w:tc>
        <w:tc>
          <w:tcPr>
            <w:tcW w:w="3109" w:type="dxa"/>
            <w:tcBorders/>
            <w:vAlign w:val="center"/>
          </w:tcPr>
          <w:p>
            <w:pPr>
              <w:pStyle w:val="TableContents"/>
              <w:bidi w:val="0"/>
              <w:spacing w:before="0" w:after="283"/>
              <w:jc w:val="left"/>
              <w:rPr>
                <w:sz w:val="4"/>
                <w:szCs w:val="4"/>
              </w:rPr>
            </w:pPr>
            <w:r>
              <w:rPr>
                <w:sz w:val="4"/>
                <w:szCs w:val="4"/>
              </w:rPr>
            </w:r>
          </w:p>
        </w:tc>
      </w:tr>
      <w:tr>
        <w:trPr/>
        <w:tc>
          <w:tcPr>
            <w:tcW w:w="8738"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000000"/>
                <w:sz w:val="20"/>
              </w:rPr>
            </w:pPr>
            <w:r>
              <w:rPr>
                <w:rFonts w:ascii="Arial;sans-serif" w:hAnsi="Arial;sans-serif"/>
                <w:b w:val="false"/>
                <w:i/>
                <w:color w:val="000000"/>
                <w:sz w:val="20"/>
              </w:rPr>
              <w:t>/s/ William J. Mault</w:t>
            </w:r>
          </w:p>
        </w:tc>
      </w:tr>
      <w:tr>
        <w:trPr/>
        <w:tc>
          <w:tcPr>
            <w:tcW w:w="6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Name:</w:t>
            </w:r>
          </w:p>
        </w:tc>
        <w:tc>
          <w:tcPr>
            <w:tcW w:w="57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William J. Mault</w:t>
            </w:r>
          </w:p>
        </w:tc>
      </w:tr>
      <w:tr>
        <w:trPr/>
        <w:tc>
          <w:tcPr>
            <w:tcW w:w="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Title:</w:t>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Executive Vice President and Chief Financial Officer of Summit Midstream GP, LLC</w:t>
              <w:br/>
              <w:t>(the general partner of Summit Midstream Partners, LP)</w:t>
            </w:r>
          </w:p>
        </w:tc>
      </w:tr>
      <w:tr>
        <w:trPr/>
        <w:tc>
          <w:tcPr>
            <w:tcW w:w="6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Date:</w:t>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6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color w:val="000000"/>
                <w:sz w:val="20"/>
              </w:rPr>
            </w:pPr>
            <w:r>
              <w:rPr>
                <w:rFonts w:ascii="Arial;sans-serif" w:hAnsi="Arial;sans-serif"/>
                <w:b w:val="false"/>
                <w:color w:val="000000"/>
                <w:sz w:val="20"/>
              </w:rPr>
              <w:t>August 9, 2024</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273050"/>
                <wp:effectExtent l="0" t="0" r="0" b="0"/>
                <wp:wrapNone/>
                <wp:docPr id="56" name="Frame56"/>
                <a:graphic xmlns:a="http://schemas.openxmlformats.org/drawingml/2006/main">
                  <a:graphicData uri="http://schemas.microsoft.com/office/word/2010/wordprocessingShape">
                    <wps:wsp>
                      <wps:cNvSpPr txBox="1"/>
                      <wps:spPr>
                        <a:xfrm>
                          <a:off x="0" y="0"/>
                          <a:ext cx="6480175" cy="273050"/>
                        </a:xfrm>
                        <a:prstGeom prst="rect"/>
                        <a:solidFill>
                          <a:srgbClr val="FFFFFF"/>
                        </a:solidFill>
                      </wps:spPr>
                      <wps:txb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EX 32.1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200" w:after="283"/>
                        <w:jc w:val="center"/>
                        <w:rPr>
                          <w:rFonts w:ascii="Arial;sans-serif" w:hAnsi="Arial;sans-serif"/>
                          <w:b w:val="false"/>
                          <w:color w:val="000000"/>
                          <w:sz w:val="20"/>
                        </w:rPr>
                      </w:pPr>
                      <w:r>
                        <w:rPr>
                          <w:rFonts w:ascii="Arial;sans-serif" w:hAnsi="Arial;sans-serif"/>
                          <w:b w:val="false"/>
                          <w:color w:val="000000"/>
                          <w:sz w:val="20"/>
                        </w:rPr>
                        <w:t>EX 32.1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49922/000121390024048747/ea020722601ex2-1_summit.htm" TargetMode="External"/><Relationship Id="rId3" Type="http://schemas.openxmlformats.org/officeDocument/2006/relationships/hyperlink" Target="https://www.sec.gov/Archives/edgar/data/1549922/000121390024048747/ea020722601ex2-1_summit.htm" TargetMode="External"/><Relationship Id="rId4" Type="http://schemas.openxmlformats.org/officeDocument/2006/relationships/hyperlink" Target="https://www.sec.gov/Archives/edgar/data/1549922/000101376224003496/ea021034201ex3-1_summit.htm" TargetMode="External"/><Relationship Id="rId5" Type="http://schemas.openxmlformats.org/officeDocument/2006/relationships/hyperlink" Target="https://www.sec.gov/Archives/edgar/data/1549922/000101376224003496/ea021034201ex3-1_summit.htm" TargetMode="External"/><Relationship Id="rId6" Type="http://schemas.openxmlformats.org/officeDocument/2006/relationships/hyperlink" Target="https://www.sec.gov/Archives/edgar/data/1549922/000101376224003496/ea021034201ex3-2_summit.htm" TargetMode="External"/><Relationship Id="rId7" Type="http://schemas.openxmlformats.org/officeDocument/2006/relationships/hyperlink" Target="https://www.sec.gov/Archives/edgar/data/1549922/000101376224003496/ea021034201ex3-2_summit.htm" TargetMode="External"/><Relationship Id="rId8" Type="http://schemas.openxmlformats.org/officeDocument/2006/relationships/hyperlink" Target="https://www.sec.gov/Archives/edgar/data/1549922/000104746912008450/a2209444zex-3_1.htm" TargetMode="External"/><Relationship Id="rId9" Type="http://schemas.openxmlformats.org/officeDocument/2006/relationships/hyperlink" Target="https://www.sec.gov/Archives/edgar/data/1549922/000104746912008450/a2209444zex-3_1.htm" TargetMode="External"/><Relationship Id="rId10" Type="http://schemas.openxmlformats.org/officeDocument/2006/relationships/hyperlink" Target="https://www.sec.gov/Archives/edgar/data/1549922/000104746912008450/a2209444zex-3_4.htm" TargetMode="External"/><Relationship Id="rId11" Type="http://schemas.openxmlformats.org/officeDocument/2006/relationships/hyperlink" Target="https://www.sec.gov/Archives/edgar/data/1549922/000104746912008450/a2209444zex-3_4.htm" TargetMode="External"/><Relationship Id="rId12" Type="http://schemas.openxmlformats.org/officeDocument/2006/relationships/hyperlink" Target="https://www.sec.gov/Archives/edgar/data/1549922/000154992224000046/summit_anteroxpurchasean.htm" TargetMode="External"/><Relationship Id="rId13" Type="http://schemas.openxmlformats.org/officeDocument/2006/relationships/hyperlink" Target="https://www.sec.gov/Archives/edgar/data/1549922/000154992224000046/summit_anteroxpurchasean.htm" TargetMode="External"/><Relationship Id="rId14" Type="http://schemas.openxmlformats.org/officeDocument/2006/relationships/hyperlink" Target="https://www.sec.gov/Archives/edgar/data/1549922/000154992224000050/summitmidstream-firstamend.htm" TargetMode="External"/><Relationship Id="rId15" Type="http://schemas.openxmlformats.org/officeDocument/2006/relationships/hyperlink" Target="https://www.sec.gov/Archives/edgar/data/1549922/000154992224000050/summitmidstream-firstamend.htm" TargetMode="External"/><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26663</Words>
  <Characters>147176</Characters>
  <CharactersWithSpaces>171882</CharactersWithSpaces>
  <Paragraphs>3280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