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As filed with the Securities and Exchange Commission on June 29, 2026</w:t>
      </w:r>
    </w:p>
    <w:p>
      <w:pPr>
        <w:spacing w:after="0" w:line="23" w:lineRule="exact"/>
        <w:rPr>
          <w:sz w:val="24"/>
          <w:szCs w:val="24"/>
          <w:color w:val="auto"/>
        </w:rPr>
      </w:pPr>
    </w:p>
    <w:p>
      <w:pPr>
        <w:ind w:left="912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SUMMIT MIDSTREAM CORPORATION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99-3056990</w:t>
            </w:r>
          </w:p>
        </w:tc>
      </w:tr>
      <w:tr>
        <w:trPr>
          <w:trHeight w:val="194"/>
        </w:trPr>
        <w:tc>
          <w:tcPr>
            <w:tcW w:w="55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220" w:type="dxa"/>
            <w:vAlign w:val="bottom"/>
          </w:tcPr>
          <w:p>
            <w:pPr>
              <w:spacing w:after="0"/>
              <w:rPr>
                <w:sz w:val="16"/>
                <w:szCs w:val="16"/>
                <w:color w:val="auto"/>
              </w:rPr>
            </w:pPr>
          </w:p>
        </w:tc>
        <w:tc>
          <w:tcPr>
            <w:tcW w:w="55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5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910 Louisiana Street, Suite 4200</w:t>
            </w:r>
          </w:p>
        </w:tc>
        <w:tc>
          <w:tcPr>
            <w:tcW w:w="5500" w:type="dxa"/>
            <w:vAlign w:val="bottom"/>
          </w:tcPr>
          <w:p>
            <w:pPr>
              <w:spacing w:after="0"/>
              <w:rPr>
                <w:sz w:val="24"/>
                <w:szCs w:val="24"/>
                <w:color w:val="auto"/>
              </w:rPr>
            </w:pPr>
          </w:p>
        </w:tc>
      </w:t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Houston, Texas</w:t>
            </w:r>
          </w:p>
        </w:tc>
        <w:tc>
          <w:tcPr>
            <w:tcW w:w="55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77002</w:t>
            </w:r>
          </w:p>
        </w:tc>
      </w:tr>
      <w:tr>
        <w:trPr>
          <w:trHeight w:val="238"/>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Summit Midstream Corporation 2024 Long-Term Incentive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(Full title of the plan)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D. Johnston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Summit Midstream Corporation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910 Louisiana Street, Suite 4200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and address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(832) 413-4770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Julian J. Seiguer, P.C.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Anthony L. Sanderson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Kirkland &amp; Ellis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Main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(713) 836-3600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Accelerated filer</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5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Emerging growth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100" w:firstLine="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Summit Midstream Corporation (the “Registrant”) previously filed a registration statement on </w:t>
      </w:r>
      <w:hyperlink r:id="rId18">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(Registration No. 333-281730) (the “Initial Registration Statement”) on August 22, 2024 registering 1,926,281 shares of the Registrant’s common stock, par value $0.01 per share (“Common Stock”), issuable pursuant to the Summit Midstream Corporation 2024 Long-Term Incentive Plan (the “Plan”).</w:t>
      </w:r>
    </w:p>
    <w:p>
      <w:pPr>
        <w:spacing w:after="0" w:line="17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On March 30, 2026, the Registrant’s Board of Directors adopted, subject to approval by the Registrant’s stockholders, Amendment No. 1 to the Plan. On May 7, 2026, the Registrant’s stockholders approved Amendment No. 1 to the Plan for the purpose of registering the offer and sale of an additional 424,000 shares of Common Stock (the “Additional Shares”) issuable pursuant to, but not previously registered under, the Plan. This Registration Statement on Form S-8 (this “Registration Statement”) is being filed for the purpose of registering the Additional Shares for issuance under the Plan. The Additional Shares are of the same class of securities as the Common Stock issuable under the Plan for which the Initial Registration Statement was filed. Upon the effectiveness of this Registration Statement, an aggregate of 2,350,281 shares of Common Stock will be registered for issuance from time to time under the Plan, inclusive of the Additional Shares.</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General Instruction E of Form S-8, this Registration Statement incorporates by reference the contents of the Initial Registration Statement relating to the Plan, including all attachments and exhibits thereto, except to the extent supplemented, amended or superseded by the information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Registrant will send or give to all participants in the Plan document(s) containing the information required by Part I of Form S-8, as specified in Rule 428(b)(1) promulgated by the U.S. Securities and Exchange Commission (the “Commission”) under the Securities Act of 1933, as amended (the “Securities Act”). In accordance with Rule 428, the Registrant has not filed such document(s) with the Commission, but such document(s) (along with the documents incorporated by reference into this Registration Statement pursuant to Item 3 of Part II hereof) shall constitute a prospectus that meets the requirements of Section 10(a) of the Securities Act.</w:t>
      </w:r>
    </w:p>
    <w:p>
      <w:pPr>
        <w:spacing w:after="0" w:line="3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Except to the extent that information is deemed furnished and not filed pursuant to securities laws and regulations, the following documents filed with the Commission by the Registrant are hereby incorporated by reference into this Registration Statement and will be deemed to be a part hereof:</w:t>
      </w:r>
    </w:p>
    <w:p>
      <w:pPr>
        <w:spacing w:after="0" w:line="162" w:lineRule="exact"/>
        <w:rPr>
          <w:sz w:val="20"/>
          <w:szCs w:val="20"/>
          <w:color w:val="auto"/>
        </w:rPr>
      </w:pPr>
    </w:p>
    <w:p>
      <w:pPr>
        <w:ind w:left="1300" w:right="160" w:hanging="644"/>
        <w:spacing w:after="0" w:line="282" w:lineRule="auto"/>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21">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on March 16, 2026 (the “2025 Annual Report”);</w:t>
      </w:r>
    </w:p>
    <w:p>
      <w:pPr>
        <w:spacing w:after="0" w:line="161" w:lineRule="exact"/>
        <w:rPr>
          <w:rFonts w:ascii="Times New Roman" w:cs="Times New Roman" w:eastAsia="Times New Roman" w:hAnsi="Times New Roman"/>
          <w:sz w:val="18"/>
          <w:szCs w:val="18"/>
          <w:color w:val="auto"/>
        </w:rPr>
      </w:pPr>
    </w:p>
    <w:p>
      <w:pPr>
        <w:ind w:left="1300" w:right="240" w:hanging="644"/>
        <w:spacing w:after="0" w:line="282" w:lineRule="auto"/>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included in the Registrant’s Definitive Proxy Statement on </w:t>
      </w:r>
      <w:hyperlink r:id="rId22">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Registrant’s 2026 Annual Meeting of Stockholders, filed on April 10, 2026, to the extent incorporated by reference in Part III of the 2025 Annual Report;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 on </w:t>
      </w:r>
      <w:hyperlink r:id="rId23">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2026, filed on May 11, 2026;</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Current Reports on Form 8-K filed on </w:t>
      </w:r>
      <w:hyperlink r:id="rId24">
        <w:r>
          <w:rPr>
            <w:rFonts w:ascii="Times New Roman" w:cs="Times New Roman" w:eastAsia="Times New Roman" w:hAnsi="Times New Roman"/>
            <w:sz w:val="18"/>
            <w:szCs w:val="18"/>
            <w:u w:val="single" w:color="auto"/>
            <w:color w:val="0000EE"/>
          </w:rPr>
          <w:t>April 2,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5">
        <w:r>
          <w:rPr>
            <w:rFonts w:ascii="Times New Roman" w:cs="Times New Roman" w:eastAsia="Times New Roman" w:hAnsi="Times New Roman"/>
            <w:sz w:val="18"/>
            <w:szCs w:val="18"/>
            <w:u w:val="single" w:color="auto"/>
            <w:color w:val="0000EE"/>
          </w:rPr>
          <w:t>May 12, 2026</w:t>
        </w:r>
      </w:hyperlink>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w:t>
      </w:r>
      <w:hyperlink r:id="rId26">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of the Registrant’s Annual Report on </w:t>
      </w:r>
      <w:hyperlink r:id="rId2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filed on March 11, 2025, and any subsequent amendments or reports filed for the purpose of updating that description.</w:t>
      </w:r>
    </w:p>
    <w:p>
      <w:pPr>
        <w:spacing w:after="0" w:line="176" w:lineRule="exact"/>
        <w:rPr>
          <w:rFonts w:ascii="Times New Roman" w:cs="Times New Roman" w:eastAsia="Times New Roman" w:hAnsi="Times New Roman"/>
          <w:sz w:val="18"/>
          <w:szCs w:val="18"/>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Except to the extent that information is deemed furnished and not filed pursuant to securities laws and regulations, all documents filed with the Commission by the Registrant pursuant to Sections 13(a), 13(c), 14 or 15(d) of the Securities Exchange Act of 1934, as amended, subsequent to the date hereof and prior to the filing of a post-effective amendment to this Registration Statement which indicates that all securities offered hereby have been sold, or which deregisters all securities then remaining unsold, shall be deemed to be incorporated by reference herein and to be a part hereof from the date of filing of such documents.</w:t>
      </w:r>
    </w:p>
    <w:p>
      <w:pPr>
        <w:spacing w:after="0" w:line="183" w:lineRule="exact"/>
        <w:rPr>
          <w:rFonts w:ascii="Times New Roman" w:cs="Times New Roman" w:eastAsia="Times New Roman" w:hAnsi="Times New Roman"/>
          <w:sz w:val="18"/>
          <w:szCs w:val="18"/>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Any statement contained herein or incorporated by reference herein shall be deemed to be modified or superseded for purposes of this Registration Statement to the extent that a statement contained herein or in any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396"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105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The following documents are filed as a part of this Registration Statement or incorporated by reference herein:</w:t>
            </w:r>
          </w:p>
        </w:tc>
      </w:tr>
      <w:tr>
        <w:trPr>
          <w:trHeight w:val="410"/>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5"/>
        </w:trPr>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3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5760" w:type="dxa"/>
            <w:vAlign w:val="bottom"/>
            <w:tcBorders>
              <w:bottom w:val="single" w:sz="8" w:color="auto"/>
            </w:tcBorders>
            <w:gridSpan w:val="12"/>
          </w:tcPr>
          <w:p>
            <w:pPr>
              <w:ind w:left="2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75"/>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10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Amended and Restated Certificate of Incorporation of Summit Midstream Corporation (incorporated herein by reference to Exhibit 3.1 to</w:t>
              </w:r>
            </w:hyperlink>
          </w:p>
        </w:tc>
      </w:tr>
      <w:tr>
        <w:trPr>
          <w:trHeight w:val="196"/>
        </w:trPr>
        <w:tc>
          <w:tcPr>
            <w:tcW w:w="6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900" w:type="dxa"/>
            <w:vAlign w:val="bottom"/>
            <w:tcBorders>
              <w:top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the Registrant’s Current Report on Form 8-K12B filed on August 1, 2024 (Commission File No. 001-42201)).</w:t>
              </w:r>
            </w:hyperlink>
          </w:p>
        </w:tc>
        <w:tc>
          <w:tcPr>
            <w:tcW w:w="200" w:type="dxa"/>
            <w:vAlign w:val="bottom"/>
            <w:tcBorders>
              <w:top w:val="single" w:sz="8" w:color="CCEEFF"/>
            </w:tcBorders>
            <w:gridSpan w:val="4"/>
            <w:shd w:val="clear" w:color="auto" w:fill="CCEEFF"/>
          </w:tcPr>
          <w:p>
            <w:pPr>
              <w:spacing w:after="0"/>
              <w:rPr>
                <w:sz w:val="17"/>
                <w:szCs w:val="17"/>
                <w:color w:val="auto"/>
              </w:rPr>
            </w:pP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78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40" w:type="dxa"/>
            <w:vAlign w:val="bottom"/>
            <w:tcBorders>
              <w:bottom w:val="single" w:sz="8" w:color="0000EE"/>
            </w:tcBorders>
            <w:gridSpan w:val="12"/>
          </w:tcPr>
          <w:p>
            <w:pPr>
              <w:spacing w:after="0" w:line="176"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Amended and Restated Bylaws of Summit Midstream Corporation (incorporated herein by reference to Exhibit 3.2 to the Registrant’s</w:t>
              </w:r>
            </w:hyperlink>
          </w:p>
        </w:tc>
        <w:tc>
          <w:tcPr>
            <w:tcW w:w="460" w:type="dxa"/>
            <w:vAlign w:val="bottom"/>
            <w:gridSpan w:val="5"/>
          </w:tcPr>
          <w:p>
            <w:pPr>
              <w:spacing w:after="0"/>
              <w:rPr>
                <w:sz w:val="15"/>
                <w:szCs w:val="15"/>
                <w:color w:val="auto"/>
              </w:rPr>
            </w:pPr>
          </w:p>
        </w:tc>
      </w:tr>
      <w:tr>
        <w:trPr>
          <w:trHeight w:val="196"/>
        </w:trPr>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7"/>
          </w:tcPr>
          <w:p>
            <w:pPr>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Current Report on Form 8-K12B filed on August 1, 2024 (Commission File No. 001-42201)).</w:t>
              </w:r>
            </w:hyperlink>
          </w:p>
        </w:tc>
      </w:tr>
      <w:tr>
        <w:trPr>
          <w:trHeight w:val="20"/>
        </w:trPr>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78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6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3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2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w w:val="99"/>
              </w:rPr>
            </w:pPr>
            <w:hyperlink r:id="rId31">
              <w:r>
                <w:rPr>
                  <w:rFonts w:ascii="Times New Roman" w:cs="Times New Roman" w:eastAsia="Times New Roman" w:hAnsi="Times New Roman"/>
                  <w:sz w:val="18"/>
                  <w:szCs w:val="18"/>
                  <w:color w:val="0000EE"/>
                  <w:w w:val="99"/>
                </w:rPr>
                <w:t>Certificate of Designation of Series A Floating Rate Cumulative Redeemable Perpetual Preferred Stock of Summit Midstream Corporation</w:t>
              </w:r>
            </w:hyperlink>
          </w:p>
        </w:tc>
        <w:tc>
          <w:tcPr>
            <w:tcW w:w="80" w:type="dxa"/>
            <w:vAlign w:val="bottom"/>
            <w:tcBorders>
              <w:bottom w:val="single" w:sz="8" w:color="CCEEFF"/>
            </w:tcBorders>
            <w:shd w:val="clear" w:color="auto" w:fill="CCEEFF"/>
          </w:tcPr>
          <w:p>
            <w:pPr>
              <w:spacing w:after="0"/>
              <w:rPr>
                <w:sz w:val="15"/>
                <w:szCs w:val="15"/>
                <w:color w:val="auto"/>
              </w:rPr>
            </w:pPr>
          </w:p>
        </w:tc>
      </w:tr>
      <w:tr>
        <w:trPr>
          <w:trHeight w:val="196"/>
        </w:trPr>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(incorporated herein by reference to Exhibit 3.3 to the Registrant’s Current Report on Form 8-K12B filed on August 1, 2024 (Commission</w:t>
              </w:r>
            </w:hyperlink>
          </w:p>
        </w:tc>
      </w:tr>
      <w:tr>
        <w:trPr>
          <w:trHeight w:val="196"/>
        </w:trPr>
        <w:tc>
          <w:tcPr>
            <w:tcW w:w="6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960" w:type="dxa"/>
            <w:vAlign w:val="bottom"/>
            <w:tcBorders>
              <w:top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File No. 001-42201)).</w:t>
              </w:r>
            </w:hyperlink>
          </w:p>
        </w:tc>
        <w:tc>
          <w:tcPr>
            <w:tcW w:w="140" w:type="dxa"/>
            <w:vAlign w:val="bottom"/>
            <w:tcBorders>
              <w:top w:val="single" w:sz="8" w:color="CCEEFF"/>
            </w:tcBorders>
            <w:gridSpan w:val="3"/>
            <w:shd w:val="clear" w:color="auto" w:fill="CCEEFF"/>
          </w:tcPr>
          <w:p>
            <w:pPr>
              <w:spacing w:after="0"/>
              <w:rPr>
                <w:sz w:val="17"/>
                <w:szCs w:val="17"/>
                <w:color w:val="auto"/>
              </w:rPr>
            </w:pP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 xml:space="preserve">Certificate of Designation of Class B common stock, par value </w:t>
              </w:r>
              <w:r>
                <w:rPr>
                  <w:rFonts w:ascii="Times New Roman" w:cs="Times New Roman" w:eastAsia="Times New Roman" w:hAnsi="Times New Roman"/>
                  <w:sz w:val="18"/>
                  <w:szCs w:val="18"/>
                  <w:u w:val="single" w:color="auto"/>
                  <w:color w:val="0000EE"/>
                  <w:w w:val="99"/>
                </w:rPr>
                <w:t>$</w:t>
              </w:r>
              <w:r>
                <w:rPr>
                  <w:rFonts w:ascii="Times New Roman" w:cs="Times New Roman" w:eastAsia="Times New Roman" w:hAnsi="Times New Roman"/>
                  <w:sz w:val="18"/>
                  <w:szCs w:val="18"/>
                  <w:color w:val="0000EE"/>
                  <w:w w:val="99"/>
                </w:rPr>
                <w:t>0.01 per share, of Summit Midstream Corporation (incorporated herein by</w:t>
              </w:r>
            </w:hyperlink>
          </w:p>
        </w:tc>
        <w:tc>
          <w:tcPr>
            <w:tcW w:w="100" w:type="dxa"/>
            <w:vAlign w:val="bottom"/>
            <w:gridSpan w:val="2"/>
          </w:tcPr>
          <w:p>
            <w:pPr>
              <w:spacing w:after="0"/>
              <w:rPr>
                <w:sz w:val="15"/>
                <w:szCs w:val="15"/>
                <w:color w:val="auto"/>
              </w:rPr>
            </w:pPr>
          </w:p>
        </w:tc>
      </w:tr>
      <w:tr>
        <w:trPr>
          <w:trHeight w:val="196"/>
        </w:trPr>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7"/>
          </w:tcPr>
          <w:p>
            <w:pPr>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reference to Exhibit 3.1 to the Registrant’s Current Report on Form 8-K filed December 3, 2024 (Commission File No. 001-42201)).</w:t>
              </w:r>
            </w:hyperlink>
          </w:p>
        </w:tc>
      </w:tr>
      <w:tr>
        <w:trPr>
          <w:trHeight w:val="20"/>
        </w:trPr>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78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6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3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58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w w:val="99"/>
              </w:rPr>
            </w:pPr>
            <w:hyperlink r:id="rId33">
              <w:r>
                <w:rPr>
                  <w:rFonts w:ascii="Times New Roman" w:cs="Times New Roman" w:eastAsia="Times New Roman" w:hAnsi="Times New Roman"/>
                  <w:sz w:val="18"/>
                  <w:szCs w:val="18"/>
                  <w:color w:val="0000EE"/>
                  <w:w w:val="99"/>
                </w:rPr>
                <w:t>Summit Midstream Corporation 2024 Long-Term Incentive Plan (incorporated herein by reference to Exhibit 10.7 to the Registrant’s</w:t>
              </w:r>
            </w:hyperlink>
          </w:p>
        </w:tc>
        <w:tc>
          <w:tcPr>
            <w:tcW w:w="520" w:type="dxa"/>
            <w:vAlign w:val="bottom"/>
            <w:tcBorders>
              <w:bottom w:val="single" w:sz="8" w:color="CCEEFF"/>
            </w:tcBorders>
            <w:gridSpan w:val="6"/>
            <w:shd w:val="clear" w:color="auto" w:fill="CCEEFF"/>
          </w:tcPr>
          <w:p>
            <w:pPr>
              <w:spacing w:after="0"/>
              <w:rPr>
                <w:sz w:val="15"/>
                <w:szCs w:val="15"/>
                <w:color w:val="auto"/>
              </w:rPr>
            </w:pPr>
          </w:p>
        </w:tc>
      </w:tr>
      <w:tr>
        <w:trPr>
          <w:trHeight w:val="217"/>
        </w:trPr>
        <w:tc>
          <w:tcPr>
            <w:tcW w:w="6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760" w:type="dxa"/>
            <w:vAlign w:val="bottom"/>
            <w:tcBorders>
              <w:bottom w:val="single" w:sz="8" w:color="0000EE"/>
            </w:tcBorders>
            <w:gridSpan w:val="8"/>
            <w:shd w:val="clear" w:color="auto" w:fill="CCEEFF"/>
          </w:tcPr>
          <w:p>
            <w:pPr>
              <w:spacing w:after="0" w:line="196" w:lineRule="exact"/>
              <w:rPr>
                <w:rFonts w:ascii="Times New Roman" w:cs="Times New Roman" w:eastAsia="Times New Roman" w:hAnsi="Times New Roman"/>
                <w:sz w:val="18"/>
                <w:szCs w:val="18"/>
                <w:color w:val="0000EE"/>
                <w:w w:val="99"/>
              </w:rPr>
            </w:pPr>
            <w:hyperlink r:id="rId33">
              <w:r>
                <w:rPr>
                  <w:rFonts w:ascii="Times New Roman" w:cs="Times New Roman" w:eastAsia="Times New Roman" w:hAnsi="Times New Roman"/>
                  <w:sz w:val="18"/>
                  <w:szCs w:val="18"/>
                  <w:color w:val="0000EE"/>
                  <w:w w:val="99"/>
                </w:rPr>
                <w:t>Current Report on Form 8-K12B filed on August 1, 2024 (Commission File No. 001-42201)).</w:t>
              </w:r>
            </w:hyperlink>
          </w:p>
        </w:tc>
        <w:tc>
          <w:tcPr>
            <w:tcW w:w="3340" w:type="dxa"/>
            <w:vAlign w:val="bottom"/>
            <w:tcBorders>
              <w:bottom w:val="single" w:sz="8" w:color="CCEEFF"/>
            </w:tcBorders>
            <w:gridSpan w:val="9"/>
            <w:shd w:val="clear" w:color="auto" w:fill="CCEEFF"/>
          </w:tcPr>
          <w:p>
            <w:pPr>
              <w:spacing w:after="0"/>
              <w:rPr>
                <w:sz w:val="18"/>
                <w:szCs w:val="18"/>
                <w:color w:val="auto"/>
              </w:rPr>
            </w:pPr>
          </w:p>
        </w:tc>
      </w:tr>
      <w:tr>
        <w:trPr>
          <w:trHeight w:val="175"/>
        </w:trPr>
        <w:tc>
          <w:tcPr>
            <w:tcW w:w="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Amendment No. 1 to the Summit Midstream Corporation 2024 Long-Term Incentive Plan.</w:t>
            </w:r>
          </w:p>
        </w:tc>
      </w:tr>
      <w:tr>
        <w:trPr>
          <w:trHeight w:val="21"/>
        </w:trPr>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78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5"/>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1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Opinion of Kirkland &amp; Ellis LLP.</w:t>
            </w: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Consent of Deloitte &amp; Touche LLP.</w:t>
            </w:r>
          </w:p>
        </w:tc>
      </w:tr>
      <w:tr>
        <w:trPr>
          <w:trHeight w:val="20"/>
        </w:trPr>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34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Consent of Kirkland &amp; Ellis LLP (contained in Exhibit 5.1).</w:t>
            </w:r>
          </w:p>
        </w:tc>
        <w:tc>
          <w:tcPr>
            <w:tcW w:w="5760" w:type="dxa"/>
            <w:vAlign w:val="bottom"/>
            <w:tcBorders>
              <w:bottom w:val="single" w:sz="8" w:color="CCEEFF"/>
            </w:tcBorders>
            <w:gridSpan w:val="12"/>
            <w:shd w:val="clear" w:color="auto" w:fill="CCEEFF"/>
          </w:tcPr>
          <w:p>
            <w:pPr>
              <w:spacing w:after="0"/>
              <w:rPr>
                <w:sz w:val="17"/>
                <w:szCs w:val="17"/>
                <w:color w:val="auto"/>
              </w:rPr>
            </w:pPr>
          </w:p>
        </w:tc>
      </w:tr>
      <w:tr>
        <w:trPr>
          <w:trHeight w:val="176"/>
        </w:trPr>
        <w:tc>
          <w:tcPr>
            <w:tcW w:w="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Power of Attorney (included on the signature page to this Registration Statement).</w:t>
            </w:r>
          </w:p>
        </w:tc>
      </w:tr>
      <w:tr>
        <w:trPr>
          <w:trHeight w:val="20"/>
        </w:trPr>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78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1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Filing Fee Table.</w:t>
            </w: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Houston, State of Texas, on June 29, 2026.</w:t>
      </w:r>
    </w:p>
    <w:p>
      <w:pPr>
        <w:spacing w:after="0" w:line="10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SUMMIT MIDSTREAM CORPORATION</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William J. Mault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William J. Mault</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62"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J. Heath Deneke, William J. Mault and James D. Johnston, and each of them, any of whom may act without the joinder of the other,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on Form S-8,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24"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indicated on June 29, 2026.</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20" w:type="dxa"/>
            <w:vAlign w:val="bottom"/>
          </w:tcPr>
          <w:p>
            <w:pPr>
              <w:spacing w:after="0"/>
              <w:rPr>
                <w:sz w:val="22"/>
                <w:szCs w:val="22"/>
                <w:color w:val="auto"/>
              </w:rPr>
            </w:pPr>
          </w:p>
        </w:tc>
        <w:tc>
          <w:tcPr>
            <w:tcW w:w="6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r>
      <w:tr>
        <w:trPr>
          <w:trHeight w:val="439"/>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 Heath Deneke</w:t>
            </w:r>
          </w:p>
        </w:tc>
        <w:tc>
          <w:tcPr>
            <w:tcW w:w="1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 Chief Executive Officer and Chairman of the Board</w:t>
            </w:r>
          </w:p>
        </w:tc>
      </w:tr>
      <w:tr>
        <w:trPr>
          <w:trHeight w:val="234"/>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 Heath Deneke</w:t>
            </w:r>
          </w:p>
        </w:tc>
        <w:tc>
          <w:tcPr>
            <w:tcW w:w="120" w:type="dxa"/>
            <w:vAlign w:val="bottom"/>
          </w:tcPr>
          <w:p>
            <w:pPr>
              <w:spacing w:after="0"/>
              <w:rPr>
                <w:sz w:val="20"/>
                <w:szCs w:val="20"/>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1"/>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William J. Mault</w:t>
            </w:r>
          </w:p>
        </w:tc>
        <w:tc>
          <w:tcPr>
            <w:tcW w:w="1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r>
        <w:trPr>
          <w:trHeight w:val="234"/>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William J. Mault</w:t>
            </w:r>
          </w:p>
        </w:tc>
        <w:tc>
          <w:tcPr>
            <w:tcW w:w="120" w:type="dxa"/>
            <w:vAlign w:val="bottom"/>
          </w:tcPr>
          <w:p>
            <w:pPr>
              <w:spacing w:after="0"/>
              <w:rPr>
                <w:sz w:val="20"/>
                <w:szCs w:val="20"/>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21"/>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Matthew B. Sicinski</w:t>
            </w:r>
          </w:p>
        </w:tc>
        <w:tc>
          <w:tcPr>
            <w:tcW w:w="1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Senior Vice President and Chief Accounting Officer</w:t>
            </w:r>
          </w:p>
        </w:tc>
      </w:tr>
      <w:tr>
        <w:trPr>
          <w:trHeight w:val="234"/>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Matthew B. Sicinski</w:t>
            </w:r>
          </w:p>
        </w:tc>
        <w:tc>
          <w:tcPr>
            <w:tcW w:w="120" w:type="dxa"/>
            <w:vAlign w:val="bottom"/>
          </w:tcPr>
          <w:p>
            <w:pPr>
              <w:spacing w:after="0"/>
              <w:rPr>
                <w:sz w:val="20"/>
                <w:szCs w:val="20"/>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21"/>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James J. Cleary</w:t>
            </w:r>
          </w:p>
        </w:tc>
        <w:tc>
          <w:tcPr>
            <w:tcW w:w="1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James J. Cleary</w:t>
            </w:r>
          </w:p>
        </w:tc>
        <w:tc>
          <w:tcPr>
            <w:tcW w:w="120" w:type="dxa"/>
            <w:vAlign w:val="bottom"/>
          </w:tcPr>
          <w:p>
            <w:pPr>
              <w:spacing w:after="0"/>
              <w:rPr>
                <w:sz w:val="20"/>
                <w:szCs w:val="20"/>
                <w:color w:val="auto"/>
              </w:rPr>
            </w:pPr>
          </w:p>
        </w:tc>
        <w:tc>
          <w:tcPr>
            <w:tcW w:w="6620" w:type="dxa"/>
            <w:vAlign w:val="bottom"/>
          </w:tcPr>
          <w:p>
            <w:pPr>
              <w:spacing w:after="0"/>
              <w:rPr>
                <w:sz w:val="20"/>
                <w:szCs w:val="20"/>
                <w:color w:val="auto"/>
              </w:rPr>
            </w:pPr>
          </w:p>
        </w:tc>
      </w:tr>
      <w:tr>
        <w:trPr>
          <w:trHeight w:val="421"/>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Jason H. Downie</w:t>
            </w:r>
          </w:p>
        </w:tc>
        <w:tc>
          <w:tcPr>
            <w:tcW w:w="1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Jason H. Downie</w:t>
            </w:r>
          </w:p>
        </w:tc>
        <w:tc>
          <w:tcPr>
            <w:tcW w:w="120" w:type="dxa"/>
            <w:vAlign w:val="bottom"/>
          </w:tcPr>
          <w:p>
            <w:pPr>
              <w:spacing w:after="0"/>
              <w:rPr>
                <w:sz w:val="20"/>
                <w:szCs w:val="20"/>
                <w:color w:val="auto"/>
              </w:rPr>
            </w:pPr>
          </w:p>
        </w:tc>
        <w:tc>
          <w:tcPr>
            <w:tcW w:w="6620" w:type="dxa"/>
            <w:vAlign w:val="bottom"/>
          </w:tcPr>
          <w:p>
            <w:pPr>
              <w:spacing w:after="0"/>
              <w:rPr>
                <w:sz w:val="20"/>
                <w:szCs w:val="20"/>
                <w:color w:val="auto"/>
              </w:rPr>
            </w:pPr>
          </w:p>
        </w:tc>
      </w:tr>
      <w:tr>
        <w:trPr>
          <w:trHeight w:val="421"/>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James E. Herring, Jr.</w:t>
            </w:r>
          </w:p>
        </w:tc>
        <w:tc>
          <w:tcPr>
            <w:tcW w:w="1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James E. Herring, Jr.</w:t>
            </w:r>
          </w:p>
        </w:tc>
        <w:tc>
          <w:tcPr>
            <w:tcW w:w="120" w:type="dxa"/>
            <w:vAlign w:val="bottom"/>
          </w:tcPr>
          <w:p>
            <w:pPr>
              <w:spacing w:after="0"/>
              <w:rPr>
                <w:sz w:val="20"/>
                <w:szCs w:val="20"/>
                <w:color w:val="auto"/>
              </w:rPr>
            </w:pPr>
          </w:p>
        </w:tc>
        <w:tc>
          <w:tcPr>
            <w:tcW w:w="6620" w:type="dxa"/>
            <w:vAlign w:val="bottom"/>
          </w:tcPr>
          <w:p>
            <w:pPr>
              <w:spacing w:after="0"/>
              <w:rPr>
                <w:sz w:val="20"/>
                <w:szCs w:val="20"/>
                <w:color w:val="auto"/>
              </w:rPr>
            </w:pPr>
          </w:p>
        </w:tc>
      </w:tr>
      <w:tr>
        <w:trPr>
          <w:trHeight w:val="421"/>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Lee Jacobe</w:t>
            </w:r>
          </w:p>
        </w:tc>
        <w:tc>
          <w:tcPr>
            <w:tcW w:w="1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Lee Jacobe</w:t>
            </w:r>
          </w:p>
        </w:tc>
        <w:tc>
          <w:tcPr>
            <w:tcW w:w="120" w:type="dxa"/>
            <w:vAlign w:val="bottom"/>
          </w:tcPr>
          <w:p>
            <w:pPr>
              <w:spacing w:after="0"/>
              <w:rPr>
                <w:sz w:val="20"/>
                <w:szCs w:val="20"/>
                <w:color w:val="auto"/>
              </w:rPr>
            </w:pPr>
          </w:p>
        </w:tc>
        <w:tc>
          <w:tcPr>
            <w:tcW w:w="6620" w:type="dxa"/>
            <w:vAlign w:val="bottom"/>
          </w:tcPr>
          <w:p>
            <w:pPr>
              <w:spacing w:after="0"/>
              <w:rPr>
                <w:sz w:val="20"/>
                <w:szCs w:val="20"/>
                <w:color w:val="auto"/>
              </w:rPr>
            </w:pPr>
          </w:p>
        </w:tc>
      </w:tr>
      <w:tr>
        <w:trPr>
          <w:trHeight w:val="421"/>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Stephen M. Lipscomb Jr.</w:t>
            </w:r>
          </w:p>
        </w:tc>
        <w:tc>
          <w:tcPr>
            <w:tcW w:w="1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Stephen M. Lipscomb Jr.</w:t>
            </w:r>
          </w:p>
        </w:tc>
        <w:tc>
          <w:tcPr>
            <w:tcW w:w="120" w:type="dxa"/>
            <w:vAlign w:val="bottom"/>
          </w:tcPr>
          <w:p>
            <w:pPr>
              <w:spacing w:after="0"/>
              <w:rPr>
                <w:sz w:val="20"/>
                <w:szCs w:val="20"/>
                <w:color w:val="auto"/>
              </w:rPr>
            </w:pPr>
          </w:p>
        </w:tc>
        <w:tc>
          <w:tcPr>
            <w:tcW w:w="6620" w:type="dxa"/>
            <w:vAlign w:val="bottom"/>
          </w:tcPr>
          <w:p>
            <w:pPr>
              <w:spacing w:after="0"/>
              <w:rPr>
                <w:sz w:val="20"/>
                <w:szCs w:val="20"/>
                <w:color w:val="auto"/>
              </w:rPr>
            </w:pPr>
          </w:p>
        </w:tc>
      </w:tr>
      <w:tr>
        <w:trPr>
          <w:trHeight w:val="421"/>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Robert J. McNally</w:t>
            </w:r>
          </w:p>
        </w:tc>
        <w:tc>
          <w:tcPr>
            <w:tcW w:w="1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Robert J. McNally</w:t>
            </w:r>
          </w:p>
        </w:tc>
        <w:tc>
          <w:tcPr>
            <w:tcW w:w="120" w:type="dxa"/>
            <w:vAlign w:val="bottom"/>
          </w:tcPr>
          <w:p>
            <w:pPr>
              <w:spacing w:after="0"/>
              <w:rPr>
                <w:sz w:val="20"/>
                <w:szCs w:val="20"/>
                <w:color w:val="auto"/>
              </w:rPr>
            </w:pPr>
          </w:p>
        </w:tc>
        <w:tc>
          <w:tcPr>
            <w:tcW w:w="6620" w:type="dxa"/>
            <w:vAlign w:val="bottom"/>
          </w:tcPr>
          <w:p>
            <w:pPr>
              <w:spacing w:after="0"/>
              <w:rPr>
                <w:sz w:val="20"/>
                <w:szCs w:val="20"/>
                <w:color w:val="auto"/>
              </w:rPr>
            </w:pPr>
          </w:p>
        </w:tc>
      </w:tr>
      <w:tr>
        <w:trPr>
          <w:trHeight w:val="421"/>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Rommel M. Oates</w:t>
            </w:r>
          </w:p>
        </w:tc>
        <w:tc>
          <w:tcPr>
            <w:tcW w:w="1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Rommel M. Oates</w:t>
            </w:r>
          </w:p>
        </w:tc>
        <w:tc>
          <w:tcPr>
            <w:tcW w:w="120" w:type="dxa"/>
            <w:vAlign w:val="bottom"/>
          </w:tcPr>
          <w:p>
            <w:pPr>
              <w:spacing w:after="0"/>
              <w:rPr>
                <w:sz w:val="20"/>
                <w:szCs w:val="20"/>
                <w:color w:val="auto"/>
              </w:rPr>
            </w:pPr>
          </w:p>
        </w:tc>
        <w:tc>
          <w:tcPr>
            <w:tcW w:w="6620" w:type="dxa"/>
            <w:vAlign w:val="bottom"/>
          </w:tcPr>
          <w:p>
            <w:pPr>
              <w:spacing w:after="0"/>
              <w:rPr>
                <w:sz w:val="20"/>
                <w:szCs w:val="20"/>
                <w:color w:val="auto"/>
              </w:rPr>
            </w:pPr>
          </w:p>
        </w:tc>
      </w:tr>
      <w:tr>
        <w:trPr>
          <w:trHeight w:val="421"/>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Jerry L. Peters</w:t>
            </w:r>
          </w:p>
        </w:tc>
        <w:tc>
          <w:tcPr>
            <w:tcW w:w="1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Jerry L. Peters</w:t>
            </w:r>
          </w:p>
        </w:tc>
        <w:tc>
          <w:tcPr>
            <w:tcW w:w="120" w:type="dxa"/>
            <w:vAlign w:val="bottom"/>
          </w:tcPr>
          <w:p>
            <w:pPr>
              <w:spacing w:after="0"/>
              <w:rPr>
                <w:sz w:val="20"/>
                <w:szCs w:val="20"/>
                <w:color w:val="auto"/>
              </w:rPr>
            </w:pPr>
          </w:p>
        </w:tc>
        <w:tc>
          <w:tcPr>
            <w:tcW w:w="6620" w:type="dxa"/>
            <w:vAlign w:val="bottom"/>
          </w:tcPr>
          <w:p>
            <w:pPr>
              <w:spacing w:after="0"/>
              <w:rPr>
                <w:sz w:val="20"/>
                <w:szCs w:val="20"/>
                <w:color w:val="auto"/>
              </w:rPr>
            </w:pPr>
          </w:p>
        </w:tc>
      </w:tr>
      <w:tr>
        <w:trPr>
          <w:trHeight w:val="421"/>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Carolyn J. Stone</w:t>
            </w:r>
          </w:p>
        </w:tc>
        <w:tc>
          <w:tcPr>
            <w:tcW w:w="1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Carolyn J. Stone</w:t>
            </w:r>
          </w:p>
        </w:tc>
        <w:tc>
          <w:tcPr>
            <w:tcW w:w="120" w:type="dxa"/>
            <w:vAlign w:val="bottom"/>
          </w:tcPr>
          <w:p>
            <w:pPr>
              <w:spacing w:after="0"/>
              <w:rPr>
                <w:sz w:val="20"/>
                <w:szCs w:val="20"/>
                <w:color w:val="auto"/>
              </w:rPr>
            </w:pPr>
          </w:p>
        </w:tc>
        <w:tc>
          <w:tcPr>
            <w:tcW w:w="6620" w:type="dxa"/>
            <w:vAlign w:val="bottom"/>
          </w:tcPr>
          <w:p>
            <w:pPr>
              <w:spacing w:after="0"/>
              <w:rPr>
                <w:sz w:val="20"/>
                <w:szCs w:val="20"/>
                <w:color w:val="auto"/>
              </w:rPr>
            </w:pPr>
          </w:p>
        </w:tc>
      </w:tr>
      <w:tr>
        <w:trPr>
          <w:trHeight w:val="421"/>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Andrew A. Winston</w:t>
            </w:r>
          </w:p>
        </w:tc>
        <w:tc>
          <w:tcPr>
            <w:tcW w:w="1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Andrew A. Winston</w:t>
            </w:r>
          </w:p>
        </w:tc>
        <w:tc>
          <w:tcPr>
            <w:tcW w:w="120" w:type="dxa"/>
            <w:vAlign w:val="bottom"/>
          </w:tcPr>
          <w:p>
            <w:pPr>
              <w:spacing w:after="0"/>
              <w:rPr>
                <w:sz w:val="20"/>
                <w:szCs w:val="20"/>
                <w:color w:val="auto"/>
              </w:rPr>
            </w:pPr>
          </w:p>
        </w:tc>
        <w:tc>
          <w:tcPr>
            <w:tcW w:w="6620" w:type="dxa"/>
            <w:vAlign w:val="bottom"/>
          </w:tcPr>
          <w:p>
            <w:pPr>
              <w:spacing w:after="0"/>
              <w:rPr>
                <w:sz w:val="20"/>
                <w:szCs w:val="20"/>
                <w:color w:val="auto"/>
              </w:rPr>
            </w:pPr>
          </w:p>
        </w:tc>
      </w:tr>
      <w:tr>
        <w:trPr>
          <w:trHeight w:val="569"/>
        </w:trPr>
        <w:tc>
          <w:tcPr>
            <w:tcW w:w="4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II-3</w:t>
            </w:r>
          </w:p>
        </w:tc>
      </w:tr>
    </w:tbl>
    <w:p>
      <w:pPr>
        <w:sectPr>
          <w:pgSz w:w="11900" w:h="16838" w:orient="portrait"/>
          <w:cols w:equalWidth="0" w:num="1">
            <w:col w:w="11240"/>
          </w:cols>
          <w:pgMar w:left="320" w:top="833" w:right="339" w:bottom="541"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4.6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Summit Midstream Corporation 2024 Long-Term Incentive Plan</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THIS AMENDMENT NO. 1 </w:t>
      </w:r>
      <w:r>
        <w:rPr>
          <w:rFonts w:ascii="Times New Roman" w:cs="Times New Roman" w:eastAsia="Times New Roman" w:hAnsi="Times New Roman"/>
          <w:sz w:val="18"/>
          <w:szCs w:val="18"/>
          <w:color w:val="auto"/>
        </w:rPr>
        <w:t>to the Summit Midstream Corporation 2024 Long-Term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and this amendment,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1</w:t>
      </w:r>
      <w:r>
        <w:rPr>
          <w:rFonts w:ascii="Times New Roman" w:cs="Times New Roman" w:eastAsia="Times New Roman" w:hAnsi="Times New Roman"/>
          <w:sz w:val="18"/>
          <w:szCs w:val="18"/>
          <w:color w:val="auto"/>
        </w:rPr>
        <w:t>”) is approved by the Board of Directors of Summit Midstream Corporation, a corporation organized under the laws of Delaware,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successors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as of March 30, 2026 to be effective as set forth herein.</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previously established the Plan; and</w:t>
      </w:r>
    </w:p>
    <w:p>
      <w:pPr>
        <w:spacing w:after="0" w:line="225"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now desires to amend the Plan to (i) increase the aggregate number of shares of Company common stock available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under the Plan and (ii) amend the term of the Plan (collectively, the “</w:t>
      </w:r>
      <w:r>
        <w:rPr>
          <w:rFonts w:ascii="Times New Roman" w:cs="Times New Roman" w:eastAsia="Times New Roman" w:hAnsi="Times New Roman"/>
          <w:sz w:val="18"/>
          <w:szCs w:val="18"/>
          <w:u w:val="single" w:color="auto"/>
          <w:color w:val="auto"/>
        </w:rPr>
        <w:t>Proposed Amendment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the Plan is hereby amended, as follows:</w:t>
      </w:r>
    </w:p>
    <w:p>
      <w:pPr>
        <w:spacing w:after="0" w:line="229"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5(a) of the Plan is hereby amended by deleting the present section in its entirety and substituting the following in lieu thereof:</w:t>
      </w:r>
    </w:p>
    <w:p>
      <w:pPr>
        <w:spacing w:after="0" w:line="225" w:lineRule="exact"/>
        <w:rPr>
          <w:rFonts w:ascii="Times New Roman" w:cs="Times New Roman" w:eastAsia="Times New Roman" w:hAnsi="Times New Roman"/>
          <w:sz w:val="18"/>
          <w:szCs w:val="18"/>
          <w:color w:val="auto"/>
        </w:rPr>
      </w:pPr>
    </w:p>
    <w:p>
      <w:pPr>
        <w:ind w:left="340" w:right="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Limits on Stock Deliverable</w:t>
      </w:r>
      <w:r>
        <w:rPr>
          <w:rFonts w:ascii="Times New Roman" w:cs="Times New Roman" w:eastAsia="Times New Roman" w:hAnsi="Times New Roman"/>
          <w:sz w:val="18"/>
          <w:szCs w:val="18"/>
          <w:color w:val="auto"/>
        </w:rPr>
        <w:t>. Subject to adjustment as provided in Section 5(c), the number of shares of Stock that may be delivered with respect to Awards under the Plan is 2,350,281 (which number is inclusive of the common units (which were converted to Stock as of the Effective Date) underlying Awards outstanding under (i) the Prior Plan immediately prior to the Effective Date and (ii) the 2012 Plan as of May 10, 2022). The Stock subject to (A) any Award granted under the Plan, the Prior Plan or the 2012 Plan that shall expire, terminate or be cancelled or annulled for any reason without having been exercised, (B) any Award of any SAR granted under the Plan, the Prior Plan or the 2012 Plan the terms of which provide for settlement in cash, and (C) any Award of Restricted Stock or Restricted Stock Units under the Plan, the Prior Plan or the 2012 Plan that shall be forfeited prior to becoming vested (provided that the holder received no benefits of ownership of such Restricted Stock or Restricted Stock Units other than voting rights and the accumulation of DERs, if any, and unpaid DERs, if any, that are likewise forfeited) shall again be available for purposes of the Plan. Notwithstanding the foregoing, the following shares of Stock may not again be made available for issuance as Awards under the Plan: (1) Stock not issued or delivered as a result of the net settlement of an outstanding Option or SAR, (2) Stock used to pay the purchase price or withholding taxes related to an outstanding Award, and (3) Stock repurchased on the open market with the proceeds of an Option purchase price. To the extent permitted by applicable law and securities exchange rules, Substitute Awards and Stock issued in assumption of, or in substitution for, any outstanding awards of any entity in connection with a merger, consolidation or acquisition of such entity by the Company or any Affiliate thereof shall not be counted against the shares of Stock available for issuance pursuant to the Plan. There shall not be any limitation on the number Awards that may be paid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 of the Plan is hereby amended by deleting the present section in its entirety and substituting the following in lieu thereof:</w:t>
      </w:r>
    </w:p>
    <w:p>
      <w:pPr>
        <w:spacing w:after="0" w:line="225" w:lineRule="exact"/>
        <w:rPr>
          <w:rFonts w:ascii="Times New Roman" w:cs="Times New Roman" w:eastAsia="Times New Roman" w:hAnsi="Times New Roman"/>
          <w:sz w:val="18"/>
          <w:szCs w:val="18"/>
          <w:color w:val="auto"/>
        </w:rPr>
      </w:pPr>
    </w:p>
    <w:p>
      <w:pPr>
        <w:ind w:left="3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the Plan</w:t>
      </w:r>
      <w:r>
        <w:rPr>
          <w:rFonts w:ascii="Times New Roman" w:cs="Times New Roman" w:eastAsia="Times New Roman" w:hAnsi="Times New Roman"/>
          <w:sz w:val="18"/>
          <w:szCs w:val="18"/>
          <w:color w:val="auto"/>
        </w:rPr>
        <w:t>. The Plan shall be effective as of the Effective Date and shall continue until the earliest of (i) the date terminated by the Board or (ii) ten (10) years from the earliest of (a) the date of Board approval of Amendment No. 1 to the Plan (“Amendment No. 1”) or (b) the date of stockholder approval of Amendment No. 1, it being understood that Amendment No. 1 shall be submitted for approval by a majority of the outstanding Stock of the Company entitled to vote. Amendment No. 1 shall be null and void and of no effect if such stockholder approval is not attained within twelve (12) months after the date on which Amendment No. 1 is adopted by the Board. Upon termination of the Plan, the applicable terms and provisions of the Plan shall, notwithstanding such termination, continue to apply to Awards granted prior to such termination.</w:t>
      </w:r>
    </w:p>
    <w:p>
      <w:pPr>
        <w:spacing w:after="0" w:line="187"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This Amendment No. 1 is subject to approval by the shareholders of the Company at a meeting duly called for such purposes. The Proposed Amendment may not occur unless and until this Amendment No. 1 is approved by the shareholders. Except as hereby modified, the Plan shall remain in full force and effect.</w:t>
      </w:r>
    </w:p>
    <w:p>
      <w:pPr>
        <w:spacing w:after="0" w:line="1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left intentionally blank</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168275</wp:posOffset>
            </wp:positionV>
            <wp:extent cx="2040255" cy="2825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8">
                      <a:extLst>
                        <a:ext uri="{28A0092B-C50C-407E-A947-70E740481C1C}"/>
                      </a:extLst>
                    </a:blip>
                    <a:srcRect/>
                    <a:stretch>
                      <a:fillRect/>
                    </a:stretch>
                  </pic:blipFill>
                  <pic:spPr bwMode="auto">
                    <a:xfrm>
                      <a:off x="0" y="0"/>
                      <a:ext cx="2040255"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609 Main Street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Houston, TX 77002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United States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+1 713 836 3600</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www.kirkland.com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29,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Summit Midstream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910 Louisiana Street, Suite 4200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are issuing this opinion in our capacity as special legal counsel to Summit Midstream Corporation, a Delaware corporation (the “Company”), in connection with the preparation of the Registration Statement on Form S-8 (as amended or supplemented, the “Registration Statement”) to be filed by the Company with the U.S. Securities and Exchange Commission (the “Commission”) on or about the date hereof. The Registration Statement relates to the registration under the Securities Act of 1933, as amended (the “Act”), by the Company of an additional 424,000 shares (the “Shares”) of common stock, par value $0.01 per share (the “Common Stock”), of the Company that may be issued from time to time pursuant to the Summit Midstream Corporation 2024 Long-Term Incentive Plan (as amended by Amendment No. 1, dated June May 7, 2026, the “Plan”).</w:t>
      </w:r>
    </w:p>
    <w:p>
      <w:pPr>
        <w:spacing w:after="0" w:line="18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For purposes of this opinion, we have examined originals, or copies certified or otherwise identified to our satisfaction, of such documents, corporate records and other instruments as we have deemed necessary for the purposes of this opinion, including (i) the corporate and organizational documents of the Company, (ii) minutes and records of the corporate proceedings of the Company with respect to the Registration Statement, (iii) the Plan and (iv) the Registration Statement and the exhibits thereto.</w:t>
      </w:r>
    </w:p>
    <w:p>
      <w:pPr>
        <w:spacing w:after="0" w:line="180"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For purposes of this opinion, we have assumed the authenticity of all documents submitted to us as originals, the conformity to the originals of all documents submitted to us as copies and the authenticity of the originals of all documents submitted to us as copies. We have also assumed the legal capacity of all natural persons, the genuineness of the signatures of persons signing all documents in connection with which this opinion is rendered, the authority of such persons signing on behalf of the parties thereto other than the Company and the due authorization, execution and delivery of all documents by the parties thereto other than the Company. We have not independently established or verified any facts relevant to the opinions expressed herein but have relied upon statements and representations of the officers and other representatives of the Company.</w:t>
      </w:r>
    </w:p>
    <w:p>
      <w:pPr>
        <w:spacing w:after="0" w:line="18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have relied without independent investigation upon, among other things, an assurance from the Company that the number of shares of Common Stock that the Company is authorized to issue pursuant to its charter exceeds the number of shares of Common Stock outstanding and the number of shares of Common Stock that the Company is obligated to issue (or had otherwise reserved for issuance) for any purposes by at least the number of Shares, and we have assumed that such condition will remain true at all future times relevant to this opinion.</w:t>
      </w:r>
    </w:p>
    <w:p>
      <w:pPr>
        <w:spacing w:after="0" w:line="18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Based upon and subject to the foregoing qualifications, assumptions and limitations and the further limitations set forth below, we are of the opinion that the Shares have been duly authorized and, when issued pursuant to and in accordance with the Plan, will be validly issued, fully paid and non-assessable.</w:t>
      </w:r>
    </w:p>
    <w:p>
      <w:pPr>
        <w:spacing w:after="0" w:line="17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Our opinion expressed above is subject to the qualifications that we express no opinion as to the applicability of, compliance with, or effect of any laws except the General Corporation Law of the State of Delaware (the “DGCL”).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2951480</wp:posOffset>
            </wp:positionH>
            <wp:positionV relativeFrom="page">
              <wp:posOffset>586105</wp:posOffset>
            </wp:positionV>
            <wp:extent cx="165417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654175" cy="137160"/>
                    </a:xfrm>
                    <a:prstGeom prst="rect">
                      <a:avLst/>
                    </a:prstGeom>
                    <a:noFill/>
                  </pic:spPr>
                </pic:pic>
              </a:graphicData>
            </a:graphic>
          </wp:anchor>
        </w:drawing>
        <w:t>Summit Midstream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29, 2026</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2</w:t>
      </w:r>
    </w:p>
    <w:p>
      <w:pPr>
        <w:spacing w:after="0" w:line="19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with the Commission as Exhibit 5.1 to the Registration Statement. In giving this consent, we do not thereby admit that we are in the category of persons whose consent is required under Section 7 of the Securities Act or the rules and regulations of the Commission.</w:t>
      </w:r>
    </w:p>
    <w:p>
      <w:pPr>
        <w:spacing w:after="0" w:line="17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We do not find it necessary for the purposes of this opinion, and accordingly we do not purport to cover herein, the application of the securities or “Blue Sky” laws of the various states to the issuance and sale of the Shares.</w:t>
      </w:r>
    </w:p>
    <w:p>
      <w:pPr>
        <w:spacing w:after="0" w:line="16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This opinion is limited to the specific issues addressed herein, and no opinion may be inferred or implied beyond that expressly stated herein. We assume no obligation to revise or supplement this opinion should the DGCL be changed by legislative action, judicial decision or otherwise.</w:t>
      </w:r>
    </w:p>
    <w:p>
      <w:pPr>
        <w:spacing w:after="0" w:line="16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This opinion is furnished to you in connection with the filing of the Registration Statement, and is not to be used, circulated, quoted or otherwise relied upon for any other purposes.</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Kirkland &amp; Ellis LLP</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36" w:right="37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reports dated March 16, 2026 relating to the financial statements of Summit Midstream Corporation (the “Company”), and the effectiveness of the Company’s internal control over financial reporting, appearing in the Annual Report on Form 10-K of the Company for the year ended December 31,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Deloitte &amp; Touche LLP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29, 2026</w:t>
      </w:r>
    </w:p>
    <w:p>
      <w:pPr>
        <w:sectPr>
          <w:pgSz w:w="11900" w:h="16838" w:orient="portrait"/>
          <w:cols w:equalWidth="0" w:num="1">
            <w:col w:w="11240"/>
          </w:cols>
          <w:pgMar w:left="320" w:top="108"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22"/>
          <w:szCs w:val="22"/>
          <w:b w:val="1"/>
          <w:bCs w:val="1"/>
          <w:color w:val="auto"/>
        </w:rPr>
        <w:t>Ex-Filing Fees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S-8</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Summit Midstream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1: Newly Registered Securities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00" w:type="dxa"/>
            <w:vAlign w:val="bottom"/>
            <w:vMerge w:val="restart"/>
          </w:tcPr>
          <w:p>
            <w:pPr>
              <w:spacing w:after="0"/>
              <w:rPr>
                <w:sz w:val="12"/>
                <w:szCs w:val="12"/>
                <w:color w:val="auto"/>
              </w:rPr>
            </w:pPr>
          </w:p>
        </w:tc>
        <w:tc>
          <w:tcPr>
            <w:tcW w:w="250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100" w:type="dxa"/>
            <w:vAlign w:val="bottom"/>
            <w:vMerge w:val="restart"/>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vMerge w:val="restart"/>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180" w:type="dxa"/>
            <w:vAlign w:val="bottom"/>
            <w:gridSpan w:val="2"/>
            <w:vMerge w:val="continue"/>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40" w:type="dxa"/>
            <w:vAlign w:val="bottom"/>
          </w:tcPr>
          <w:p>
            <w:pPr>
              <w:spacing w:after="0"/>
              <w:rPr>
                <w:sz w:val="12"/>
                <w:szCs w:val="12"/>
                <w:color w:val="auto"/>
              </w:rPr>
            </w:pPr>
          </w:p>
        </w:tc>
        <w:tc>
          <w:tcPr>
            <w:tcW w:w="13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Aggregate Offering</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3"/>
        </w:trPr>
        <w:tc>
          <w:tcPr>
            <w:tcW w:w="16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5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10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10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Unit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Stock, par value $0.01</w:t>
            </w:r>
          </w:p>
        </w:tc>
        <w:tc>
          <w:tcPr>
            <w:tcW w:w="74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Other</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424,000</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  29.11</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12,342,640.00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0.0001381</w:t>
            </w:r>
          </w:p>
        </w:tc>
        <w:tc>
          <w:tcPr>
            <w:tcW w:w="100" w:type="dxa"/>
            <w:vAlign w:val="bottom"/>
          </w:tcPr>
          <w:p>
            <w:pPr>
              <w:spacing w:after="0"/>
              <w:rPr>
                <w:sz w:val="20"/>
                <w:szCs w:val="20"/>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$ 1,704.52</w:t>
            </w: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 share</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40" w:type="dxa"/>
            <w:vAlign w:val="bottom"/>
            <w:gridSpan w:val="5"/>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Total Offering Amounts:</w:t>
            </w:r>
          </w:p>
        </w:tc>
        <w:tc>
          <w:tcPr>
            <w:tcW w:w="16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5"/>
            <w:vMerge w:val="continue"/>
          </w:tcPr>
          <w:p>
            <w:pPr>
              <w:spacing w:after="0"/>
              <w:rPr>
                <w:sz w:val="16"/>
                <w:szCs w:val="16"/>
                <w:color w:val="auto"/>
              </w:rPr>
            </w:pPr>
          </w:p>
        </w:tc>
        <w:tc>
          <w:tcPr>
            <w:tcW w:w="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12,342,640.00</w:t>
            </w:r>
          </w:p>
        </w:tc>
        <w:tc>
          <w:tcPr>
            <w:tcW w:w="10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vMerge w:val="continue"/>
          </w:tcPr>
          <w:p>
            <w:pPr>
              <w:spacing w:after="0"/>
              <w:rPr>
                <w:sz w:val="16"/>
                <w:szCs w:val="16"/>
                <w:color w:val="auto"/>
              </w:rPr>
            </w:pPr>
          </w:p>
        </w:tc>
        <w:tc>
          <w:tcPr>
            <w:tcW w:w="7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1,704.52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Total Fee Offsets: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Net Fee Due: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$ 1,704.52</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Offering Note(s)</w:t>
      </w:r>
    </w:p>
    <w:p>
      <w:pPr>
        <w:spacing w:after="0" w:line="84" w:lineRule="exact"/>
        <w:rPr>
          <w:sz w:val="20"/>
          <w:szCs w:val="20"/>
          <w:color w:val="auto"/>
        </w:rPr>
      </w:pPr>
    </w:p>
    <w:p>
      <w:pPr>
        <w:jc w:val="both"/>
        <w:ind w:left="360" w:hanging="292"/>
        <w:spacing w:after="0" w:line="266" w:lineRule="auto"/>
        <w:tabs>
          <w:tab w:leader="none" w:pos="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solely for the purpose of computing the amount of the registration fee pursuant to Rule 457(c) and (h) under the Securities Act of 1933, as amended (the “Securities Act”); this price is equal to the average of the high and low prices of the common stock, par value $0.01 per share (“Common Stock”), of Summit Midstream Corporation as reported on the New York Stock Exchange on June 24, 2026.</w:t>
      </w:r>
    </w:p>
    <w:p>
      <w:pPr>
        <w:spacing w:after="0" w:line="175" w:lineRule="exact"/>
        <w:rPr>
          <w:rFonts w:ascii="Times New Roman" w:cs="Times New Roman" w:eastAsia="Times New Roman" w:hAnsi="Times New Roman"/>
          <w:sz w:val="18"/>
          <w:szCs w:val="18"/>
          <w:color w:val="auto"/>
        </w:rPr>
      </w:pPr>
    </w:p>
    <w:p>
      <w:pPr>
        <w:jc w:val="both"/>
        <w:ind w:left="3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additional Common Stock issuable in respect of awards granted under the Summit Midstream Corporation 2024 Long-Term Incentive Plan (as amended by Amendment No. 1, which was adopted by the Registrant’s Board of Directors on March 30, 2026 and approved by the Registrant’s stockholders on May 7, 2026, and as may be further amended from time to time, the “Plan”). Common Stock available for issuance under the Plan were previously registered on a registration statement on Form S-8 (Registration No. 333-281730) filed with the U.S. Securities and Exchange Commission on August 22, 2024. Pursuant to Rule 416(a) under the Securities Act, this Registration Statement also covers an indeterminate number of additional shares of Common Stock as may become issuable under the Plan as a result of any stock dividend, stock split, recapitalization or any other similar transaction which results in an increase in the number of shares of outstanding Common Stock.</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8" Type="http://schemas.openxmlformats.org/officeDocument/2006/relationships/image" Target="media/image13.png"/><Relationship Id="rId34" Type="http://schemas.openxmlformats.org/officeDocument/2006/relationships/image" Target="media/image14.png"/><Relationship Id="rId35" Type="http://schemas.openxmlformats.org/officeDocument/2006/relationships/image" Target="media/image15.png"/><Relationship Id="rId36" Type="http://schemas.openxmlformats.org/officeDocument/2006/relationships/image" Target="media/image16.png"/><Relationship Id="rId37" Type="http://schemas.openxmlformats.org/officeDocument/2006/relationships/image" Target="media/image17.png"/><Relationship Id="rId38" Type="http://schemas.openxmlformats.org/officeDocument/2006/relationships/image" Target="media/image18.jpeg"/><Relationship Id="rId39" Type="http://schemas.openxmlformats.org/officeDocument/2006/relationships/image" Target="media/image19.png"/><Relationship Id="rId40" Type="http://schemas.openxmlformats.org/officeDocument/2006/relationships/image" Target="media/image20.jpeg"/><Relationship Id="rId41" Type="http://schemas.openxmlformats.org/officeDocument/2006/relationships/image" Target="media/image21.png"/><Relationship Id="rId42" Type="http://schemas.openxmlformats.org/officeDocument/2006/relationships/image" Target="media/image22.png"/><Relationship Id="rId43" Type="http://schemas.openxmlformats.org/officeDocument/2006/relationships/image" Target="media/image23.png"/><Relationship Id="rId18" Type="http://schemas.openxmlformats.org/officeDocument/2006/relationships/hyperlink" Target="http://www.sec.gov/Archives/edgar/data/2024218/000121390024071948/ea0212114-s8_summit.htm" TargetMode="External"/><Relationship Id="rId21" Type="http://schemas.openxmlformats.org/officeDocument/2006/relationships/hyperlink" Target="http://www.sec.gov/ix?doc=/Archives/edgar/data/2024218/000202421826000017/smlp-20251231.htm" TargetMode="External"/><Relationship Id="rId22" Type="http://schemas.openxmlformats.org/officeDocument/2006/relationships/hyperlink" Target="http://www.sec.gov/ix?doc=/Archives/edgar/data/2024218/000121390026042530/ea0285465-01.htm" TargetMode="External"/><Relationship Id="rId23" Type="http://schemas.openxmlformats.org/officeDocument/2006/relationships/hyperlink" Target="http://www.sec.gov/ix?doc=/Archives/edgar/data/2024218/000202421826000069/smc-20260331.htm" TargetMode="External"/><Relationship Id="rId24" Type="http://schemas.openxmlformats.org/officeDocument/2006/relationships/hyperlink" Target="http://www.sec.gov/ix?doc=/Archives/edgar/data/2024218/000202421826000062/smc-20260331.htm" TargetMode="External"/><Relationship Id="rId25" Type="http://schemas.openxmlformats.org/officeDocument/2006/relationships/hyperlink" Target="http://www.sec.gov/ix?doc=/Archives/edgar/data/2024218/000202421826000072/smc-20260507.htm" TargetMode="External"/><Relationship Id="rId26" Type="http://schemas.openxmlformats.org/officeDocument/2006/relationships/hyperlink" Target="http://www.sec.gov/Archives/edgar/data/2024218/000202421825000020/smc-20241231x10kexx41.htm" TargetMode="External"/><Relationship Id="rId27" Type="http://schemas.openxmlformats.org/officeDocument/2006/relationships/hyperlink" Target="http://www.sec.gov/ix?doc=/Archives/edgar/data/2024218/000202421825000020/smlp-20241231.htm" TargetMode="External"/><Relationship Id="rId29" Type="http://schemas.openxmlformats.org/officeDocument/2006/relationships/hyperlink" Target="http://www.sec.gov/Archives/edgar/data/2024218/000101376224003515/ea021024101ex3-1_summit.htm" TargetMode="External"/><Relationship Id="rId30" Type="http://schemas.openxmlformats.org/officeDocument/2006/relationships/hyperlink" Target="http://www.sec.gov/Archives/edgar/data/2024218/000101376224003515/ea021024101ex3-2_summit.htm" TargetMode="External"/><Relationship Id="rId31" Type="http://schemas.openxmlformats.org/officeDocument/2006/relationships/hyperlink" Target="http://www.sec.gov/Archives/edgar/data/2024218/000101376224003515/ea021024101ex3-3_summit.htm" TargetMode="External"/><Relationship Id="rId32" Type="http://schemas.openxmlformats.org/officeDocument/2006/relationships/hyperlink" Target="http://www.sec.gov/Archives/edgar/data/2024218/000202421824000041/exhibit31-summitmidstrea.htm" TargetMode="External"/><Relationship Id="rId33" Type="http://schemas.openxmlformats.org/officeDocument/2006/relationships/hyperlink" Target="http://www.sec.gov/Archives/edgar/data/2024218/000101376224003515/ea021024101ex10-7_summi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2026-06-29T15:14:47Z</dcterms:created>
  <dcterms:modified xsi:type="dcterms:W3CDTF">2026-06-29T15:14:47Z</dcterms:modified>
</cp:coreProperties>
</file>