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2019</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4320"/>
        <w:spacing w:after="0"/>
        <w:tabs>
          <w:tab w:leader="none" w:pos="66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9"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Commission file number: 001-35666</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Summit Midstream Partners, LP</w:t>
      </w:r>
    </w:p>
    <w:p>
      <w:pPr>
        <w:spacing w:after="0" w:line="110" w:lineRule="exact"/>
        <w:rPr>
          <w:sz w:val="24"/>
          <w:szCs w:val="24"/>
          <w:color w:val="auto"/>
        </w:rPr>
      </w:pPr>
    </w:p>
    <w:tbl>
      <w:tblPr>
        <w:tblLayout w:type="fixed"/>
        <w:tblInd w:w="1380" w:type="dxa"/>
        <w:tblCellMar>
          <w:top w:w="0" w:type="dxa"/>
          <w:left w:w="0" w:type="dxa"/>
          <w:bottom w:w="0" w:type="dxa"/>
          <w:right w:w="0" w:type="dxa"/>
        </w:tblCellMar>
      </w:tblPr>
      <w:tr>
        <w:trPr>
          <w:trHeight w:val="219"/>
        </w:trPr>
        <w:tc>
          <w:tcPr>
            <w:tcW w:w="6420" w:type="dxa"/>
            <w:vAlign w:val="bottom"/>
          </w:tcPr>
          <w:p>
            <w:pPr>
              <w:jc w:val="center"/>
              <w:ind w:left="2159"/>
              <w:spacing w:after="0"/>
              <w:rPr>
                <w:sz w:val="20"/>
                <w:szCs w:val="20"/>
                <w:color w:val="auto"/>
              </w:rPr>
            </w:pPr>
            <w:r>
              <w:rPr>
                <w:rFonts w:ascii="Arial" w:cs="Arial" w:eastAsia="Arial" w:hAnsi="Arial"/>
                <w:sz w:val="16"/>
                <w:szCs w:val="16"/>
                <w:color w:val="auto"/>
              </w:rPr>
              <w:t>(Exact name of registrant as specified in its charter)</w:t>
            </w:r>
          </w:p>
        </w:tc>
        <w:tc>
          <w:tcPr>
            <w:tcW w:w="1460" w:type="dxa"/>
            <w:vAlign w:val="bottom"/>
          </w:tcPr>
          <w:p>
            <w:pPr>
              <w:spacing w:after="0"/>
              <w:rPr>
                <w:sz w:val="19"/>
                <w:szCs w:val="19"/>
                <w:color w:val="auto"/>
              </w:rPr>
            </w:pPr>
          </w:p>
        </w:tc>
      </w:tr>
      <w:tr>
        <w:trPr>
          <w:trHeight w:val="241"/>
        </w:trPr>
        <w:tc>
          <w:tcPr>
            <w:tcW w:w="6420" w:type="dxa"/>
            <w:vAlign w:val="bottom"/>
          </w:tcPr>
          <w:p>
            <w:pPr>
              <w:jc w:val="center"/>
              <w:ind w:right="3479"/>
              <w:spacing w:after="0"/>
              <w:rPr>
                <w:sz w:val="20"/>
                <w:szCs w:val="20"/>
                <w:color w:val="auto"/>
              </w:rPr>
            </w:pPr>
            <w:r>
              <w:rPr>
                <w:rFonts w:ascii="Arial" w:cs="Arial" w:eastAsia="Arial" w:hAnsi="Arial"/>
                <w:sz w:val="16"/>
                <w:szCs w:val="16"/>
                <w:b w:val="1"/>
                <w:bCs w:val="1"/>
                <w:color w:val="auto"/>
                <w:w w:val="99"/>
              </w:rPr>
              <w:t>Delaware</w:t>
            </w: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rPr>
              <w:t>45-5200503</w:t>
            </w:r>
          </w:p>
        </w:tc>
      </w:tr>
      <w:tr>
        <w:trPr>
          <w:trHeight w:val="189"/>
        </w:trPr>
        <w:tc>
          <w:tcPr>
            <w:tcW w:w="6420" w:type="dxa"/>
            <w:vAlign w:val="bottom"/>
          </w:tcPr>
          <w:p>
            <w:pPr>
              <w:jc w:val="center"/>
              <w:ind w:right="3479"/>
              <w:spacing w:after="0"/>
              <w:rPr>
                <w:sz w:val="20"/>
                <w:szCs w:val="20"/>
                <w:color w:val="auto"/>
              </w:rPr>
            </w:pPr>
            <w:r>
              <w:rPr>
                <w:rFonts w:ascii="Arial" w:cs="Arial" w:eastAsia="Arial" w:hAnsi="Arial"/>
                <w:sz w:val="16"/>
                <w:szCs w:val="16"/>
                <w:color w:val="auto"/>
              </w:rPr>
              <w:t>(State or other jurisdiction of</w:t>
            </w:r>
          </w:p>
        </w:tc>
        <w:tc>
          <w:tcPr>
            <w:tcW w:w="1460" w:type="dxa"/>
            <w:vAlign w:val="bottom"/>
          </w:tcPr>
          <w:p>
            <w:pPr>
              <w:jc w:val="center"/>
              <w:ind w:left="119"/>
              <w:spacing w:after="0"/>
              <w:rPr>
                <w:sz w:val="20"/>
                <w:szCs w:val="20"/>
                <w:color w:val="auto"/>
              </w:rPr>
            </w:pPr>
            <w:r>
              <w:rPr>
                <w:rFonts w:ascii="Arial" w:cs="Arial" w:eastAsia="Arial" w:hAnsi="Arial"/>
                <w:sz w:val="16"/>
                <w:szCs w:val="16"/>
                <w:color w:val="auto"/>
              </w:rPr>
              <w:t>(I.R.S. Employer</w:t>
            </w:r>
          </w:p>
        </w:tc>
      </w:tr>
      <w:tr>
        <w:trPr>
          <w:trHeight w:val="219"/>
        </w:trPr>
        <w:tc>
          <w:tcPr>
            <w:tcW w:w="6420" w:type="dxa"/>
            <w:vAlign w:val="bottom"/>
          </w:tcPr>
          <w:p>
            <w:pPr>
              <w:jc w:val="center"/>
              <w:ind w:right="3479"/>
              <w:spacing w:after="0"/>
              <w:rPr>
                <w:sz w:val="20"/>
                <w:szCs w:val="20"/>
                <w:color w:val="auto"/>
              </w:rPr>
            </w:pPr>
            <w:r>
              <w:rPr>
                <w:rFonts w:ascii="Arial" w:cs="Arial" w:eastAsia="Arial" w:hAnsi="Arial"/>
                <w:sz w:val="16"/>
                <w:szCs w:val="16"/>
                <w:color w:val="auto"/>
              </w:rPr>
              <w:t>incorporation or organization)</w:t>
            </w:r>
          </w:p>
        </w:tc>
        <w:tc>
          <w:tcPr>
            <w:tcW w:w="1460" w:type="dxa"/>
            <w:vAlign w:val="bottom"/>
          </w:tcPr>
          <w:p>
            <w:pPr>
              <w:jc w:val="center"/>
              <w:ind w:left="119"/>
              <w:spacing w:after="0"/>
              <w:rPr>
                <w:sz w:val="20"/>
                <w:szCs w:val="20"/>
                <w:color w:val="auto"/>
              </w:rPr>
            </w:pPr>
            <w:r>
              <w:rPr>
                <w:rFonts w:ascii="Arial" w:cs="Arial" w:eastAsia="Arial" w:hAnsi="Arial"/>
                <w:sz w:val="16"/>
                <w:szCs w:val="16"/>
                <w:color w:val="auto"/>
              </w:rPr>
              <w:t>Identification No.)</w:t>
            </w:r>
          </w:p>
        </w:tc>
      </w:tr>
      <w:tr>
        <w:trPr>
          <w:trHeight w:val="239"/>
        </w:trPr>
        <w:tc>
          <w:tcPr>
            <w:tcW w:w="6420" w:type="dxa"/>
            <w:vAlign w:val="bottom"/>
          </w:tcPr>
          <w:p>
            <w:pPr>
              <w:jc w:val="center"/>
              <w:ind w:right="3479"/>
              <w:spacing w:after="0"/>
              <w:rPr>
                <w:sz w:val="20"/>
                <w:szCs w:val="20"/>
                <w:color w:val="auto"/>
              </w:rPr>
            </w:pPr>
            <w:r>
              <w:rPr>
                <w:rFonts w:ascii="Arial" w:cs="Arial" w:eastAsia="Arial" w:hAnsi="Arial"/>
                <w:sz w:val="16"/>
                <w:szCs w:val="16"/>
                <w:b w:val="1"/>
                <w:bCs w:val="1"/>
                <w:color w:val="auto"/>
              </w:rPr>
              <w:t>1790 Hughes Landing Blvd, Suite 500</w:t>
            </w:r>
          </w:p>
        </w:tc>
        <w:tc>
          <w:tcPr>
            <w:tcW w:w="1460" w:type="dxa"/>
            <w:vAlign w:val="bottom"/>
          </w:tcPr>
          <w:p>
            <w:pPr>
              <w:spacing w:after="0"/>
              <w:rPr>
                <w:sz w:val="20"/>
                <w:szCs w:val="20"/>
                <w:color w:val="auto"/>
              </w:rPr>
            </w:pPr>
          </w:p>
        </w:tc>
      </w:tr>
      <w:tr>
        <w:trPr>
          <w:trHeight w:val="191"/>
        </w:trPr>
        <w:tc>
          <w:tcPr>
            <w:tcW w:w="6420" w:type="dxa"/>
            <w:vAlign w:val="bottom"/>
          </w:tcPr>
          <w:p>
            <w:pPr>
              <w:jc w:val="center"/>
              <w:ind w:right="3479"/>
              <w:spacing w:after="0"/>
              <w:rPr>
                <w:sz w:val="20"/>
                <w:szCs w:val="20"/>
                <w:color w:val="auto"/>
              </w:rPr>
            </w:pPr>
            <w:r>
              <w:rPr>
                <w:rFonts w:ascii="Arial" w:cs="Arial" w:eastAsia="Arial" w:hAnsi="Arial"/>
                <w:sz w:val="16"/>
                <w:szCs w:val="16"/>
                <w:b w:val="1"/>
                <w:bCs w:val="1"/>
                <w:color w:val="auto"/>
              </w:rPr>
              <w:t>The Woodlands, TX</w:t>
            </w: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auto"/>
              </w:rPr>
              <w:t>77380</w:t>
            </w:r>
          </w:p>
        </w:tc>
      </w:tr>
      <w:tr>
        <w:trPr>
          <w:trHeight w:val="219"/>
        </w:trPr>
        <w:tc>
          <w:tcPr>
            <w:tcW w:w="6420" w:type="dxa"/>
            <w:vAlign w:val="bottom"/>
          </w:tcPr>
          <w:p>
            <w:pPr>
              <w:jc w:val="center"/>
              <w:ind w:right="3479"/>
              <w:spacing w:after="0"/>
              <w:rPr>
                <w:sz w:val="20"/>
                <w:szCs w:val="20"/>
                <w:color w:val="auto"/>
              </w:rPr>
            </w:pPr>
            <w:r>
              <w:rPr>
                <w:rFonts w:ascii="Arial" w:cs="Arial" w:eastAsia="Arial" w:hAnsi="Arial"/>
                <w:sz w:val="16"/>
                <w:szCs w:val="16"/>
                <w:color w:val="auto"/>
              </w:rPr>
              <w:t>(Address of principal executive offices)</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rPr>
              <w:t>(Zip Code)</w:t>
            </w:r>
          </w:p>
        </w:tc>
      </w:tr>
      <w:tr>
        <w:trPr>
          <w:trHeight w:val="241"/>
        </w:trPr>
        <w:tc>
          <w:tcPr>
            <w:tcW w:w="6420" w:type="dxa"/>
            <w:vAlign w:val="bottom"/>
          </w:tcPr>
          <w:p>
            <w:pPr>
              <w:jc w:val="center"/>
              <w:ind w:left="2159"/>
              <w:spacing w:after="0"/>
              <w:rPr>
                <w:sz w:val="20"/>
                <w:szCs w:val="20"/>
                <w:color w:val="auto"/>
              </w:rPr>
            </w:pPr>
            <w:r>
              <w:rPr>
                <w:rFonts w:ascii="Arial" w:cs="Arial" w:eastAsia="Arial" w:hAnsi="Arial"/>
                <w:sz w:val="16"/>
                <w:szCs w:val="16"/>
                <w:b w:val="1"/>
                <w:bCs w:val="1"/>
                <w:color w:val="auto"/>
              </w:rPr>
              <w:t>(832) 413-4770</w:t>
            </w:r>
          </w:p>
        </w:tc>
        <w:tc>
          <w:tcPr>
            <w:tcW w:w="1460" w:type="dxa"/>
            <w:vAlign w:val="bottom"/>
          </w:tcPr>
          <w:p>
            <w:pPr>
              <w:spacing w:after="0"/>
              <w:rPr>
                <w:sz w:val="20"/>
                <w:szCs w:val="20"/>
                <w:color w:val="auto"/>
              </w:rPr>
            </w:pPr>
          </w:p>
        </w:tc>
      </w:tr>
      <w:tr>
        <w:trPr>
          <w:trHeight w:val="219"/>
        </w:trPr>
        <w:tc>
          <w:tcPr>
            <w:tcW w:w="6420" w:type="dxa"/>
            <w:vAlign w:val="bottom"/>
          </w:tcPr>
          <w:p>
            <w:pPr>
              <w:jc w:val="center"/>
              <w:ind w:left="2179"/>
              <w:spacing w:after="0"/>
              <w:rPr>
                <w:sz w:val="20"/>
                <w:szCs w:val="20"/>
                <w:color w:val="auto"/>
              </w:rPr>
            </w:pPr>
            <w:r>
              <w:rPr>
                <w:rFonts w:ascii="Arial" w:cs="Arial" w:eastAsia="Arial" w:hAnsi="Arial"/>
                <w:sz w:val="16"/>
                <w:szCs w:val="16"/>
                <w:color w:val="auto"/>
              </w:rPr>
              <w:t>(Registrant’s telephone number, including area code)</w:t>
            </w:r>
          </w:p>
        </w:tc>
        <w:tc>
          <w:tcPr>
            <w:tcW w:w="1460" w:type="dxa"/>
            <w:vAlign w:val="bottom"/>
          </w:tcPr>
          <w:p>
            <w:pPr>
              <w:spacing w:after="0"/>
              <w:rPr>
                <w:sz w:val="19"/>
                <w:szCs w:val="19"/>
                <w:color w:val="auto"/>
              </w:rPr>
            </w:pPr>
          </w:p>
        </w:tc>
      </w:tr>
    </w:tbl>
    <w:p>
      <w:pPr>
        <w:spacing w:after="0" w:line="3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53" w:lineRule="exact"/>
        <w:rPr>
          <w:sz w:val="24"/>
          <w:szCs w:val="24"/>
          <w:color w:val="auto"/>
        </w:rPr>
      </w:pPr>
    </w:p>
    <w:p>
      <w:pPr>
        <w:jc w:val="both"/>
        <w:ind w:right="140"/>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2" w:lineRule="exact"/>
        <w:rPr>
          <w:sz w:val="24"/>
          <w:szCs w:val="24"/>
          <w:color w:val="auto"/>
        </w:rPr>
      </w:pPr>
    </w:p>
    <w:p>
      <w:pPr>
        <w:ind w:right="400"/>
        <w:spacing w:after="0" w:line="28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60" w:hanging="352"/>
        <w:spacing w:after="0" w:line="184" w:lineRule="exact"/>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08" w:lineRule="exact"/>
        <w:rPr>
          <w:sz w:val="24"/>
          <w:szCs w:val="24"/>
          <w:color w:val="auto"/>
        </w:rPr>
      </w:pPr>
    </w:p>
    <w:p>
      <w:pPr>
        <w:ind w:right="18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11" w:right="239" w:bottom="1440" w:gutter="0" w:footer="0" w:header="0"/>
        </w:sectPr>
      </w:pPr>
    </w:p>
    <w:p>
      <w:pPr>
        <w:spacing w:after="0" w:line="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760"/>
        <w:spacing w:after="0" w:line="172"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 w:lineRule="exact"/>
        <w:rPr>
          <w:sz w:val="24"/>
          <w:szCs w:val="24"/>
          <w:color w:val="auto"/>
        </w:rPr>
      </w:pPr>
    </w:p>
    <w:p>
      <w:pPr>
        <w:sectPr>
          <w:pgSz w:w="11900" w:h="16838" w:orient="portrait"/>
          <w:cols w:equalWidth="0" w:num="2">
            <w:col w:w="8580" w:space="720"/>
            <w:col w:w="2120"/>
          </w:cols>
          <w:pgMar w:left="240" w:top="211"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11" w:right="239" w:bottom="1440" w:gutter="0" w:footer="0" w:header="0"/>
          <w:type w:val="continuous"/>
        </w:sectPr>
      </w:pPr>
    </w:p>
    <w:p>
      <w:pPr>
        <w:spacing w:after="0" w:line="70" w:lineRule="exact"/>
        <w:rPr>
          <w:sz w:val="24"/>
          <w:szCs w:val="24"/>
          <w:color w:val="auto"/>
        </w:rPr>
      </w:pPr>
    </w:p>
    <w:p>
      <w:pPr>
        <w:ind w:right="3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9" w:lineRule="exact"/>
        <w:rPr>
          <w:sz w:val="24"/>
          <w:szCs w:val="24"/>
          <w:color w:val="auto"/>
        </w:rPr>
      </w:pPr>
    </w:p>
    <w:p>
      <w:pPr>
        <w:ind w:right="2060"/>
        <w:spacing w:after="0" w:line="25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Securities registered pursuant to Section 12(b) of the Securities Act:</w:t>
      </w:r>
    </w:p>
    <w:p>
      <w:pPr>
        <w:spacing w:after="0" w:line="51"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440" w:type="dxa"/>
            <w:vAlign w:val="bottom"/>
            <w:tcBorders>
              <w:top w:val="single" w:sz="8" w:color="auto"/>
              <w:bottom w:val="single" w:sz="8" w:color="auto"/>
            </w:tcBorders>
          </w:tcPr>
          <w:p>
            <w:pPr>
              <w:spacing w:after="0"/>
              <w:rPr>
                <w:sz w:val="20"/>
                <w:szCs w:val="20"/>
                <w:color w:val="auto"/>
              </w:rPr>
            </w:pPr>
          </w:p>
        </w:tc>
        <w:tc>
          <w:tcPr>
            <w:tcW w:w="2520" w:type="dxa"/>
            <w:vAlign w:val="bottom"/>
            <w:tcBorders>
              <w:top w:val="single" w:sz="8" w:color="auto"/>
              <w:bottom w:val="single" w:sz="8" w:color="auto"/>
              <w:right w:val="single" w:sz="8" w:color="auto"/>
            </w:tcBorders>
            <w:gridSpan w:val="2"/>
          </w:tcPr>
          <w:p>
            <w:pPr>
              <w:jc w:val="center"/>
              <w:ind w:right="480"/>
              <w:spacing w:after="0"/>
              <w:rPr>
                <w:sz w:val="20"/>
                <w:szCs w:val="20"/>
                <w:color w:val="auto"/>
              </w:rPr>
            </w:pPr>
            <w:r>
              <w:rPr>
                <w:rFonts w:ascii="Arial" w:cs="Arial" w:eastAsia="Arial" w:hAnsi="Arial"/>
                <w:sz w:val="16"/>
                <w:szCs w:val="16"/>
                <w:color w:val="auto"/>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Units</w:t>
            </w:r>
          </w:p>
        </w:tc>
        <w:tc>
          <w:tcPr>
            <w:tcW w:w="440" w:type="dxa"/>
            <w:vAlign w:val="bottom"/>
            <w:tcBorders>
              <w:bottom w:val="single" w:sz="8" w:color="auto"/>
            </w:tcBorders>
          </w:tcPr>
          <w:p>
            <w:pPr>
              <w:spacing w:after="0"/>
              <w:rPr>
                <w:sz w:val="19"/>
                <w:szCs w:val="19"/>
                <w:color w:val="auto"/>
              </w:rPr>
            </w:pPr>
          </w:p>
        </w:tc>
        <w:tc>
          <w:tcPr>
            <w:tcW w:w="2520" w:type="dxa"/>
            <w:vAlign w:val="bottom"/>
            <w:tcBorders>
              <w:bottom w:val="single" w:sz="8" w:color="auto"/>
              <w:right w:val="single" w:sz="8" w:color="auto"/>
            </w:tcBorders>
            <w:gridSpan w:val="2"/>
          </w:tcPr>
          <w:p>
            <w:pPr>
              <w:jc w:val="center"/>
              <w:ind w:right="480"/>
              <w:spacing w:after="0"/>
              <w:rPr>
                <w:sz w:val="20"/>
                <w:szCs w:val="20"/>
                <w:color w:val="auto"/>
              </w:rPr>
            </w:pPr>
            <w:r>
              <w:rPr>
                <w:rFonts w:ascii="Arial" w:cs="Arial" w:eastAsia="Arial" w:hAnsi="Arial"/>
                <w:sz w:val="16"/>
                <w:szCs w:val="16"/>
                <w:color w:val="auto"/>
              </w:rPr>
              <w:t>SMLP</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281"/>
        </w:trPr>
        <w:tc>
          <w:tcPr>
            <w:tcW w:w="11420" w:type="dxa"/>
            <w:vAlign w:val="bottom"/>
            <w:gridSpan w:val="5"/>
          </w:tcPr>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tc>
      </w:tr>
      <w:tr>
        <w:trPr>
          <w:trHeight w:val="286"/>
        </w:trPr>
        <w:tc>
          <w:tcPr>
            <w:tcW w:w="4260" w:type="dxa"/>
            <w:vAlign w:val="bottom"/>
            <w:tcBorders>
              <w:bottom w:val="single" w:sz="8" w:color="auto"/>
            </w:tcBorders>
          </w:tcPr>
          <w:p>
            <w:pPr>
              <w:jc w:val="center"/>
              <w:ind w:left="361"/>
              <w:spacing w:after="0"/>
              <w:rPr>
                <w:sz w:val="20"/>
                <w:szCs w:val="20"/>
                <w:color w:val="auto"/>
              </w:rPr>
            </w:pPr>
            <w:r>
              <w:rPr>
                <w:rFonts w:ascii="Arial" w:cs="Arial" w:eastAsia="Arial" w:hAnsi="Arial"/>
                <w:sz w:val="14"/>
                <w:szCs w:val="14"/>
                <w:b w:val="1"/>
                <w:bCs w:val="1"/>
                <w:color w:val="auto"/>
              </w:rPr>
              <w:t>Class</w:t>
            </w:r>
          </w:p>
        </w:tc>
        <w:tc>
          <w:tcPr>
            <w:tcW w:w="440" w:type="dxa"/>
            <w:vAlign w:val="bottom"/>
            <w:tcBorders>
              <w:bottom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jc w:val="center"/>
              <w:ind w:right="401"/>
              <w:spacing w:after="0"/>
              <w:rPr>
                <w:sz w:val="20"/>
                <w:szCs w:val="20"/>
                <w:color w:val="auto"/>
              </w:rPr>
            </w:pPr>
            <w:r>
              <w:rPr>
                <w:rFonts w:ascii="Arial" w:cs="Arial" w:eastAsia="Arial" w:hAnsi="Arial"/>
                <w:sz w:val="14"/>
                <w:szCs w:val="14"/>
                <w:b w:val="1"/>
                <w:bCs w:val="1"/>
                <w:color w:val="auto"/>
              </w:rPr>
              <w:t>As of April 30, 2019</w:t>
            </w:r>
          </w:p>
        </w:tc>
      </w:tr>
      <w:tr>
        <w:trPr>
          <w:trHeight w:val="221"/>
        </w:trPr>
        <w:tc>
          <w:tcPr>
            <w:tcW w:w="4260" w:type="dxa"/>
            <w:vAlign w:val="bottom"/>
          </w:tcPr>
          <w:p>
            <w:pPr>
              <w:jc w:val="center"/>
              <w:ind w:left="361"/>
              <w:spacing w:after="0"/>
              <w:rPr>
                <w:sz w:val="20"/>
                <w:szCs w:val="20"/>
                <w:color w:val="auto"/>
              </w:rPr>
            </w:pPr>
            <w:r>
              <w:rPr>
                <w:rFonts w:ascii="Arial" w:cs="Arial" w:eastAsia="Arial" w:hAnsi="Arial"/>
                <w:sz w:val="16"/>
                <w:szCs w:val="16"/>
                <w:color w:val="auto"/>
              </w:rPr>
              <w:t>Common Units</w:t>
            </w:r>
          </w:p>
        </w:tc>
        <w:tc>
          <w:tcPr>
            <w:tcW w:w="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0" w:type="dxa"/>
            <w:vAlign w:val="bottom"/>
          </w:tcPr>
          <w:p>
            <w:pPr>
              <w:jc w:val="center"/>
              <w:ind w:right="381"/>
              <w:spacing w:after="0"/>
              <w:rPr>
                <w:sz w:val="20"/>
                <w:szCs w:val="20"/>
                <w:color w:val="auto"/>
              </w:rPr>
            </w:pPr>
            <w:r>
              <w:rPr>
                <w:rFonts w:ascii="Arial" w:cs="Arial" w:eastAsia="Arial" w:hAnsi="Arial"/>
                <w:sz w:val="16"/>
                <w:szCs w:val="16"/>
                <w:color w:val="auto"/>
                <w:w w:val="99"/>
              </w:rPr>
              <w:t>82,695,311 units</w:t>
            </w:r>
          </w:p>
        </w:tc>
      </w:tr>
      <w:tr>
        <w:trPr>
          <w:trHeight w:val="590"/>
        </w:trPr>
        <w:tc>
          <w:tcPr>
            <w:tcW w:w="4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1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1000" w:type="dxa"/>
            <w:vAlign w:val="bottom"/>
            <w:gridSpan w:val="21"/>
            <w:shd w:val="clear" w:color="auto" w:fill="CCEEFF"/>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COMMONLY USED OR DEFINED TERMS</w:t>
              </w:r>
            </w:hyperlink>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380" w:type="dxa"/>
            <w:vAlign w:val="bottom"/>
            <w:tcBorders>
              <w:top w:val="single" w:sz="8" w:color="0000EE"/>
            </w:tcBorders>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36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17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1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3"/>
            <w:shd w:val="clear" w:color="auto" w:fill="CCEEFF"/>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20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17"/>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Item 1.</w:t>
            </w:r>
          </w:p>
        </w:tc>
        <w:tc>
          <w:tcPr>
            <w:tcW w:w="200" w:type="dxa"/>
            <w:vAlign w:val="bottom"/>
          </w:tcPr>
          <w:p>
            <w:pPr>
              <w:spacing w:after="0"/>
              <w:rPr>
                <w:sz w:val="15"/>
                <w:szCs w:val="15"/>
                <w:color w:val="auto"/>
              </w:rPr>
            </w:pPr>
          </w:p>
        </w:tc>
        <w:tc>
          <w:tcPr>
            <w:tcW w:w="1740" w:type="dxa"/>
            <w:vAlign w:val="bottom"/>
            <w:tcBorders>
              <w:bottom w:val="single" w:sz="8" w:color="0000EE"/>
            </w:tcBorders>
            <w:gridSpan w:val="5"/>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Financial Statements.</w:t>
              </w:r>
            </w:hyperlink>
          </w:p>
        </w:tc>
        <w:tc>
          <w:tcPr>
            <w:tcW w:w="8200" w:type="dxa"/>
            <w:vAlign w:val="bottom"/>
            <w:gridSpan w:val="12"/>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794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Unaudited Condensed Consolidated Balance Sheets as of March 31, 2019 and December 31, 2018</w:t>
              </w:r>
            </w:hyperlink>
          </w:p>
        </w:tc>
        <w:tc>
          <w:tcPr>
            <w:tcW w:w="2000" w:type="dxa"/>
            <w:vAlign w:val="bottom"/>
            <w:tcBorders>
              <w:bottom w:val="single" w:sz="8" w:color="CCEEFF"/>
            </w:tcBorders>
            <w:gridSpan w:val="4"/>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940" w:type="dxa"/>
            <w:vAlign w:val="bottom"/>
            <w:gridSpan w:val="17"/>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Operations for the three months ended March 31, 2019 and 2018</w:t>
              </w:r>
            </w:hyperlink>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9940" w:type="dxa"/>
            <w:vAlign w:val="bottom"/>
            <w:gridSpan w:val="17"/>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Statements of Partners' Capital for the three months ended March 31, 2019 and 2018</w:t>
              </w:r>
            </w:hyperlink>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9740" w:type="dxa"/>
            <w:vAlign w:val="bottom"/>
            <w:tcBorders>
              <w:top w:val="single" w:sz="8" w:color="0000EE"/>
            </w:tcBorders>
            <w:gridSpan w:val="16"/>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 for the three months ended March 31, 2019 and 2018</w:t>
              </w:r>
            </w:hyperlink>
          </w:p>
        </w:tc>
        <w:tc>
          <w:tcPr>
            <w:tcW w:w="2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53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Notes to Unaudited Condensed Consolidated Financial Statements</w:t>
              </w:r>
            </w:hyperlink>
          </w:p>
        </w:tc>
        <w:tc>
          <w:tcPr>
            <w:tcW w:w="4580" w:type="dxa"/>
            <w:vAlign w:val="bottom"/>
            <w:tcBorders>
              <w:bottom w:val="single" w:sz="8" w:color="CCEEFF"/>
            </w:tcBorders>
            <w:gridSpan w:val="6"/>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5"/>
                <w:szCs w:val="15"/>
                <w:color w:val="auto"/>
              </w:rPr>
            </w:pPr>
          </w:p>
        </w:tc>
        <w:tc>
          <w:tcPr>
            <w:tcW w:w="7140" w:type="dxa"/>
            <w:vAlign w:val="bottom"/>
            <w:tcBorders>
              <w:bottom w:val="single" w:sz="8" w:color="0000EE"/>
            </w:tcBorders>
            <w:gridSpan w:val="12"/>
          </w:tcPr>
          <w:p>
            <w:pPr>
              <w:spacing w:after="0" w:line="17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Management’s Discussion and Analysis of Financial Condition and Results of Operations.</w:t>
              </w:r>
            </w:hyperlink>
          </w:p>
        </w:tc>
        <w:tc>
          <w:tcPr>
            <w:tcW w:w="2800" w:type="dxa"/>
            <w:vAlign w:val="bottom"/>
            <w:gridSpan w:val="5"/>
          </w:tcPr>
          <w:p>
            <w:pPr>
              <w:spacing w:after="0"/>
              <w:rPr>
                <w:sz w:val="15"/>
                <w:szCs w:val="15"/>
                <w:color w:val="auto"/>
              </w:rPr>
            </w:pPr>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Borders>
              <w:bottom w:val="single" w:sz="8" w:color="CCEEFF"/>
            </w:tcBorders>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Item 3.</w:t>
            </w: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476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Quantitative and Qualitative Disclosures about Market Risk.</w:t>
              </w:r>
            </w:hyperlink>
          </w:p>
        </w:tc>
        <w:tc>
          <w:tcPr>
            <w:tcW w:w="5180" w:type="dxa"/>
            <w:vAlign w:val="bottom"/>
            <w:tcBorders>
              <w:bottom w:val="single" w:sz="8" w:color="CCEEFF"/>
            </w:tcBorders>
            <w:gridSpan w:val="7"/>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5"/>
                <w:szCs w:val="15"/>
                <w:color w:val="auto"/>
              </w:rPr>
            </w:pPr>
          </w:p>
        </w:tc>
        <w:tc>
          <w:tcPr>
            <w:tcW w:w="9940" w:type="dxa"/>
            <w:vAlign w:val="bottom"/>
            <w:gridSpan w:val="17"/>
          </w:tcPr>
          <w:p>
            <w:pPr>
              <w:spacing w:after="0" w:line="176" w:lineRule="exact"/>
              <w:rPr>
                <w:rFonts w:ascii="Arial" w:cs="Arial" w:eastAsia="Arial" w:hAnsi="Arial"/>
                <w:sz w:val="18"/>
                <w:szCs w:val="18"/>
                <w:color w:val="0000EE"/>
              </w:rPr>
            </w:pPr>
            <w:hyperlink w:anchor="page50">
              <w:r>
                <w:rPr>
                  <w:rFonts w:ascii="Arial" w:cs="Arial" w:eastAsia="Arial" w:hAnsi="Arial"/>
                  <w:sz w:val="18"/>
                  <w:szCs w:val="18"/>
                  <w:color w:val="0000EE"/>
                </w:rPr>
                <w:t>Controls and Procedures.</w:t>
              </w:r>
            </w:hyperlink>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0000EE"/>
            </w:tcBorders>
            <w:shd w:val="clear" w:color="auto" w:fill="CCEEFF"/>
          </w:tcPr>
          <w:p>
            <w:pPr>
              <w:spacing w:after="0"/>
              <w:rPr>
                <w:sz w:val="10"/>
                <w:szCs w:val="10"/>
                <w:color w:val="auto"/>
              </w:rPr>
            </w:pPr>
          </w:p>
        </w:tc>
        <w:tc>
          <w:tcPr>
            <w:tcW w:w="580" w:type="dxa"/>
            <w:vAlign w:val="bottom"/>
            <w:tcBorders>
              <w:top w:val="single" w:sz="8" w:color="0000EE"/>
            </w:tcBorders>
            <w:shd w:val="clear" w:color="auto" w:fill="CCEEFF"/>
          </w:tcPr>
          <w:p>
            <w:pPr>
              <w:spacing w:after="0"/>
              <w:rPr>
                <w:sz w:val="10"/>
                <w:szCs w:val="10"/>
                <w:color w:val="auto"/>
              </w:rPr>
            </w:pPr>
          </w:p>
        </w:tc>
        <w:tc>
          <w:tcPr>
            <w:tcW w:w="380" w:type="dxa"/>
            <w:vAlign w:val="bottom"/>
            <w:tcBorders>
              <w:top w:val="single" w:sz="8" w:color="0000EE"/>
            </w:tcBorders>
            <w:shd w:val="clear" w:color="auto" w:fill="CCEEFF"/>
          </w:tcPr>
          <w:p>
            <w:pPr>
              <w:spacing w:after="0"/>
              <w:rPr>
                <w:sz w:val="10"/>
                <w:szCs w:val="10"/>
                <w:color w:val="auto"/>
              </w:rPr>
            </w:pPr>
          </w:p>
        </w:tc>
        <w:tc>
          <w:tcPr>
            <w:tcW w:w="48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PART II</w:t>
              </w:r>
            </w:hyperlink>
          </w:p>
        </w:tc>
        <w:tc>
          <w:tcPr>
            <w:tcW w:w="10140" w:type="dxa"/>
            <w:vAlign w:val="bottom"/>
            <w:gridSpan w:val="18"/>
          </w:tcPr>
          <w:p>
            <w:pPr>
              <w:ind w:left="180"/>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OTHER INFORMATION</w:t>
              </w:r>
            </w:hyperlink>
          </w:p>
        </w:tc>
        <w:tc>
          <w:tcPr>
            <w:tcW w:w="400" w:type="dxa"/>
            <w:vAlign w:val="bottom"/>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Item 1.</w:t>
            </w:r>
          </w:p>
        </w:tc>
        <w:tc>
          <w:tcPr>
            <w:tcW w:w="200" w:type="dxa"/>
            <w:vAlign w:val="bottom"/>
            <w:tcBorders>
              <w:right w:val="single" w:sz="8" w:color="CCEEFF"/>
            </w:tcBorders>
            <w:shd w:val="clear" w:color="auto" w:fill="CCEEFF"/>
          </w:tcPr>
          <w:p>
            <w:pPr>
              <w:spacing w:after="0"/>
              <w:rPr>
                <w:sz w:val="15"/>
                <w:szCs w:val="15"/>
                <w:color w:val="auto"/>
              </w:rPr>
            </w:pPr>
          </w:p>
        </w:tc>
        <w:tc>
          <w:tcPr>
            <w:tcW w:w="9940" w:type="dxa"/>
            <w:vAlign w:val="bottom"/>
            <w:gridSpan w:val="17"/>
            <w:shd w:val="clear" w:color="auto" w:fill="CCEEFF"/>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Borders>
              <w:top w:val="single" w:sz="8" w:color="CCEEFF"/>
            </w:tcBorders>
            <w:gridSpan w:val="3"/>
          </w:tcPr>
          <w:p>
            <w:pPr>
              <w:ind w:left="20"/>
              <w:spacing w:after="0" w:line="176" w:lineRule="exact"/>
              <w:rPr>
                <w:sz w:val="20"/>
                <w:szCs w:val="20"/>
                <w:color w:val="auto"/>
              </w:rPr>
            </w:pPr>
            <w:r>
              <w:rPr>
                <w:rFonts w:ascii="Arial" w:cs="Arial" w:eastAsia="Arial" w:hAnsi="Arial"/>
                <w:sz w:val="18"/>
                <w:szCs w:val="18"/>
                <w:color w:val="auto"/>
              </w:rPr>
              <w:t>Item 1A.</w:t>
            </w: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15"/>
                <w:szCs w:val="15"/>
                <w:color w:val="auto"/>
              </w:rPr>
            </w:pPr>
          </w:p>
        </w:tc>
        <w:tc>
          <w:tcPr>
            <w:tcW w:w="8420" w:type="dxa"/>
            <w:vAlign w:val="bottom"/>
            <w:tcBorders>
              <w:top w:val="single" w:sz="8" w:color="CCEEFF"/>
            </w:tcBorders>
            <w:gridSpan w:val="13"/>
          </w:tcPr>
          <w:p>
            <w:pPr>
              <w:spacing w:after="0"/>
              <w:rPr>
                <w:sz w:val="15"/>
                <w:szCs w:val="15"/>
                <w:color w:val="auto"/>
              </w:rPr>
            </w:pPr>
          </w:p>
        </w:tc>
        <w:tc>
          <w:tcPr>
            <w:tcW w:w="4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Item 6.</w:t>
            </w:r>
          </w:p>
        </w:tc>
        <w:tc>
          <w:tcPr>
            <w:tcW w:w="10140" w:type="dxa"/>
            <w:vAlign w:val="bottom"/>
            <w:gridSpan w:val="18"/>
            <w:shd w:val="clear" w:color="auto" w:fill="CCEEFF"/>
          </w:tcPr>
          <w:p>
            <w:pPr>
              <w:ind w:left="18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gridSpan w:val="2"/>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580" w:type="dxa"/>
            <w:vAlign w:val="bottom"/>
            <w:tcBorders>
              <w:top w:val="single" w:sz="8" w:color="0000EE"/>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36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1780" w:type="dxa"/>
            <w:vAlign w:val="bottom"/>
            <w:tcBorders>
              <w:top w:val="single" w:sz="8" w:color="CCEEFF"/>
            </w:tcBorders>
          </w:tcPr>
          <w:p>
            <w:pPr>
              <w:spacing w:after="0"/>
              <w:rPr>
                <w:sz w:val="10"/>
                <w:szCs w:val="10"/>
                <w:color w:val="auto"/>
              </w:rPr>
            </w:pPr>
          </w:p>
        </w:tc>
        <w:tc>
          <w:tcPr>
            <w:tcW w:w="800" w:type="dxa"/>
            <w:vAlign w:val="bottom"/>
            <w:tcBorders>
              <w:top w:val="single" w:sz="8" w:color="CCEEFF"/>
            </w:tcBorders>
          </w:tcPr>
          <w:p>
            <w:pPr>
              <w:spacing w:after="0"/>
              <w:rPr>
                <w:sz w:val="10"/>
                <w:szCs w:val="10"/>
                <w:color w:val="auto"/>
              </w:rPr>
            </w:pPr>
          </w:p>
        </w:tc>
        <w:tc>
          <w:tcPr>
            <w:tcW w:w="136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38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1000" w:type="dxa"/>
            <w:vAlign w:val="bottom"/>
            <w:gridSpan w:val="21"/>
            <w:shd w:val="clear" w:color="auto" w:fill="CFF0FC"/>
          </w:tcPr>
          <w:p>
            <w:pPr>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40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58"/>
        </w:trPr>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gridSpan w:val="2"/>
          </w:tcPr>
          <w:p>
            <w:pPr>
              <w:spacing w:after="0"/>
              <w:rPr>
                <w:sz w:val="24"/>
                <w:szCs w:val="24"/>
                <w:color w:val="auto"/>
              </w:rPr>
            </w:pPr>
          </w:p>
        </w:tc>
        <w:tc>
          <w:tcPr>
            <w:tcW w:w="4680" w:type="dxa"/>
            <w:vAlign w:val="bottom"/>
            <w:tcBorders>
              <w:top w:val="single" w:sz="8" w:color="CFF0FC"/>
            </w:tcBorders>
            <w:gridSpan w:val="9"/>
          </w:tcPr>
          <w:p>
            <w:pPr>
              <w:jc w:val="right"/>
              <w:ind w:right="80"/>
              <w:spacing w:after="0"/>
              <w:rPr>
                <w:sz w:val="20"/>
                <w:szCs w:val="20"/>
                <w:color w:val="auto"/>
              </w:rPr>
            </w:pPr>
            <w:r>
              <w:rPr>
                <w:rFonts w:ascii="Arial" w:cs="Arial" w:eastAsia="Arial" w:hAnsi="Arial"/>
                <w:sz w:val="18"/>
                <w:szCs w:val="18"/>
                <w:color w:val="auto"/>
              </w:rPr>
              <w:t>1</w:t>
            </w:r>
          </w:p>
        </w:tc>
        <w:tc>
          <w:tcPr>
            <w:tcW w:w="600" w:type="dxa"/>
            <w:vAlign w:val="bottom"/>
            <w:tcBorders>
              <w:top w:val="single" w:sz="8" w:color="CFF0FC"/>
            </w:tcBorders>
          </w:tcPr>
          <w:p>
            <w:pPr>
              <w:spacing w:after="0"/>
              <w:rPr>
                <w:sz w:val="24"/>
                <w:szCs w:val="24"/>
                <w:color w:val="auto"/>
              </w:rPr>
            </w:pPr>
          </w:p>
        </w:tc>
        <w:tc>
          <w:tcPr>
            <w:tcW w:w="178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3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06"/>
        </w:trPr>
        <w:tc>
          <w:tcPr>
            <w:tcW w:w="2680" w:type="dxa"/>
            <w:vAlign w:val="bottom"/>
          </w:tcPr>
          <w:p>
            <w:pPr>
              <w:spacing w:after="0"/>
              <w:rPr>
                <w:sz w:val="24"/>
                <w:szCs w:val="24"/>
                <w:color w:val="auto"/>
              </w:rPr>
            </w:pPr>
          </w:p>
        </w:tc>
        <w:tc>
          <w:tcPr>
            <w:tcW w:w="8740" w:type="dxa"/>
            <w:vAlign w:val="bottom"/>
          </w:tcPr>
          <w:p>
            <w:pPr>
              <w:ind w:left="960"/>
              <w:spacing w:after="0"/>
              <w:rPr>
                <w:sz w:val="20"/>
                <w:szCs w:val="20"/>
                <w:color w:val="auto"/>
              </w:rPr>
            </w:pPr>
            <w:r>
              <w:rPr>
                <w:rFonts w:ascii="Arial" w:cs="Arial" w:eastAsia="Arial" w:hAnsi="Arial"/>
                <w:sz w:val="22"/>
                <w:szCs w:val="22"/>
                <w:b w:val="1"/>
                <w:bCs w:val="1"/>
                <w:color w:val="auto"/>
              </w:rPr>
              <w:t>COMMONLY USED OR DEFINED TERMS</w:t>
            </w:r>
          </w:p>
        </w:tc>
      </w:tr>
      <w:tr>
        <w:trPr>
          <w:trHeight w:val="82"/>
        </w:trPr>
        <w:tc>
          <w:tcPr>
            <w:tcW w:w="2680" w:type="dxa"/>
            <w:vAlign w:val="bottom"/>
          </w:tcPr>
          <w:p>
            <w:pPr>
              <w:spacing w:after="0"/>
              <w:rPr>
                <w:sz w:val="7"/>
                <w:szCs w:val="7"/>
                <w:color w:val="auto"/>
              </w:rPr>
            </w:pPr>
          </w:p>
        </w:tc>
        <w:tc>
          <w:tcPr>
            <w:tcW w:w="8740" w:type="dxa"/>
            <w:vAlign w:val="bottom"/>
          </w:tcPr>
          <w:p>
            <w:pPr>
              <w:spacing w:after="0"/>
              <w:rPr>
                <w:sz w:val="7"/>
                <w:szCs w:val="7"/>
                <w:color w:val="auto"/>
              </w:rPr>
            </w:pPr>
          </w:p>
        </w:tc>
      </w:tr>
      <w:tr>
        <w:trPr>
          <w:trHeight w:val="193"/>
        </w:trPr>
        <w:tc>
          <w:tcPr>
            <w:tcW w:w="268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2016 Drop Down</w:t>
            </w:r>
          </w:p>
        </w:tc>
        <w:tc>
          <w:tcPr>
            <w:tcW w:w="8740" w:type="dxa"/>
            <w:vAlign w:val="bottom"/>
            <w:shd w:val="clear" w:color="auto" w:fill="CFF0FC"/>
          </w:tcPr>
          <w:p>
            <w:pPr>
              <w:ind w:left="320"/>
              <w:spacing w:after="0" w:line="194" w:lineRule="exact"/>
              <w:rPr>
                <w:sz w:val="20"/>
                <w:szCs w:val="20"/>
                <w:color w:val="auto"/>
              </w:rPr>
            </w:pPr>
            <w:r>
              <w:rPr>
                <w:rFonts w:ascii="Arial" w:cs="Arial" w:eastAsia="Arial" w:hAnsi="Arial"/>
                <w:sz w:val="18"/>
                <w:szCs w:val="18"/>
                <w:color w:val="auto"/>
              </w:rPr>
              <w:t>the Partnership's March 3, 2016 acquisition from SMP Holdings of substantially all</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of (i) the issued and outstanding membership interests in Summit Utica,</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Meadowlark Midstream and Tioga Midstream and (ii) SMP Holdings’ 40%</w:t>
            </w:r>
          </w:p>
        </w:tc>
      </w:tr>
      <w:tr>
        <w:trPr>
          <w:trHeight w:val="225"/>
        </w:trPr>
        <w:tc>
          <w:tcPr>
            <w:tcW w:w="2680" w:type="dxa"/>
            <w:vAlign w:val="bottom"/>
            <w:shd w:val="clear" w:color="auto" w:fill="CFF0FC"/>
          </w:tcPr>
          <w:p>
            <w:pPr>
              <w:spacing w:after="0"/>
              <w:rPr>
                <w:sz w:val="19"/>
                <w:szCs w:val="19"/>
                <w:color w:val="auto"/>
              </w:rPr>
            </w:pPr>
          </w:p>
        </w:tc>
        <w:tc>
          <w:tcPr>
            <w:tcW w:w="8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ownership interest in Ohio Gathering</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5.5% Senior Notes</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Summit Holdings' and Finance Corp.’s 5.5% senior unsecured notes due August</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2022</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5.75% Senior Notes</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Holdings' and Finance Corp.’s 5.75% senior unsecured notes due April 2025</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associated natural gas</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a form of natural gas which is found with deposits of petroleum, either dissolved</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in the crude oil or as a free gas cap above the crude oil in the reservoir</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ASU</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Bbl</w:t>
            </w:r>
          </w:p>
        </w:tc>
        <w:tc>
          <w:tcPr>
            <w:tcW w:w="8740" w:type="dxa"/>
            <w:vAlign w:val="bottom"/>
          </w:tcPr>
          <w:p>
            <w:pPr>
              <w:ind w:left="320"/>
              <w:spacing w:after="0"/>
              <w:rPr>
                <w:sz w:val="20"/>
                <w:szCs w:val="20"/>
                <w:color w:val="auto"/>
              </w:rPr>
            </w:pPr>
            <w:r>
              <w:rPr>
                <w:rFonts w:ascii="Arial" w:cs="Arial" w:eastAsia="Arial" w:hAnsi="Arial"/>
                <w:sz w:val="18"/>
                <w:szCs w:val="18"/>
                <w:color w:val="auto"/>
              </w:rPr>
              <w:t>one barrel; used for crude oil and produced water and equivalent to 42 U.S. gallons</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Bcf</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one billion cubic feet</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Bison Midstream</w:t>
            </w:r>
          </w:p>
        </w:tc>
        <w:tc>
          <w:tcPr>
            <w:tcW w:w="8740" w:type="dxa"/>
            <w:vAlign w:val="bottom"/>
          </w:tcPr>
          <w:p>
            <w:pPr>
              <w:ind w:left="320"/>
              <w:spacing w:after="0"/>
              <w:rPr>
                <w:sz w:val="20"/>
                <w:szCs w:val="20"/>
                <w:color w:val="auto"/>
              </w:rPr>
            </w:pPr>
            <w:r>
              <w:rPr>
                <w:rFonts w:ascii="Arial" w:cs="Arial" w:eastAsia="Arial" w:hAnsi="Arial"/>
                <w:sz w:val="18"/>
                <w:szCs w:val="18"/>
                <w:color w:val="auto"/>
              </w:rPr>
              <w:t>Bison Midstream,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Board of Directors</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board of directors of our General Partner</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condensate</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pentane and heavier hydrocarbon fractions</w:t>
            </w:r>
          </w:p>
        </w:tc>
      </w:tr>
      <w:tr>
        <w:trPr>
          <w:trHeight w:val="193"/>
        </w:trPr>
        <w:tc>
          <w:tcPr>
            <w:tcW w:w="268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Deferred Purchase Price</w:t>
            </w:r>
          </w:p>
        </w:tc>
        <w:tc>
          <w:tcPr>
            <w:tcW w:w="8740" w:type="dxa"/>
            <w:vAlign w:val="bottom"/>
            <w:shd w:val="clear" w:color="auto" w:fill="CFF0FC"/>
          </w:tcPr>
          <w:p>
            <w:pPr>
              <w:ind w:left="320"/>
              <w:spacing w:after="0" w:line="194" w:lineRule="exact"/>
              <w:rPr>
                <w:sz w:val="20"/>
                <w:szCs w:val="20"/>
                <w:color w:val="auto"/>
              </w:rPr>
            </w:pPr>
            <w:r>
              <w:rPr>
                <w:rFonts w:ascii="Arial" w:cs="Arial" w:eastAsia="Arial" w:hAnsi="Arial"/>
                <w:sz w:val="18"/>
                <w:szCs w:val="18"/>
                <w:color w:val="auto"/>
              </w:rPr>
              <w:t>the deferred payment liability recognized in connection with the 2016 Drop Down;</w:t>
            </w:r>
          </w:p>
        </w:tc>
      </w:tr>
      <w:tr>
        <w:trPr>
          <w:trHeight w:val="225"/>
        </w:trPr>
        <w:tc>
          <w:tcPr>
            <w:tcW w:w="26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Obligation</w:t>
            </w:r>
          </w:p>
        </w:tc>
        <w:tc>
          <w:tcPr>
            <w:tcW w:w="8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also referred to as DPPO</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DFW Midstream</w:t>
            </w:r>
          </w:p>
        </w:tc>
        <w:tc>
          <w:tcPr>
            <w:tcW w:w="8740" w:type="dxa"/>
            <w:vAlign w:val="bottom"/>
          </w:tcPr>
          <w:p>
            <w:pPr>
              <w:ind w:left="320"/>
              <w:spacing w:after="0"/>
              <w:rPr>
                <w:sz w:val="20"/>
                <w:szCs w:val="20"/>
                <w:color w:val="auto"/>
              </w:rPr>
            </w:pPr>
            <w:r>
              <w:rPr>
                <w:rFonts w:ascii="Arial" w:cs="Arial" w:eastAsia="Arial" w:hAnsi="Arial"/>
                <w:sz w:val="18"/>
                <w:szCs w:val="18"/>
                <w:color w:val="auto"/>
              </w:rPr>
              <w:t>DFW Midstream Services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DJ Basin</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Denver-Julesburg Basin</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dry gas</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natural gas primarily composed of methane where heavy hydrocarbons and water</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either do not exist or have been removed through processing or treating</w:t>
            </w:r>
          </w:p>
        </w:tc>
      </w:tr>
      <w:tr>
        <w:trPr>
          <w:trHeight w:val="193"/>
        </w:trPr>
        <w:tc>
          <w:tcPr>
            <w:tcW w:w="268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Energy Capital Partners</w:t>
            </w:r>
          </w:p>
        </w:tc>
        <w:tc>
          <w:tcPr>
            <w:tcW w:w="8740" w:type="dxa"/>
            <w:vAlign w:val="bottom"/>
            <w:shd w:val="clear" w:color="auto" w:fill="CFF0FC"/>
          </w:tcPr>
          <w:p>
            <w:pPr>
              <w:ind w:left="320"/>
              <w:spacing w:after="0" w:line="194" w:lineRule="exact"/>
              <w:rPr>
                <w:sz w:val="20"/>
                <w:szCs w:val="20"/>
                <w:color w:val="auto"/>
              </w:rPr>
            </w:pPr>
            <w:r>
              <w:rPr>
                <w:rFonts w:ascii="Arial" w:cs="Arial" w:eastAsia="Arial" w:hAnsi="Arial"/>
                <w:sz w:val="18"/>
                <w:szCs w:val="18"/>
                <w:color w:val="auto"/>
              </w:rPr>
              <w:t>Energy Capital Partners II, LLC and its parallel and co-investment funds; also known</w:t>
            </w:r>
          </w:p>
        </w:tc>
      </w:tr>
      <w:tr>
        <w:trPr>
          <w:trHeight w:val="225"/>
        </w:trPr>
        <w:tc>
          <w:tcPr>
            <w:tcW w:w="2680" w:type="dxa"/>
            <w:vAlign w:val="bottom"/>
            <w:shd w:val="clear" w:color="auto" w:fill="CFF0FC"/>
          </w:tcPr>
          <w:p>
            <w:pPr>
              <w:spacing w:after="0"/>
              <w:rPr>
                <w:sz w:val="19"/>
                <w:szCs w:val="19"/>
                <w:color w:val="auto"/>
              </w:rPr>
            </w:pPr>
          </w:p>
        </w:tc>
        <w:tc>
          <w:tcPr>
            <w:tcW w:w="87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as the Sponsor</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Epping</w:t>
            </w:r>
          </w:p>
        </w:tc>
        <w:tc>
          <w:tcPr>
            <w:tcW w:w="8740" w:type="dxa"/>
            <w:vAlign w:val="bottom"/>
          </w:tcPr>
          <w:p>
            <w:pPr>
              <w:ind w:left="320"/>
              <w:spacing w:after="0"/>
              <w:rPr>
                <w:sz w:val="20"/>
                <w:szCs w:val="20"/>
                <w:color w:val="auto"/>
              </w:rPr>
            </w:pPr>
            <w:r>
              <w:rPr>
                <w:rFonts w:ascii="Arial" w:cs="Arial" w:eastAsia="Arial" w:hAnsi="Arial"/>
                <w:sz w:val="18"/>
                <w:szCs w:val="18"/>
                <w:color w:val="auto"/>
              </w:rPr>
              <w:t>Epping Transmission Company,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EPU</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earnings or loss per unit</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Equity Restructuring</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A series of transactions consummated on March 22, 2019, pursuant to which the</w:t>
            </w:r>
          </w:p>
        </w:tc>
      </w:tr>
      <w:tr>
        <w:trPr>
          <w:trHeight w:val="203"/>
        </w:trPr>
        <w:tc>
          <w:tcPr>
            <w:tcW w:w="2680" w:type="dxa"/>
            <w:vAlign w:val="bottom"/>
          </w:tcPr>
          <w:p>
            <w:pPr>
              <w:spacing w:after="0"/>
              <w:rPr>
                <w:sz w:val="17"/>
                <w:szCs w:val="17"/>
                <w:color w:val="auto"/>
              </w:rPr>
            </w:pPr>
          </w:p>
        </w:tc>
        <w:tc>
          <w:tcPr>
            <w:tcW w:w="8740" w:type="dxa"/>
            <w:vAlign w:val="bottom"/>
          </w:tcPr>
          <w:p>
            <w:pPr>
              <w:ind w:left="520"/>
              <w:spacing w:after="0" w:line="202" w:lineRule="exact"/>
              <w:rPr>
                <w:sz w:val="20"/>
                <w:szCs w:val="20"/>
                <w:color w:val="auto"/>
              </w:rPr>
            </w:pPr>
            <w:r>
              <w:rPr>
                <w:rFonts w:ascii="Arial" w:cs="Arial" w:eastAsia="Arial" w:hAnsi="Arial"/>
                <w:sz w:val="18"/>
                <w:szCs w:val="18"/>
                <w:color w:val="auto"/>
              </w:rPr>
              <w:t>Partnership cancelled its IDRs and converted its 2% economic GP interest</w:t>
            </w:r>
          </w:p>
        </w:tc>
      </w:tr>
      <w:tr>
        <w:trPr>
          <w:trHeight w:val="203"/>
        </w:trPr>
        <w:tc>
          <w:tcPr>
            <w:tcW w:w="2680" w:type="dxa"/>
            <w:vAlign w:val="bottom"/>
          </w:tcPr>
          <w:p>
            <w:pPr>
              <w:spacing w:after="0"/>
              <w:rPr>
                <w:sz w:val="17"/>
                <w:szCs w:val="17"/>
                <w:color w:val="auto"/>
              </w:rPr>
            </w:pPr>
          </w:p>
        </w:tc>
        <w:tc>
          <w:tcPr>
            <w:tcW w:w="8740" w:type="dxa"/>
            <w:vAlign w:val="bottom"/>
          </w:tcPr>
          <w:p>
            <w:pPr>
              <w:ind w:left="520"/>
              <w:spacing w:after="0" w:line="202" w:lineRule="exact"/>
              <w:rPr>
                <w:sz w:val="20"/>
                <w:szCs w:val="20"/>
                <w:color w:val="auto"/>
              </w:rPr>
            </w:pPr>
            <w:r>
              <w:rPr>
                <w:rFonts w:ascii="Arial" w:cs="Arial" w:eastAsia="Arial" w:hAnsi="Arial"/>
                <w:sz w:val="18"/>
                <w:szCs w:val="18"/>
                <w:color w:val="auto"/>
              </w:rPr>
              <w:t>to a non-economic GP interest in exchange for 8,750,000 SMLP common</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units, which were issued to SMP Holdings</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FASB</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Finance Corp.</w:t>
            </w:r>
          </w:p>
        </w:tc>
        <w:tc>
          <w:tcPr>
            <w:tcW w:w="8740" w:type="dxa"/>
            <w:vAlign w:val="bottom"/>
          </w:tcPr>
          <w:p>
            <w:pPr>
              <w:ind w:left="320"/>
              <w:spacing w:after="0"/>
              <w:rPr>
                <w:sz w:val="20"/>
                <w:szCs w:val="20"/>
                <w:color w:val="auto"/>
              </w:rPr>
            </w:pPr>
            <w:r>
              <w:rPr>
                <w:rFonts w:ascii="Arial" w:cs="Arial" w:eastAsia="Arial" w:hAnsi="Arial"/>
                <w:sz w:val="18"/>
                <w:szCs w:val="18"/>
                <w:color w:val="auto"/>
              </w:rPr>
              <w:t>Summit Midstream Finance Corp.</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GAAP</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GP</w:t>
            </w:r>
          </w:p>
        </w:tc>
        <w:tc>
          <w:tcPr>
            <w:tcW w:w="8740" w:type="dxa"/>
            <w:vAlign w:val="bottom"/>
          </w:tcPr>
          <w:p>
            <w:pPr>
              <w:ind w:left="320"/>
              <w:spacing w:after="0"/>
              <w:rPr>
                <w:sz w:val="20"/>
                <w:szCs w:val="20"/>
                <w:color w:val="auto"/>
              </w:rPr>
            </w:pPr>
            <w:r>
              <w:rPr>
                <w:rFonts w:ascii="Arial" w:cs="Arial" w:eastAsia="Arial" w:hAnsi="Arial"/>
                <w:sz w:val="18"/>
                <w:szCs w:val="18"/>
                <w:color w:val="auto"/>
              </w:rPr>
              <w:t>general partner</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Partner</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GP,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Grand River</w:t>
            </w:r>
          </w:p>
        </w:tc>
        <w:tc>
          <w:tcPr>
            <w:tcW w:w="8740" w:type="dxa"/>
            <w:vAlign w:val="bottom"/>
          </w:tcPr>
          <w:p>
            <w:pPr>
              <w:ind w:left="320"/>
              <w:spacing w:after="0"/>
              <w:rPr>
                <w:sz w:val="20"/>
                <w:szCs w:val="20"/>
                <w:color w:val="auto"/>
              </w:rPr>
            </w:pPr>
            <w:r>
              <w:rPr>
                <w:rFonts w:ascii="Arial" w:cs="Arial" w:eastAsia="Arial" w:hAnsi="Arial"/>
                <w:sz w:val="18"/>
                <w:szCs w:val="18"/>
                <w:color w:val="auto"/>
              </w:rPr>
              <w:t>Grand River Gathering,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IDR</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incentive distribution rights</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LIBOR</w:t>
            </w:r>
          </w:p>
        </w:tc>
        <w:tc>
          <w:tcPr>
            <w:tcW w:w="8740" w:type="dxa"/>
            <w:vAlign w:val="bottom"/>
          </w:tcPr>
          <w:p>
            <w:pPr>
              <w:ind w:left="32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Mbbl</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one thousand barrels</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Mbbl/d</w:t>
            </w:r>
          </w:p>
        </w:tc>
        <w:tc>
          <w:tcPr>
            <w:tcW w:w="8740" w:type="dxa"/>
            <w:vAlign w:val="bottom"/>
          </w:tcPr>
          <w:p>
            <w:pPr>
              <w:ind w:left="320"/>
              <w:spacing w:after="0"/>
              <w:rPr>
                <w:sz w:val="20"/>
                <w:szCs w:val="20"/>
                <w:color w:val="auto"/>
              </w:rPr>
            </w:pPr>
            <w:r>
              <w:rPr>
                <w:rFonts w:ascii="Arial" w:cs="Arial" w:eastAsia="Arial" w:hAnsi="Arial"/>
                <w:sz w:val="18"/>
                <w:szCs w:val="18"/>
                <w:color w:val="auto"/>
              </w:rPr>
              <w:t>one thousand barrels per day</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Mcf</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one thousand cubic feet</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MD&amp;A</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Management's Discussion and Analysis of Financial Condition and Results of</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Operations</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Meadowlark Midstream</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Meadowlark Midstream Company,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MMcf</w:t>
            </w:r>
          </w:p>
        </w:tc>
        <w:tc>
          <w:tcPr>
            <w:tcW w:w="8740" w:type="dxa"/>
            <w:vAlign w:val="bottom"/>
          </w:tcPr>
          <w:p>
            <w:pPr>
              <w:ind w:left="320"/>
              <w:spacing w:after="0"/>
              <w:rPr>
                <w:sz w:val="20"/>
                <w:szCs w:val="20"/>
                <w:color w:val="auto"/>
              </w:rPr>
            </w:pPr>
            <w:r>
              <w:rPr>
                <w:rFonts w:ascii="Arial" w:cs="Arial" w:eastAsia="Arial" w:hAnsi="Arial"/>
                <w:sz w:val="18"/>
                <w:szCs w:val="18"/>
                <w:color w:val="auto"/>
              </w:rPr>
              <w:t>one million cubic feet</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MMcf/d</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one million cubic feet per day</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Mountaineer Midstream</w:t>
            </w:r>
          </w:p>
        </w:tc>
        <w:tc>
          <w:tcPr>
            <w:tcW w:w="8740" w:type="dxa"/>
            <w:vAlign w:val="bottom"/>
          </w:tcPr>
          <w:p>
            <w:pPr>
              <w:ind w:left="320"/>
              <w:spacing w:after="0"/>
              <w:rPr>
                <w:sz w:val="20"/>
                <w:szCs w:val="20"/>
                <w:color w:val="auto"/>
              </w:rPr>
            </w:pPr>
            <w:r>
              <w:rPr>
                <w:rFonts w:ascii="Arial" w:cs="Arial" w:eastAsia="Arial" w:hAnsi="Arial"/>
                <w:sz w:val="18"/>
                <w:szCs w:val="18"/>
                <w:color w:val="auto"/>
              </w:rPr>
              <w:t>Mountaineer Midstream gathering system</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MVC</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minimum volume commitment</w:t>
            </w:r>
          </w:p>
        </w:tc>
      </w:tr>
      <w:tr>
        <w:trPr>
          <w:trHeight w:val="193"/>
        </w:trPr>
        <w:tc>
          <w:tcPr>
            <w:tcW w:w="2680" w:type="dxa"/>
            <w:vAlign w:val="bottom"/>
          </w:tcPr>
          <w:p>
            <w:pPr>
              <w:ind w:left="380"/>
              <w:spacing w:after="0" w:line="194" w:lineRule="exact"/>
              <w:rPr>
                <w:sz w:val="20"/>
                <w:szCs w:val="20"/>
                <w:color w:val="auto"/>
              </w:rPr>
            </w:pPr>
            <w:r>
              <w:rPr>
                <w:rFonts w:ascii="Arial" w:cs="Arial" w:eastAsia="Arial" w:hAnsi="Arial"/>
                <w:sz w:val="18"/>
                <w:szCs w:val="18"/>
                <w:color w:val="auto"/>
              </w:rPr>
              <w:t>NGLs</w:t>
            </w:r>
          </w:p>
        </w:tc>
        <w:tc>
          <w:tcPr>
            <w:tcW w:w="8740" w:type="dxa"/>
            <w:vAlign w:val="bottom"/>
          </w:tcPr>
          <w:p>
            <w:pPr>
              <w:ind w:left="320"/>
              <w:spacing w:after="0" w:line="194" w:lineRule="exact"/>
              <w:rPr>
                <w:sz w:val="20"/>
                <w:szCs w:val="20"/>
                <w:color w:val="auto"/>
              </w:rPr>
            </w:pPr>
            <w:r>
              <w:rPr>
                <w:rFonts w:ascii="Arial" w:cs="Arial" w:eastAsia="Arial" w:hAnsi="Arial"/>
                <w:sz w:val="18"/>
                <w:szCs w:val="18"/>
                <w:color w:val="auto"/>
              </w:rPr>
              <w:t>natural gas liquids; the combination of ethane, propane, normal butane, iso-butane</w:t>
            </w:r>
          </w:p>
        </w:tc>
      </w:tr>
      <w:tr>
        <w:trPr>
          <w:trHeight w:val="203"/>
        </w:trPr>
        <w:tc>
          <w:tcPr>
            <w:tcW w:w="2680" w:type="dxa"/>
            <w:vAlign w:val="bottom"/>
          </w:tcPr>
          <w:p>
            <w:pPr>
              <w:spacing w:after="0"/>
              <w:rPr>
                <w:sz w:val="17"/>
                <w:szCs w:val="17"/>
                <w:color w:val="auto"/>
              </w:rPr>
            </w:pPr>
          </w:p>
        </w:tc>
        <w:tc>
          <w:tcPr>
            <w:tcW w:w="8740" w:type="dxa"/>
            <w:vAlign w:val="bottom"/>
          </w:tcPr>
          <w:p>
            <w:pPr>
              <w:ind w:left="520"/>
              <w:spacing w:after="0" w:line="202" w:lineRule="exact"/>
              <w:rPr>
                <w:sz w:val="20"/>
                <w:szCs w:val="20"/>
                <w:color w:val="auto"/>
              </w:rPr>
            </w:pPr>
            <w:r>
              <w:rPr>
                <w:rFonts w:ascii="Arial" w:cs="Arial" w:eastAsia="Arial" w:hAnsi="Arial"/>
                <w:sz w:val="18"/>
                <w:szCs w:val="18"/>
                <w:color w:val="auto"/>
              </w:rPr>
              <w:t>and natural gasolines that when removed from unprocessed natural gas streams</w:t>
            </w:r>
          </w:p>
        </w:tc>
      </w:tr>
      <w:tr>
        <w:trPr>
          <w:trHeight w:val="225"/>
        </w:trPr>
        <w:tc>
          <w:tcPr>
            <w:tcW w:w="2680" w:type="dxa"/>
            <w:vAlign w:val="bottom"/>
          </w:tcPr>
          <w:p>
            <w:pPr>
              <w:spacing w:after="0"/>
              <w:rPr>
                <w:sz w:val="19"/>
                <w:szCs w:val="19"/>
                <w:color w:val="auto"/>
              </w:rPr>
            </w:pPr>
          </w:p>
        </w:tc>
        <w:tc>
          <w:tcPr>
            <w:tcW w:w="8740" w:type="dxa"/>
            <w:vAlign w:val="bottom"/>
          </w:tcPr>
          <w:p>
            <w:pPr>
              <w:ind w:left="520"/>
              <w:spacing w:after="0"/>
              <w:rPr>
                <w:sz w:val="20"/>
                <w:szCs w:val="20"/>
                <w:color w:val="auto"/>
              </w:rPr>
            </w:pPr>
            <w:r>
              <w:rPr>
                <w:rFonts w:ascii="Arial" w:cs="Arial" w:eastAsia="Arial" w:hAnsi="Arial"/>
                <w:sz w:val="18"/>
                <w:szCs w:val="18"/>
                <w:color w:val="auto"/>
              </w:rPr>
              <w:t>become liquid under various levels of higher pressure and lower temperature</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Niobrara G&amp;P</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Niobrara Gathering and Processing system</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OCC</w:t>
            </w:r>
          </w:p>
        </w:tc>
        <w:tc>
          <w:tcPr>
            <w:tcW w:w="8740" w:type="dxa"/>
            <w:vAlign w:val="bottom"/>
          </w:tcPr>
          <w:p>
            <w:pPr>
              <w:ind w:left="320"/>
              <w:spacing w:after="0"/>
              <w:rPr>
                <w:sz w:val="20"/>
                <w:szCs w:val="20"/>
                <w:color w:val="auto"/>
              </w:rPr>
            </w:pPr>
            <w:r>
              <w:rPr>
                <w:rFonts w:ascii="Arial" w:cs="Arial" w:eastAsia="Arial" w:hAnsi="Arial"/>
                <w:sz w:val="18"/>
                <w:szCs w:val="18"/>
                <w:color w:val="auto"/>
              </w:rPr>
              <w:t>Ohio Condensate Company,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OGC</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Ohio Gathering Company,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Ohio Gathering</w:t>
            </w:r>
          </w:p>
        </w:tc>
        <w:tc>
          <w:tcPr>
            <w:tcW w:w="8740" w:type="dxa"/>
            <w:vAlign w:val="bottom"/>
          </w:tcPr>
          <w:p>
            <w:pPr>
              <w:ind w:left="32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OpCo</w:t>
            </w:r>
          </w:p>
        </w:tc>
        <w:tc>
          <w:tcPr>
            <w:tcW w:w="87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OpCo, LP</w:t>
            </w:r>
          </w:p>
        </w:tc>
      </w:tr>
      <w:tr>
        <w:trPr>
          <w:trHeight w:val="436"/>
        </w:trPr>
        <w:tc>
          <w:tcPr>
            <w:tcW w:w="2680" w:type="dxa"/>
            <w:vAlign w:val="bottom"/>
          </w:tcPr>
          <w:p>
            <w:pPr>
              <w:spacing w:after="0"/>
              <w:rPr>
                <w:sz w:val="24"/>
                <w:szCs w:val="24"/>
                <w:color w:val="auto"/>
              </w:rPr>
            </w:pPr>
          </w:p>
        </w:tc>
        <w:tc>
          <w:tcPr>
            <w:tcW w:w="8740" w:type="dxa"/>
            <w:vAlign w:val="bottom"/>
          </w:tcPr>
          <w:p>
            <w:pPr>
              <w:ind w:left="2980"/>
              <w:spacing w:after="0"/>
              <w:rPr>
                <w:sz w:val="20"/>
                <w:szCs w:val="20"/>
                <w:color w:val="auto"/>
              </w:rPr>
            </w:pPr>
            <w:r>
              <w:rPr>
                <w:rFonts w:ascii="Arial" w:cs="Arial" w:eastAsia="Arial" w:hAnsi="Arial"/>
                <w:sz w:val="18"/>
                <w:szCs w:val="18"/>
                <w:color w:val="auto"/>
              </w:rPr>
              <w:t>2</w:t>
            </w:r>
          </w:p>
        </w:tc>
      </w:tr>
      <w:tr>
        <w:trPr>
          <w:trHeight w:val="98"/>
        </w:trPr>
        <w:tc>
          <w:tcPr>
            <w:tcW w:w="2680" w:type="dxa"/>
            <w:vAlign w:val="bottom"/>
            <w:tcBorders>
              <w:bottom w:val="single" w:sz="8" w:color="9A9A9A"/>
            </w:tcBorders>
          </w:tcPr>
          <w:p>
            <w:pPr>
              <w:spacing w:after="0"/>
              <w:rPr>
                <w:sz w:val="8"/>
                <w:szCs w:val="8"/>
                <w:color w:val="auto"/>
              </w:rPr>
            </w:pPr>
          </w:p>
        </w:tc>
        <w:tc>
          <w:tcPr>
            <w:tcW w:w="8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5"/>
        </w:trPr>
        <w:tc>
          <w:tcPr>
            <w:tcW w:w="2700" w:type="dxa"/>
            <w:vAlign w:val="bottom"/>
          </w:tcPr>
          <w:p>
            <w:pPr>
              <w:ind w:left="380"/>
              <w:spacing w:after="0"/>
              <w:rPr>
                <w:sz w:val="20"/>
                <w:szCs w:val="20"/>
                <w:color w:val="auto"/>
              </w:rPr>
            </w:pPr>
            <w:r>
              <w:rPr>
                <w:rFonts w:ascii="Arial" w:cs="Arial" w:eastAsia="Arial" w:hAnsi="Arial"/>
                <w:sz w:val="18"/>
                <w:szCs w:val="18"/>
                <w:color w:val="auto"/>
              </w:rPr>
              <w:t>play</w:t>
            </w:r>
          </w:p>
        </w:tc>
        <w:tc>
          <w:tcPr>
            <w:tcW w:w="8720" w:type="dxa"/>
            <w:vAlign w:val="bottom"/>
          </w:tcPr>
          <w:p>
            <w:pPr>
              <w:ind w:left="30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Permian Finance</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Permian Finance,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Polar and Divide</w:t>
            </w:r>
          </w:p>
        </w:tc>
        <w:tc>
          <w:tcPr>
            <w:tcW w:w="8720" w:type="dxa"/>
            <w:vAlign w:val="bottom"/>
          </w:tcPr>
          <w:p>
            <w:pPr>
              <w:ind w:left="300"/>
              <w:spacing w:after="0"/>
              <w:rPr>
                <w:sz w:val="20"/>
                <w:szCs w:val="20"/>
                <w:color w:val="auto"/>
              </w:rPr>
            </w:pPr>
            <w:r>
              <w:rPr>
                <w:rFonts w:ascii="Arial" w:cs="Arial" w:eastAsia="Arial" w:hAnsi="Arial"/>
                <w:sz w:val="18"/>
                <w:szCs w:val="18"/>
                <w:color w:val="auto"/>
              </w:rPr>
              <w:t>the Polar and Divide system; collectively Polar Midstream and Epping</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Polar Midstream</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Polar Midstream, LLC</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produced water</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water from underground geologic formations that is a by-product of natural gas and</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crude oil production</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Red Rock Gathering</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Red Rock Gathering Company, LLC</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Remaining Consideration</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the consideration to be paid to SMP Holdings in 2020 in connection with the 2016</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Drop Down, the present value of which is reflected on our balance sheets as the</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Deferred Purchase Price Obligation</w:t>
            </w:r>
          </w:p>
        </w:tc>
      </w:tr>
      <w:tr>
        <w:trPr>
          <w:trHeight w:val="193"/>
        </w:trPr>
        <w:tc>
          <w:tcPr>
            <w:tcW w:w="270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Revolving Credit Facility</w:t>
            </w:r>
          </w:p>
        </w:tc>
        <w:tc>
          <w:tcPr>
            <w:tcW w:w="8720" w:type="dxa"/>
            <w:vAlign w:val="bottom"/>
            <w:shd w:val="clear" w:color="auto" w:fill="CFF0FC"/>
          </w:tcPr>
          <w:p>
            <w:pPr>
              <w:ind w:left="300"/>
              <w:spacing w:after="0" w:line="194" w:lineRule="exact"/>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amended by the First Amendment to Third Amended and Restated Credit</w:t>
            </w:r>
          </w:p>
        </w:tc>
      </w:tr>
      <w:tr>
        <w:trPr>
          <w:trHeight w:val="225"/>
        </w:trPr>
        <w:tc>
          <w:tcPr>
            <w:tcW w:w="2700" w:type="dxa"/>
            <w:vAlign w:val="bottom"/>
            <w:shd w:val="clear" w:color="auto" w:fill="CFF0FC"/>
          </w:tcPr>
          <w:p>
            <w:pPr>
              <w:spacing w:after="0"/>
              <w:rPr>
                <w:sz w:val="19"/>
                <w:szCs w:val="19"/>
                <w:color w:val="auto"/>
              </w:rPr>
            </w:pPr>
          </w:p>
        </w:tc>
        <w:tc>
          <w:tcPr>
            <w:tcW w:w="8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Agreement dated as of September 22, 2017</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SEC</w:t>
            </w:r>
          </w:p>
        </w:tc>
        <w:tc>
          <w:tcPr>
            <w:tcW w:w="8720" w:type="dxa"/>
            <w:vAlign w:val="bottom"/>
          </w:tcPr>
          <w:p>
            <w:pPr>
              <w:ind w:left="300"/>
              <w:spacing w:after="0"/>
              <w:rPr>
                <w:sz w:val="20"/>
                <w:szCs w:val="20"/>
                <w:color w:val="auto"/>
              </w:rPr>
            </w:pPr>
            <w:r>
              <w:rPr>
                <w:rFonts w:ascii="Arial" w:cs="Arial" w:eastAsia="Arial" w:hAnsi="Arial"/>
                <w:sz w:val="18"/>
                <w:szCs w:val="18"/>
                <w:color w:val="auto"/>
              </w:rPr>
              <w:t>Securities and Exchange Commission</w:t>
            </w:r>
          </w:p>
        </w:tc>
      </w:tr>
      <w:tr>
        <w:trPr>
          <w:trHeight w:val="193"/>
        </w:trPr>
        <w:tc>
          <w:tcPr>
            <w:tcW w:w="270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segment adjusted</w:t>
            </w:r>
          </w:p>
        </w:tc>
        <w:tc>
          <w:tcPr>
            <w:tcW w:w="8720" w:type="dxa"/>
            <w:vAlign w:val="bottom"/>
            <w:shd w:val="clear" w:color="auto" w:fill="CFF0FC"/>
          </w:tcPr>
          <w:p>
            <w:pPr>
              <w:ind w:left="300"/>
              <w:spacing w:after="0" w:line="194" w:lineRule="exact"/>
              <w:rPr>
                <w:sz w:val="20"/>
                <w:szCs w:val="20"/>
                <w:color w:val="auto"/>
              </w:rPr>
            </w:pPr>
            <w:r>
              <w:rPr>
                <w:rFonts w:ascii="Arial" w:cs="Arial" w:eastAsia="Arial" w:hAnsi="Arial"/>
                <w:sz w:val="18"/>
                <w:szCs w:val="18"/>
                <w:color w:val="auto"/>
              </w:rPr>
              <w:t>total revenues less total costs and expenses; plus (i) other income excluding interest</w:t>
            </w:r>
          </w:p>
        </w:tc>
      </w:tr>
      <w:tr>
        <w:trPr>
          <w:trHeight w:val="203"/>
        </w:trPr>
        <w:tc>
          <w:tcPr>
            <w:tcW w:w="270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EBITDA</w:t>
            </w:r>
          </w:p>
        </w:tc>
        <w:tc>
          <w:tcPr>
            <w:tcW w:w="872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income, (ii) our proportional adjusted EBITDA for equity method investees, (iii)</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depreciation and amortization, (iv) adjustments related to MVC shortfall</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based and noncash compensation, (vii) the change in the Deferred Purchase</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00"/>
              <w:spacing w:after="0" w:line="202" w:lineRule="exact"/>
              <w:rPr>
                <w:sz w:val="20"/>
                <w:szCs w:val="20"/>
                <w:color w:val="auto"/>
              </w:rPr>
            </w:pPr>
            <w:r>
              <w:rPr>
                <w:rFonts w:ascii="Arial" w:cs="Arial" w:eastAsia="Arial" w:hAnsi="Arial"/>
                <w:sz w:val="18"/>
                <w:szCs w:val="18"/>
                <w:color w:val="auto"/>
              </w:rPr>
              <w:t>Price Obligation fair value, (viii) impairments and (ix) other noncash expenses</w:t>
            </w:r>
          </w:p>
        </w:tc>
      </w:tr>
      <w:tr>
        <w:trPr>
          <w:trHeight w:val="225"/>
        </w:trPr>
        <w:tc>
          <w:tcPr>
            <w:tcW w:w="2700" w:type="dxa"/>
            <w:vAlign w:val="bottom"/>
            <w:shd w:val="clear" w:color="auto" w:fill="CFF0FC"/>
          </w:tcPr>
          <w:p>
            <w:pPr>
              <w:spacing w:after="0"/>
              <w:rPr>
                <w:sz w:val="19"/>
                <w:szCs w:val="19"/>
                <w:color w:val="auto"/>
              </w:rPr>
            </w:pPr>
          </w:p>
        </w:tc>
        <w:tc>
          <w:tcPr>
            <w:tcW w:w="8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or losses, less other noncash income or gains</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shortfall payment</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the payment received from a counterparty when its volume throughput does not</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meet its MVC for the applicable period</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SMLP</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Partners, LP</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SMLP LTIP</w:t>
            </w:r>
          </w:p>
        </w:tc>
        <w:tc>
          <w:tcPr>
            <w:tcW w:w="8720" w:type="dxa"/>
            <w:vAlign w:val="bottom"/>
          </w:tcPr>
          <w:p>
            <w:pPr>
              <w:ind w:left="300"/>
              <w:spacing w:after="0"/>
              <w:rPr>
                <w:sz w:val="20"/>
                <w:szCs w:val="20"/>
                <w:color w:val="auto"/>
              </w:rPr>
            </w:pPr>
            <w:r>
              <w:rPr>
                <w:rFonts w:ascii="Arial" w:cs="Arial" w:eastAsia="Arial" w:hAnsi="Arial"/>
                <w:sz w:val="18"/>
                <w:szCs w:val="18"/>
                <w:color w:val="auto"/>
              </w:rPr>
              <w:t>SMLP Long-Term Incentive Plan</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SMP Holdings</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Partners Holdings, LLC</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Sponsor</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Energy Capital Partners II, LLC and its parallel and co-investment funds; also known</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as Energy Capital Partners</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Holdings</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Holdings,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Summit Investments</w:t>
            </w:r>
          </w:p>
        </w:tc>
        <w:tc>
          <w:tcPr>
            <w:tcW w:w="8720" w:type="dxa"/>
            <w:vAlign w:val="bottom"/>
          </w:tcPr>
          <w:p>
            <w:pPr>
              <w:ind w:left="300"/>
              <w:spacing w:after="0"/>
              <w:rPr>
                <w:sz w:val="20"/>
                <w:szCs w:val="20"/>
                <w:color w:val="auto"/>
              </w:rPr>
            </w:pPr>
            <w:r>
              <w:rPr>
                <w:rFonts w:ascii="Arial" w:cs="Arial" w:eastAsia="Arial" w:hAnsi="Arial"/>
                <w:sz w:val="18"/>
                <w:szCs w:val="18"/>
                <w:color w:val="auto"/>
              </w:rPr>
              <w:t>Summit Midstream Partners,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Niobrara</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Niobrara,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Summit Permian</w:t>
            </w:r>
          </w:p>
        </w:tc>
        <w:tc>
          <w:tcPr>
            <w:tcW w:w="8720" w:type="dxa"/>
            <w:vAlign w:val="bottom"/>
          </w:tcPr>
          <w:p>
            <w:pPr>
              <w:ind w:left="300"/>
              <w:spacing w:after="0"/>
              <w:rPr>
                <w:sz w:val="20"/>
                <w:szCs w:val="20"/>
                <w:color w:val="auto"/>
              </w:rPr>
            </w:pPr>
            <w:r>
              <w:rPr>
                <w:rFonts w:ascii="Arial" w:cs="Arial" w:eastAsia="Arial" w:hAnsi="Arial"/>
                <w:sz w:val="18"/>
                <w:szCs w:val="18"/>
                <w:color w:val="auto"/>
              </w:rPr>
              <w:t>Summit Midstream Permian,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 II</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Permian II, LLC</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Summit Permian</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Summit Permian Transmission, LLC</w:t>
            </w:r>
          </w:p>
        </w:tc>
      </w:tr>
      <w:tr>
        <w:trPr>
          <w:trHeight w:val="225"/>
        </w:trPr>
        <w:tc>
          <w:tcPr>
            <w:tcW w:w="2700" w:type="dxa"/>
            <w:vAlign w:val="bottom"/>
          </w:tcPr>
          <w:p>
            <w:pPr>
              <w:ind w:left="580"/>
              <w:spacing w:after="0"/>
              <w:rPr>
                <w:sz w:val="20"/>
                <w:szCs w:val="20"/>
                <w:color w:val="auto"/>
              </w:rPr>
            </w:pPr>
            <w:r>
              <w:rPr>
                <w:rFonts w:ascii="Arial" w:cs="Arial" w:eastAsia="Arial" w:hAnsi="Arial"/>
                <w:sz w:val="18"/>
                <w:szCs w:val="18"/>
                <w:color w:val="auto"/>
              </w:rPr>
              <w:t>Transmission</w:t>
            </w:r>
          </w:p>
        </w:tc>
        <w:tc>
          <w:tcPr>
            <w:tcW w:w="8720" w:type="dxa"/>
            <w:vAlign w:val="bottom"/>
          </w:tcPr>
          <w:p>
            <w:pPr>
              <w:spacing w:after="0"/>
              <w:rPr>
                <w:sz w:val="19"/>
                <w:szCs w:val="19"/>
                <w:color w:val="auto"/>
              </w:rPr>
            </w:pP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Utica</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Utica,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the Company</w:t>
            </w:r>
          </w:p>
        </w:tc>
        <w:tc>
          <w:tcPr>
            <w:tcW w:w="8720" w:type="dxa"/>
            <w:vAlign w:val="bottom"/>
          </w:tcPr>
          <w:p>
            <w:pPr>
              <w:ind w:left="300"/>
              <w:spacing w:after="0"/>
              <w:rPr>
                <w:sz w:val="20"/>
                <w:szCs w:val="20"/>
                <w:color w:val="auto"/>
              </w:rPr>
            </w:pPr>
            <w:r>
              <w:rPr>
                <w:rFonts w:ascii="Arial" w:cs="Arial" w:eastAsia="Arial" w:hAnsi="Arial"/>
                <w:sz w:val="18"/>
                <w:szCs w:val="18"/>
                <w:color w:val="auto"/>
              </w:rPr>
              <w:t>Summit Midstream Partners, LLC and its subsidiaries</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the Partnership</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Summit Midstream Partners, LP and its subsidiaries</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throughput volume</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the volume of natural gas, crude oil or produced water gathered, transported or</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passing through a pipeline, plant or other facility during a particular period;</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also referred to as volume throughput</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Tioga Midstream</w:t>
            </w:r>
          </w:p>
        </w:tc>
        <w:tc>
          <w:tcPr>
            <w:tcW w:w="8720" w:type="dxa"/>
            <w:vAlign w:val="bottom"/>
            <w:shd w:val="clear" w:color="auto" w:fill="CFF0FC"/>
          </w:tcPr>
          <w:p>
            <w:pPr>
              <w:ind w:left="300"/>
              <w:spacing w:after="0"/>
              <w:rPr>
                <w:sz w:val="20"/>
                <w:szCs w:val="20"/>
                <w:color w:val="auto"/>
              </w:rPr>
            </w:pPr>
            <w:r>
              <w:rPr>
                <w:rFonts w:ascii="Arial" w:cs="Arial" w:eastAsia="Arial" w:hAnsi="Arial"/>
                <w:sz w:val="18"/>
                <w:szCs w:val="18"/>
                <w:color w:val="auto"/>
              </w:rPr>
              <w:t>Tioga Midstream, LLC</w:t>
            </w:r>
          </w:p>
        </w:tc>
      </w:tr>
      <w:tr>
        <w:trPr>
          <w:trHeight w:val="193"/>
        </w:trPr>
        <w:tc>
          <w:tcPr>
            <w:tcW w:w="2700" w:type="dxa"/>
            <w:vAlign w:val="bottom"/>
          </w:tcPr>
          <w:p>
            <w:pPr>
              <w:ind w:left="380"/>
              <w:spacing w:after="0" w:line="194" w:lineRule="exact"/>
              <w:rPr>
                <w:sz w:val="20"/>
                <w:szCs w:val="20"/>
                <w:color w:val="auto"/>
              </w:rPr>
            </w:pPr>
            <w:r>
              <w:rPr>
                <w:rFonts w:ascii="Arial" w:cs="Arial" w:eastAsia="Arial" w:hAnsi="Arial"/>
                <w:sz w:val="18"/>
                <w:szCs w:val="18"/>
                <w:color w:val="auto"/>
              </w:rPr>
              <w:t>unconventional resource</w:t>
            </w:r>
          </w:p>
        </w:tc>
        <w:tc>
          <w:tcPr>
            <w:tcW w:w="8720" w:type="dxa"/>
            <w:vAlign w:val="bottom"/>
          </w:tcPr>
          <w:p>
            <w:pPr>
              <w:ind w:left="300"/>
              <w:spacing w:after="0" w:line="194" w:lineRule="exact"/>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03"/>
        </w:trPr>
        <w:tc>
          <w:tcPr>
            <w:tcW w:w="2700" w:type="dxa"/>
            <w:vAlign w:val="bottom"/>
          </w:tcPr>
          <w:p>
            <w:pPr>
              <w:ind w:left="580"/>
              <w:spacing w:after="0" w:line="202" w:lineRule="exact"/>
              <w:rPr>
                <w:sz w:val="20"/>
                <w:szCs w:val="20"/>
                <w:color w:val="auto"/>
              </w:rPr>
            </w:pPr>
            <w:r>
              <w:rPr>
                <w:rFonts w:ascii="Arial" w:cs="Arial" w:eastAsia="Arial" w:hAnsi="Arial"/>
                <w:sz w:val="18"/>
                <w:szCs w:val="18"/>
                <w:color w:val="auto"/>
              </w:rPr>
              <w:t>basin</w:t>
            </w: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sources that require hydraulic fracturing as part of the completion process, for</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instance, natural gas produced from shale formations and coalbeds; also</w:t>
            </w:r>
          </w:p>
        </w:tc>
      </w:tr>
      <w:tr>
        <w:trPr>
          <w:trHeight w:val="225"/>
        </w:trPr>
        <w:tc>
          <w:tcPr>
            <w:tcW w:w="2700" w:type="dxa"/>
            <w:vAlign w:val="bottom"/>
          </w:tcPr>
          <w:p>
            <w:pPr>
              <w:spacing w:after="0"/>
              <w:rPr>
                <w:sz w:val="19"/>
                <w:szCs w:val="19"/>
                <w:color w:val="auto"/>
              </w:rPr>
            </w:pPr>
          </w:p>
        </w:tc>
        <w:tc>
          <w:tcPr>
            <w:tcW w:w="8720" w:type="dxa"/>
            <w:vAlign w:val="bottom"/>
          </w:tcPr>
          <w:p>
            <w:pPr>
              <w:ind w:left="500"/>
              <w:spacing w:after="0"/>
              <w:rPr>
                <w:sz w:val="20"/>
                <w:szCs w:val="20"/>
                <w:color w:val="auto"/>
              </w:rPr>
            </w:pPr>
            <w:r>
              <w:rPr>
                <w:rFonts w:ascii="Arial" w:cs="Arial" w:eastAsia="Arial" w:hAnsi="Arial"/>
                <w:sz w:val="18"/>
                <w:szCs w:val="18"/>
                <w:color w:val="auto"/>
              </w:rPr>
              <w:t>referred to as an unconventional resource play</w:t>
            </w:r>
          </w:p>
        </w:tc>
      </w:tr>
      <w:tr>
        <w:trPr>
          <w:trHeight w:val="193"/>
        </w:trPr>
        <w:tc>
          <w:tcPr>
            <w:tcW w:w="2700" w:type="dxa"/>
            <w:vAlign w:val="bottom"/>
            <w:shd w:val="clear" w:color="auto" w:fill="CFF0FC"/>
          </w:tcPr>
          <w:p>
            <w:pPr>
              <w:ind w:left="380"/>
              <w:spacing w:after="0" w:line="194" w:lineRule="exact"/>
              <w:rPr>
                <w:sz w:val="20"/>
                <w:szCs w:val="20"/>
                <w:color w:val="auto"/>
              </w:rPr>
            </w:pPr>
            <w:r>
              <w:rPr>
                <w:rFonts w:ascii="Arial" w:cs="Arial" w:eastAsia="Arial" w:hAnsi="Arial"/>
                <w:sz w:val="18"/>
                <w:szCs w:val="18"/>
                <w:color w:val="auto"/>
              </w:rPr>
              <w:t>wellhead</w:t>
            </w:r>
          </w:p>
        </w:tc>
        <w:tc>
          <w:tcPr>
            <w:tcW w:w="8720" w:type="dxa"/>
            <w:vAlign w:val="bottom"/>
            <w:shd w:val="clear" w:color="auto" w:fill="CFF0FC"/>
          </w:tcPr>
          <w:p>
            <w:pPr>
              <w:ind w:left="300"/>
              <w:spacing w:after="0" w:line="194" w:lineRule="exact"/>
              <w:rPr>
                <w:sz w:val="20"/>
                <w:szCs w:val="20"/>
                <w:color w:val="auto"/>
              </w:rPr>
            </w:pPr>
            <w:r>
              <w:rPr>
                <w:rFonts w:ascii="Arial" w:cs="Arial" w:eastAsia="Arial" w:hAnsi="Arial"/>
                <w:sz w:val="18"/>
                <w:szCs w:val="18"/>
                <w:color w:val="auto"/>
              </w:rPr>
              <w:t>the equipment at the surface of a well, used to control the well's pressure; also, the</w:t>
            </w:r>
          </w:p>
        </w:tc>
      </w:tr>
      <w:tr>
        <w:trPr>
          <w:trHeight w:val="225"/>
        </w:trPr>
        <w:tc>
          <w:tcPr>
            <w:tcW w:w="2700" w:type="dxa"/>
            <w:vAlign w:val="bottom"/>
            <w:shd w:val="clear" w:color="auto" w:fill="CFF0FC"/>
          </w:tcPr>
          <w:p>
            <w:pPr>
              <w:spacing w:after="0"/>
              <w:rPr>
                <w:sz w:val="19"/>
                <w:szCs w:val="19"/>
                <w:color w:val="auto"/>
              </w:rPr>
            </w:pPr>
          </w:p>
        </w:tc>
        <w:tc>
          <w:tcPr>
            <w:tcW w:w="8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point at which the hydrocarbons and water exit the ground</w:t>
            </w:r>
          </w:p>
        </w:tc>
      </w:tr>
      <w:tr>
        <w:trPr>
          <w:trHeight w:val="679"/>
        </w:trPr>
        <w:tc>
          <w:tcPr>
            <w:tcW w:w="2700" w:type="dxa"/>
            <w:vAlign w:val="bottom"/>
          </w:tcPr>
          <w:p>
            <w:pPr>
              <w:spacing w:after="0"/>
              <w:rPr>
                <w:sz w:val="24"/>
                <w:szCs w:val="24"/>
                <w:color w:val="auto"/>
              </w:rPr>
            </w:pPr>
          </w:p>
        </w:tc>
        <w:tc>
          <w:tcPr>
            <w:tcW w:w="8720" w:type="dxa"/>
            <w:vAlign w:val="bottom"/>
          </w:tcPr>
          <w:p>
            <w:pPr>
              <w:ind w:left="2960"/>
              <w:spacing w:after="0"/>
              <w:rPr>
                <w:sz w:val="20"/>
                <w:szCs w:val="20"/>
                <w:color w:val="auto"/>
              </w:rPr>
            </w:pPr>
            <w:r>
              <w:rPr>
                <w:rFonts w:ascii="Arial" w:cs="Arial" w:eastAsia="Arial" w:hAnsi="Arial"/>
                <w:sz w:val="18"/>
                <w:szCs w:val="18"/>
                <w:color w:val="auto"/>
              </w:rPr>
              <w:t>3</w:t>
            </w:r>
          </w:p>
        </w:tc>
      </w:tr>
      <w:tr>
        <w:trPr>
          <w:trHeight w:val="98"/>
        </w:trPr>
        <w:tc>
          <w:tcPr>
            <w:tcW w:w="2700" w:type="dxa"/>
            <w:vAlign w:val="bottom"/>
            <w:tcBorders>
              <w:bottom w:val="single" w:sz="8" w:color="9A9A9A"/>
            </w:tcBorders>
          </w:tcPr>
          <w:p>
            <w:pPr>
              <w:spacing w:after="0"/>
              <w:rPr>
                <w:sz w:val="8"/>
                <w:szCs w:val="8"/>
                <w:color w:val="auto"/>
              </w:rPr>
            </w:pPr>
          </w:p>
        </w:tc>
        <w:tc>
          <w:tcPr>
            <w:tcW w:w="8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5"/>
                <w:szCs w:val="15"/>
                <w:color w:val="auto"/>
              </w:rPr>
            </w:pPr>
          </w:p>
        </w:tc>
        <w:tc>
          <w:tcPr>
            <w:tcW w:w="1580" w:type="dxa"/>
            <w:vAlign w:val="bottom"/>
          </w:tcPr>
          <w:p>
            <w:pPr>
              <w:jc w:val="right"/>
              <w:ind w:right="4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0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(In thousands, except unit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5,300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91,978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97,936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2,812</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100,090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1,873,929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1,963,713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258,711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273,416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16,211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Investment in equity method investees</w:t>
            </w:r>
          </w:p>
        </w:tc>
        <w:tc>
          <w:tcPr>
            <w:tcW w:w="30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640,226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649,250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11,423</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2,900,590</w:t>
            </w:r>
          </w:p>
        </w:tc>
        <w:tc>
          <w:tcPr>
            <w:tcW w:w="1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3,020,562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28,324</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38,414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expenses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20,610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Due to affiliate</w:t>
            </w:r>
          </w:p>
        </w:tc>
        <w:tc>
          <w:tcPr>
            <w:tcW w:w="30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11,639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Ad valorem taxes payable</w:t>
            </w:r>
          </w:p>
        </w:tc>
        <w:tc>
          <w:tcPr>
            <w:tcW w:w="30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3,818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interest</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15,397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Accrued environmental remediation</w:t>
            </w:r>
          </w:p>
        </w:tc>
        <w:tc>
          <w:tcPr>
            <w:tcW w:w="30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2,129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12,858</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Deferred Purchase Price Obligation</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100,000</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195,095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110,052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1,226,146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1,257,731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Purchase Price Obligation</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288,361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383,934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Noncurrent deferred revenue</w:t>
            </w:r>
          </w:p>
        </w:tc>
        <w:tc>
          <w:tcPr>
            <w:tcW w:w="300" w:type="dxa"/>
            <w:vAlign w:val="bottom"/>
          </w:tcPr>
          <w:p>
            <w:pPr>
              <w:spacing w:after="0"/>
              <w:rPr>
                <w:sz w:val="18"/>
                <w:szCs w:val="18"/>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41,203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39,504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environmental remediation</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3,126</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7,626</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1,761,557</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1,799,338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Commitments and contingencies (Note 16)</w:t>
            </w: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7600" w:type="dxa"/>
            <w:vAlign w:val="bottom"/>
          </w:tcPr>
          <w:p>
            <w:pPr>
              <w:spacing w:after="0" w:line="194" w:lineRule="exact"/>
              <w:rPr>
                <w:sz w:val="20"/>
                <w:szCs w:val="20"/>
                <w:color w:val="auto"/>
              </w:rPr>
            </w:pPr>
            <w:r>
              <w:rPr>
                <w:rFonts w:ascii="Arial" w:cs="Arial" w:eastAsia="Arial" w:hAnsi="Arial"/>
                <w:sz w:val="18"/>
                <w:szCs w:val="18"/>
                <w:color w:val="auto"/>
              </w:rPr>
              <w:t>Series A Preferred Units (300,000 units issued and outstanding at</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March 31, 2019 and December 31, 2018)</w:t>
            </w:r>
          </w:p>
        </w:tc>
        <w:tc>
          <w:tcPr>
            <w:tcW w:w="30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300,741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293,616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Common limited partner capital (82,695,311 units issued and outstanding</w:t>
            </w:r>
          </w:p>
        </w:tc>
        <w:tc>
          <w:tcPr>
            <w:tcW w:w="30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at March 31, 2019 and 73,390,853 units issued and outstanding</w:t>
            </w:r>
          </w:p>
        </w:tc>
        <w:tc>
          <w:tcPr>
            <w:tcW w:w="3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at December 31, 2018)</w:t>
            </w:r>
          </w:p>
        </w:tc>
        <w:tc>
          <w:tcPr>
            <w:tcW w:w="3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838,292</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902,358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600" w:type="dxa"/>
            <w:vAlign w:val="bottom"/>
          </w:tcPr>
          <w:p>
            <w:pPr>
              <w:spacing w:after="0" w:line="194" w:lineRule="exact"/>
              <w:rPr>
                <w:sz w:val="20"/>
                <w:szCs w:val="20"/>
                <w:color w:val="auto"/>
              </w:rPr>
            </w:pPr>
            <w:r>
              <w:rPr>
                <w:rFonts w:ascii="Arial" w:cs="Arial" w:eastAsia="Arial" w:hAnsi="Arial"/>
                <w:sz w:val="18"/>
                <w:szCs w:val="18"/>
                <w:color w:val="auto"/>
              </w:rPr>
              <w:t>General Partner interests (zero units issued and outstanding at</w:t>
            </w:r>
          </w:p>
        </w:tc>
        <w:tc>
          <w:tcPr>
            <w:tcW w:w="3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March 31, 2019 and 1,490,999 units issued and outstanding</w:t>
            </w: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at December 31, 2018)</w:t>
            </w:r>
          </w:p>
        </w:tc>
        <w:tc>
          <w:tcPr>
            <w:tcW w:w="30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partners' capital</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5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1,139,033</w:t>
            </w: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1,221,224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2,900,590</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3,020,562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6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(In thousands, except per-unit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86,964</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84,361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37,928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6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6,516</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6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131,408</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117,320</w:t>
            </w:r>
          </w:p>
        </w:tc>
        <w:tc>
          <w:tcPr>
            <w:tcW w:w="0" w:type="dxa"/>
            <w:vAlign w:val="bottom"/>
          </w:tcPr>
          <w:p>
            <w:pPr>
              <w:spacing w:after="0"/>
              <w:rPr>
                <w:sz w:val="1"/>
                <w:szCs w:val="1"/>
                <w:color w:val="auto"/>
              </w:rPr>
            </w:pPr>
          </w:p>
        </w:tc>
      </w:tr>
      <w:tr>
        <w:trPr>
          <w:trHeight w:val="210"/>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31,759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24,222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17,281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27,727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26,677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16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44,951</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costs and expenses</w:t>
            </w:r>
          </w:p>
        </w:tc>
        <w:tc>
          <w:tcPr>
            <w:tcW w:w="16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145,929</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85,935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Interest expense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(17,527)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Deferred Purchase Price Obligation</w:t>
            </w:r>
          </w:p>
        </w:tc>
        <w:tc>
          <w:tcPr>
            <w:tcW w:w="16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(4,427)</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140" w:type="dxa"/>
            <w:vAlign w:val="bottom"/>
          </w:tcPr>
          <w:p>
            <w:pPr>
              <w:ind w:left="240"/>
              <w:spacing w:after="0" w:line="187" w:lineRule="exact"/>
              <w:rPr>
                <w:sz w:val="20"/>
                <w:szCs w:val="20"/>
                <w:color w:val="auto"/>
              </w:rPr>
            </w:pPr>
            <w:r>
              <w:rPr>
                <w:rFonts w:ascii="Arial" w:cs="Arial" w:eastAsia="Arial" w:hAnsi="Arial"/>
                <w:sz w:val="18"/>
                <w:szCs w:val="18"/>
                <w:color w:val="auto"/>
              </w:rPr>
              <w:t>Loss before income taxes and (loss) income</w:t>
            </w: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40" w:type="dxa"/>
            <w:vAlign w:val="bottom"/>
          </w:tcPr>
          <w:p>
            <w:pPr>
              <w:ind w:left="380"/>
              <w:spacing w:after="0"/>
              <w:rPr>
                <w:sz w:val="20"/>
                <w:szCs w:val="20"/>
                <w:color w:val="auto"/>
              </w:rPr>
            </w:pPr>
            <w:r>
              <w:rPr>
                <w:rFonts w:ascii="Arial" w:cs="Arial" w:eastAsia="Arial" w:hAnsi="Arial"/>
                <w:sz w:val="18"/>
                <w:szCs w:val="18"/>
                <w:color w:val="auto"/>
              </w:rPr>
              <w:t>from equity method investees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(36,266)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income from equity method investees</w:t>
            </w:r>
          </w:p>
        </w:tc>
        <w:tc>
          <w:tcPr>
            <w:tcW w:w="16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loss</w:t>
            </w:r>
          </w:p>
        </w:tc>
        <w:tc>
          <w:tcPr>
            <w:tcW w:w="16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(36,914)</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Less:</w:t>
            </w:r>
          </w:p>
        </w:tc>
        <w:tc>
          <w:tcPr>
            <w:tcW w:w="1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6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attributable to noncontrolling interest</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Net loss attributable to SMLP</w:t>
            </w:r>
          </w:p>
        </w:tc>
        <w:tc>
          <w:tcPr>
            <w:tcW w:w="1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(36,914)</w:t>
            </w: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40" w:type="dxa"/>
            <w:vAlign w:val="bottom"/>
            <w:shd w:val="clear" w:color="auto" w:fill="CFF0FC"/>
          </w:tcPr>
          <w:p>
            <w:pPr>
              <w:ind w:left="120"/>
              <w:spacing w:after="0" w:line="194" w:lineRule="exact"/>
              <w:rPr>
                <w:sz w:val="20"/>
                <w:szCs w:val="20"/>
                <w:color w:val="auto"/>
              </w:rPr>
            </w:pPr>
            <w:r>
              <w:rPr>
                <w:rFonts w:ascii="Arial" w:cs="Arial" w:eastAsia="Arial" w:hAnsi="Arial"/>
                <w:sz w:val="18"/>
                <w:szCs w:val="18"/>
                <w:color w:val="auto"/>
              </w:rPr>
              <w:t>Net income attributable to General Partner,</w:t>
            </w:r>
          </w:p>
        </w:tc>
        <w:tc>
          <w:tcPr>
            <w:tcW w:w="1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140" w:type="dxa"/>
            <w:vAlign w:val="bottom"/>
            <w:shd w:val="clear" w:color="auto" w:fill="CFF0FC"/>
          </w:tcPr>
          <w:p>
            <w:pPr>
              <w:ind w:left="320"/>
              <w:spacing w:after="0"/>
              <w:rPr>
                <w:sz w:val="20"/>
                <w:szCs w:val="20"/>
                <w:color w:val="auto"/>
              </w:rPr>
            </w:pPr>
            <w:r>
              <w:rPr>
                <w:rFonts w:ascii="Arial" w:cs="Arial" w:eastAsia="Arial" w:hAnsi="Arial"/>
                <w:sz w:val="18"/>
                <w:szCs w:val="18"/>
                <w:color w:val="auto"/>
              </w:rPr>
              <w:t>including IDRs</w:t>
            </w:r>
          </w:p>
        </w:tc>
        <w:tc>
          <w:tcPr>
            <w:tcW w:w="16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ind w:left="240"/>
              <w:spacing w:after="0"/>
              <w:rPr>
                <w:sz w:val="20"/>
                <w:szCs w:val="20"/>
                <w:color w:val="auto"/>
              </w:rPr>
            </w:pPr>
            <w:r>
              <w:rPr>
                <w:rFonts w:ascii="Arial" w:cs="Arial" w:eastAsia="Arial" w:hAnsi="Arial"/>
                <w:sz w:val="18"/>
                <w:szCs w:val="18"/>
                <w:color w:val="auto"/>
              </w:rPr>
              <w:t>Net loss attributable to limited partners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(36,926)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attributable to Series A Preferred Units</w:t>
            </w:r>
          </w:p>
        </w:tc>
        <w:tc>
          <w:tcPr>
            <w:tcW w:w="16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7,125</w:t>
            </w:r>
          </w:p>
        </w:tc>
        <w:tc>
          <w:tcPr>
            <w:tcW w:w="1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loss attributable to common limited partners</w:t>
            </w:r>
          </w:p>
        </w:tc>
        <w:tc>
          <w:tcPr>
            <w:tcW w:w="16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(44,051)</w:t>
            </w:r>
          </w:p>
        </w:tc>
        <w:tc>
          <w:tcPr>
            <w:tcW w:w="1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(13,113)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Loss per limited partner unit:</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unit – basic</w:t>
            </w:r>
          </w:p>
        </w:tc>
        <w:tc>
          <w:tcPr>
            <w:tcW w:w="19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Common unit – diluted</w:t>
            </w:r>
          </w:p>
        </w:tc>
        <w:tc>
          <w:tcPr>
            <w:tcW w:w="19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units – basic</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75,793</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73,134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40" w:type="dxa"/>
            <w:vAlign w:val="bottom"/>
          </w:tcPr>
          <w:p>
            <w:pPr>
              <w:ind w:left="120"/>
              <w:spacing w:after="0"/>
              <w:rPr>
                <w:sz w:val="20"/>
                <w:szCs w:val="20"/>
                <w:color w:val="auto"/>
              </w:rPr>
            </w:pPr>
            <w:r>
              <w:rPr>
                <w:rFonts w:ascii="Arial" w:cs="Arial" w:eastAsia="Arial" w:hAnsi="Arial"/>
                <w:sz w:val="18"/>
                <w:szCs w:val="18"/>
                <w:color w:val="auto"/>
              </w:rPr>
              <w:t>Common units – diluted</w:t>
            </w: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75,793</w:t>
            </w: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ind w:right="51"/>
              <w:spacing w:after="0"/>
              <w:rPr>
                <w:sz w:val="20"/>
                <w:szCs w:val="20"/>
                <w:color w:val="auto"/>
              </w:rPr>
            </w:pPr>
            <w:r>
              <w:rPr>
                <w:rFonts w:ascii="Arial" w:cs="Arial" w:eastAsia="Arial" w:hAnsi="Arial"/>
                <w:sz w:val="18"/>
                <w:szCs w:val="18"/>
                <w:color w:val="auto"/>
              </w:rPr>
              <w:t>73,134</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PARTNERS' CAPITAL</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jc w:val="right"/>
              <w:ind w:right="82"/>
              <w:spacing w:after="0"/>
              <w:rPr>
                <w:sz w:val="20"/>
                <w:szCs w:val="20"/>
                <w:color w:val="auto"/>
              </w:rPr>
            </w:pPr>
            <w:r>
              <w:rPr>
                <w:rFonts w:ascii="Arial" w:cs="Arial" w:eastAsia="Arial" w:hAnsi="Arial"/>
                <w:sz w:val="14"/>
                <w:szCs w:val="14"/>
                <w:b w:val="1"/>
                <w:bCs w:val="1"/>
                <w:color w:val="auto"/>
              </w:rPr>
              <w:t>Partners' capital</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Limited partners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357"/>
              <w:spacing w:after="0" w:line="154" w:lineRule="exact"/>
              <w:rPr>
                <w:sz w:val="20"/>
                <w:szCs w:val="20"/>
                <w:color w:val="auto"/>
              </w:rPr>
            </w:pPr>
            <w:r>
              <w:rPr>
                <w:rFonts w:ascii="Arial" w:cs="Arial" w:eastAsia="Arial" w:hAnsi="Arial"/>
                <w:sz w:val="14"/>
                <w:szCs w:val="14"/>
                <w:b w:val="1"/>
                <w:bCs w:val="1"/>
                <w:color w:val="auto"/>
              </w:rPr>
              <w:t>Series 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137"/>
              <w:spacing w:after="0"/>
              <w:rPr>
                <w:sz w:val="20"/>
                <w:szCs w:val="20"/>
                <w:color w:val="auto"/>
              </w:rPr>
            </w:pPr>
            <w:r>
              <w:rPr>
                <w:rFonts w:ascii="Arial" w:cs="Arial" w:eastAsia="Arial" w:hAnsi="Arial"/>
                <w:sz w:val="14"/>
                <w:szCs w:val="14"/>
                <w:b w:val="1"/>
                <w:bCs w:val="1"/>
                <w:color w:val="auto"/>
              </w:rPr>
              <w:t>Preferred Units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342"/>
              <w:spacing w:after="0"/>
              <w:rPr>
                <w:sz w:val="20"/>
                <w:szCs w:val="20"/>
                <w:color w:val="auto"/>
              </w:rPr>
            </w:pPr>
            <w:r>
              <w:rPr>
                <w:rFonts w:ascii="Arial" w:cs="Arial" w:eastAsia="Arial" w:hAnsi="Arial"/>
                <w:sz w:val="14"/>
                <w:szCs w:val="14"/>
                <w:b w:val="1"/>
                <w:bCs w:val="1"/>
                <w:color w:val="auto"/>
              </w:rPr>
              <w:t>Common</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General Partner</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20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Partners' capital, December 31, 2017,</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as reported</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294,426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FF0FC"/>
          </w:tcPr>
          <w:p>
            <w:pPr>
              <w:jc w:val="right"/>
              <w:ind w:right="62"/>
              <w:spacing w:after="0"/>
              <w:rPr>
                <w:sz w:val="20"/>
                <w:szCs w:val="20"/>
                <w:color w:val="auto"/>
              </w:rPr>
            </w:pPr>
            <w:r>
              <w:rPr>
                <w:rFonts w:ascii="Arial" w:cs="Arial" w:eastAsia="Arial" w:hAnsi="Arial"/>
                <w:sz w:val="18"/>
                <w:szCs w:val="18"/>
                <w:color w:val="auto"/>
              </w:rPr>
              <w:t>1,056,510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39"/>
              <w:spacing w:after="0"/>
              <w:rPr>
                <w:sz w:val="20"/>
                <w:szCs w:val="20"/>
                <w:color w:val="auto"/>
              </w:rPr>
            </w:pPr>
            <w:r>
              <w:rPr>
                <w:rFonts w:ascii="Arial" w:cs="Arial" w:eastAsia="Arial" w:hAnsi="Arial"/>
                <w:sz w:val="18"/>
                <w:szCs w:val="18"/>
                <w:color w:val="auto"/>
              </w:rPr>
              <w:t>27,920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10,813</w:t>
            </w:r>
          </w:p>
        </w:tc>
        <w:tc>
          <w:tcPr>
            <w:tcW w:w="440" w:type="dxa"/>
            <w:vAlign w:val="bottom"/>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1,389,669</w:t>
            </w:r>
          </w:p>
        </w:tc>
        <w:tc>
          <w:tcPr>
            <w:tcW w:w="0" w:type="dxa"/>
            <w:vAlign w:val="bottom"/>
          </w:tcPr>
          <w:p>
            <w:pPr>
              <w:spacing w:after="0"/>
              <w:rPr>
                <w:sz w:val="1"/>
                <w:szCs w:val="1"/>
                <w:color w:val="auto"/>
              </w:rPr>
            </w:pPr>
          </w:p>
        </w:tc>
      </w:tr>
      <w:tr>
        <w:trPr>
          <w:trHeight w:val="193"/>
        </w:trPr>
        <w:tc>
          <w:tcPr>
            <w:tcW w:w="4200" w:type="dxa"/>
            <w:vAlign w:val="bottom"/>
          </w:tcPr>
          <w:p>
            <w:pPr>
              <w:spacing w:after="0" w:line="194" w:lineRule="exact"/>
              <w:rPr>
                <w:sz w:val="20"/>
                <w:szCs w:val="20"/>
                <w:color w:val="auto"/>
              </w:rPr>
            </w:pPr>
            <w:r>
              <w:rPr>
                <w:rFonts w:ascii="Arial" w:cs="Arial" w:eastAsia="Arial" w:hAnsi="Arial"/>
                <w:sz w:val="18"/>
                <w:szCs w:val="18"/>
                <w:color w:val="auto"/>
              </w:rPr>
              <w:t>January 1, 2018 impact of Topic 606</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00" w:type="dxa"/>
            <w:vAlign w:val="bottom"/>
            <w:tcBorders>
              <w:bottom w:val="single" w:sz="8" w:color="CFF0FC"/>
            </w:tcBorders>
          </w:tcPr>
          <w:p>
            <w:pPr>
              <w:ind w:left="200"/>
              <w:spacing w:after="0"/>
              <w:rPr>
                <w:sz w:val="20"/>
                <w:szCs w:val="20"/>
                <w:color w:val="auto"/>
              </w:rPr>
            </w:pPr>
            <w:r>
              <w:rPr>
                <w:rFonts w:ascii="Arial" w:cs="Arial" w:eastAsia="Arial" w:hAnsi="Arial"/>
                <w:sz w:val="18"/>
                <w:szCs w:val="18"/>
                <w:color w:val="auto"/>
              </w:rPr>
              <w:t>day 1 adoption</w:t>
            </w: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62"/>
              <w:spacing w:after="0"/>
              <w:rPr>
                <w:sz w:val="20"/>
                <w:szCs w:val="20"/>
                <w:color w:val="auto"/>
              </w:rPr>
            </w:pPr>
            <w:r>
              <w:rPr>
                <w:rFonts w:ascii="Arial" w:cs="Arial" w:eastAsia="Arial" w:hAnsi="Arial"/>
                <w:sz w:val="18"/>
                <w:szCs w:val="18"/>
                <w:color w:val="auto"/>
              </w:rPr>
              <w:t>4,130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2018</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294,426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ind w:right="62"/>
              <w:spacing w:after="0"/>
              <w:rPr>
                <w:sz w:val="20"/>
                <w:szCs w:val="20"/>
                <w:color w:val="auto"/>
              </w:rPr>
            </w:pPr>
            <w:r>
              <w:rPr>
                <w:rFonts w:ascii="Arial" w:cs="Arial" w:eastAsia="Arial" w:hAnsi="Arial"/>
                <w:sz w:val="18"/>
                <w:szCs w:val="18"/>
                <w:color w:val="auto"/>
              </w:rPr>
              <w:t>1,060,640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39"/>
              <w:spacing w:after="0"/>
              <w:rPr>
                <w:sz w:val="20"/>
                <w:szCs w:val="20"/>
                <w:color w:val="auto"/>
              </w:rPr>
            </w:pPr>
            <w:r>
              <w:rPr>
                <w:rFonts w:ascii="Arial" w:cs="Arial" w:eastAsia="Arial" w:hAnsi="Arial"/>
                <w:sz w:val="18"/>
                <w:szCs w:val="18"/>
                <w:color w:val="auto"/>
              </w:rPr>
              <w:t>28,004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10,813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1,393,883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39"/>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(42,024)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2"/>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193"/>
        </w:trPr>
        <w:tc>
          <w:tcPr>
            <w:tcW w:w="42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Tax withholdings on vested SMLP LTIP</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awards</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March 31, 2018</w:t>
            </w: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300,741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4"/>
            <w:shd w:val="clear" w:color="auto" w:fill="CFF0FC"/>
          </w:tcPr>
          <w:p>
            <w:pPr>
              <w:jc w:val="right"/>
              <w:ind w:right="62"/>
              <w:spacing w:after="0"/>
              <w:rPr>
                <w:sz w:val="20"/>
                <w:szCs w:val="20"/>
                <w:color w:val="auto"/>
              </w:rPr>
            </w:pPr>
            <w:r>
              <w:rPr>
                <w:rFonts w:ascii="Arial" w:cs="Arial" w:eastAsia="Arial" w:hAnsi="Arial"/>
                <w:sz w:val="18"/>
                <w:szCs w:val="18"/>
                <w:color w:val="auto"/>
              </w:rPr>
              <w:t>1,005,409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3"/>
            <w:shd w:val="clear" w:color="auto" w:fill="CFF0FC"/>
          </w:tcPr>
          <w:p>
            <w:pPr>
              <w:jc w:val="right"/>
              <w:ind w:right="39"/>
              <w:spacing w:after="0"/>
              <w:rPr>
                <w:sz w:val="20"/>
                <w:szCs w:val="20"/>
                <w:color w:val="auto"/>
              </w:rPr>
            </w:pPr>
            <w:r>
              <w:rPr>
                <w:rFonts w:ascii="Arial" w:cs="Arial" w:eastAsia="Arial" w:hAnsi="Arial"/>
                <w:sz w:val="18"/>
                <w:szCs w:val="18"/>
                <w:color w:val="auto"/>
              </w:rPr>
              <w:t>27,033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10,898</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1,344,081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Partners' capital</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Limited partners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4"/>
          </w:tcPr>
          <w:p>
            <w:pPr>
              <w:jc w:val="center"/>
              <w:spacing w:after="0" w:line="154" w:lineRule="exact"/>
              <w:rPr>
                <w:sz w:val="20"/>
                <w:szCs w:val="20"/>
                <w:color w:val="auto"/>
              </w:rPr>
            </w:pPr>
            <w:r>
              <w:rPr>
                <w:rFonts w:ascii="Arial" w:cs="Arial" w:eastAsia="Arial" w:hAnsi="Arial"/>
                <w:sz w:val="14"/>
                <w:szCs w:val="14"/>
                <w:b w:val="1"/>
                <w:bCs w:val="1"/>
                <w:color w:val="auto"/>
              </w:rPr>
              <w:t>Series A Preferred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rPr>
              <w:t>Units</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Common</w:t>
            </w: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General Partner</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3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2019</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37"/>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293,616</w:t>
            </w:r>
          </w:p>
        </w:tc>
        <w:tc>
          <w:tcPr>
            <w:tcW w:w="760" w:type="dxa"/>
            <w:vAlign w:val="bottom"/>
            <w:gridSpan w:val="3"/>
            <w:shd w:val="clear" w:color="auto" w:fill="CFF0FC"/>
          </w:tcPr>
          <w:p>
            <w:pPr>
              <w:jc w:val="right"/>
              <w:ind w:right="32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98"/>
              </w:rPr>
              <w:t>902,358</w:t>
            </w:r>
          </w:p>
        </w:tc>
        <w:tc>
          <w:tcPr>
            <w:tcW w:w="42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25,250</w:t>
            </w:r>
          </w:p>
        </w:tc>
        <w:tc>
          <w:tcPr>
            <w:tcW w:w="12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1,221,224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(44,051)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(36,914)</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Conversion of General Partner economic interests</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22,222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(22,222)</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(42,241)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(45,281)</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Unit-based compensation</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2,526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193"/>
        </w:trPr>
        <w:tc>
          <w:tcPr>
            <w:tcW w:w="4200" w:type="dxa"/>
            <w:vAlign w:val="bottom"/>
          </w:tcPr>
          <w:p>
            <w:pPr>
              <w:spacing w:after="0" w:line="194" w:lineRule="exact"/>
              <w:rPr>
                <w:sz w:val="20"/>
                <w:szCs w:val="20"/>
                <w:color w:val="auto"/>
              </w:rPr>
            </w:pPr>
            <w:r>
              <w:rPr>
                <w:rFonts w:ascii="Arial" w:cs="Arial" w:eastAsia="Arial" w:hAnsi="Arial"/>
                <w:sz w:val="18"/>
                <w:szCs w:val="18"/>
                <w:color w:val="auto"/>
              </w:rPr>
              <w:t>Tax withholdings on vested SMLP LTIP</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00" w:type="dxa"/>
            <w:vAlign w:val="bottom"/>
          </w:tcPr>
          <w:p>
            <w:pPr>
              <w:ind w:left="200"/>
              <w:spacing w:after="0"/>
              <w:rPr>
                <w:sz w:val="20"/>
                <w:szCs w:val="20"/>
                <w:color w:val="auto"/>
              </w:rPr>
            </w:pPr>
            <w:r>
              <w:rPr>
                <w:rFonts w:ascii="Arial" w:cs="Arial" w:eastAsia="Arial" w:hAnsi="Arial"/>
                <w:sz w:val="18"/>
                <w:szCs w:val="18"/>
                <w:color w:val="auto"/>
              </w:rPr>
              <w:t>awards</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(2,522)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March 31, 2019</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CFF0FC"/>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ind w:right="537"/>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300,741</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22"/>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w w:val="98"/>
              </w:rPr>
              <w:t>838,292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1,139,033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00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51"/>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5"/>
                <w:szCs w:val="15"/>
                <w:color w:val="auto"/>
              </w:rPr>
            </w:pPr>
          </w:p>
        </w:tc>
      </w:tr>
      <w:tr>
        <w:trPr>
          <w:trHeight w:val="169"/>
        </w:trPr>
        <w:tc>
          <w:tcPr>
            <w:tcW w:w="5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169"/>
        </w:trPr>
        <w:tc>
          <w:tcPr>
            <w:tcW w:w="50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0" w:type="dxa"/>
            <w:vAlign w:val="bottom"/>
            <w:gridSpan w:val="3"/>
          </w:tcPr>
          <w:p>
            <w:pPr>
              <w:jc w:val="center"/>
              <w:ind w:left="31"/>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loss</w:t>
            </w:r>
          </w:p>
        </w:tc>
        <w:tc>
          <w:tcPr>
            <w:tcW w:w="380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(36,914)</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(3,845)</w:t>
            </w:r>
          </w:p>
        </w:tc>
      </w:tr>
      <w:tr>
        <w:trPr>
          <w:trHeight w:val="191"/>
        </w:trPr>
        <w:tc>
          <w:tcPr>
            <w:tcW w:w="500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Adjustments to reconcile net loss to net</w:t>
            </w:r>
          </w:p>
        </w:tc>
        <w:tc>
          <w:tcPr>
            <w:tcW w:w="28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27"/>
        </w:trPr>
        <w:tc>
          <w:tcPr>
            <w:tcW w:w="50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cash provided by operating activities:</w:t>
            </w:r>
          </w:p>
        </w:tc>
        <w:tc>
          <w:tcPr>
            <w:tcW w:w="28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16"/>
        </w:trPr>
        <w:tc>
          <w:tcPr>
            <w:tcW w:w="50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28,116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26,526</w:t>
            </w:r>
          </w:p>
        </w:tc>
      </w:tr>
      <w:tr>
        <w:trPr>
          <w:trHeight w:val="216"/>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Noncash lease expense</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765</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1,040</w:t>
            </w:r>
          </w:p>
        </w:tc>
      </w:tr>
      <w:tr>
        <w:trPr>
          <w:trHeight w:val="216"/>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Purchase Price Obligation</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4,427</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21,658</w:t>
            </w:r>
          </w:p>
        </w:tc>
      </w:tr>
      <w:tr>
        <w:trPr>
          <w:trHeight w:val="216"/>
        </w:trPr>
        <w:tc>
          <w:tcPr>
            <w:tcW w:w="500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2,526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1,962</w:t>
            </w:r>
          </w:p>
        </w:tc>
      </w:tr>
      <w:tr>
        <w:trPr>
          <w:trHeight w:val="216"/>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income from equity method investees</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441</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w:t>
            </w:r>
          </w:p>
        </w:tc>
      </w:tr>
      <w:tr>
        <w:trPr>
          <w:trHeight w:val="216"/>
        </w:trPr>
        <w:tc>
          <w:tcPr>
            <w:tcW w:w="5000" w:type="dxa"/>
            <w:vAlign w:val="bottom"/>
          </w:tcPr>
          <w:p>
            <w:pPr>
              <w:ind w:left="140"/>
              <w:spacing w:after="0"/>
              <w:rPr>
                <w:sz w:val="20"/>
                <w:szCs w:val="20"/>
                <w:color w:val="auto"/>
              </w:rPr>
            </w:pPr>
            <w:r>
              <w:rPr>
                <w:rFonts w:ascii="Arial" w:cs="Arial" w:eastAsia="Arial" w:hAnsi="Arial"/>
                <w:sz w:val="18"/>
                <w:szCs w:val="18"/>
                <w:color w:val="auto"/>
              </w:rPr>
              <w:t>Distributions from equity method investees</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8,583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9,644</w:t>
            </w:r>
          </w:p>
        </w:tc>
      </w:tr>
      <w:tr>
        <w:trPr>
          <w:trHeight w:val="216"/>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(961)</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00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44,951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Changes in operating assets and liabilities:</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4,675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3,490</w:t>
            </w:r>
          </w:p>
        </w:tc>
      </w:tr>
      <w:tr>
        <w:trPr>
          <w:trHeight w:val="216"/>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payable</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(3,294)</w:t>
            </w: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1,472</w:t>
            </w:r>
          </w:p>
        </w:tc>
      </w:tr>
      <w:tr>
        <w:trPr>
          <w:trHeight w:val="216"/>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(to) affiliate</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w:t>
            </w: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Deferred revenue, net</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2,323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1,130</w:t>
            </w:r>
          </w:p>
        </w:tc>
      </w:tr>
      <w:tr>
        <w:trPr>
          <w:trHeight w:val="216"/>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 valorem taxes payable</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(6,184)</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(4,495)</w:t>
            </w:r>
          </w:p>
        </w:tc>
      </w:tr>
      <w:tr>
        <w:trPr>
          <w:trHeight w:val="216"/>
        </w:trPr>
        <w:tc>
          <w:tcPr>
            <w:tcW w:w="5000" w:type="dxa"/>
            <w:vAlign w:val="bottom"/>
          </w:tcPr>
          <w:p>
            <w:pPr>
              <w:ind w:left="260"/>
              <w:spacing w:after="0"/>
              <w:rPr>
                <w:sz w:val="20"/>
                <w:szCs w:val="20"/>
                <w:color w:val="auto"/>
              </w:rPr>
            </w:pPr>
            <w:r>
              <w:rPr>
                <w:rFonts w:ascii="Arial" w:cs="Arial" w:eastAsia="Arial" w:hAnsi="Arial"/>
                <w:sz w:val="18"/>
                <w:szCs w:val="18"/>
                <w:color w:val="auto"/>
              </w:rPr>
              <w:t>Accrued interest</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3,111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3,073</w:t>
            </w:r>
          </w:p>
        </w:tc>
      </w:tr>
      <w:tr>
        <w:trPr>
          <w:trHeight w:val="216"/>
        </w:trPr>
        <w:tc>
          <w:tcPr>
            <w:tcW w:w="5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environmental remediation, net</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r>
      <w:tr>
        <w:trPr>
          <w:trHeight w:val="216"/>
        </w:trPr>
        <w:tc>
          <w:tcPr>
            <w:tcW w:w="50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net</w:t>
            </w:r>
          </w:p>
        </w:tc>
        <w:tc>
          <w:tcPr>
            <w:tcW w:w="28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(2,832)</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(4,686)</w:t>
            </w:r>
          </w:p>
        </w:tc>
      </w:tr>
      <w:tr>
        <w:trPr>
          <w:trHeight w:val="210"/>
        </w:trPr>
        <w:tc>
          <w:tcPr>
            <w:tcW w:w="50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4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52,711</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51,210</w:t>
            </w:r>
          </w:p>
        </w:tc>
      </w:tr>
      <w:tr>
        <w:trPr>
          <w:trHeight w:val="210"/>
        </w:trPr>
        <w:tc>
          <w:tcPr>
            <w:tcW w:w="5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8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(60,848)</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(40,778)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Proceeds from asset sale (net of cash of $1,475)</w:t>
            </w:r>
          </w:p>
        </w:tc>
        <w:tc>
          <w:tcPr>
            <w:tcW w:w="2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89,461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84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r>
      <w:tr>
        <w:trPr>
          <w:trHeight w:val="210"/>
        </w:trPr>
        <w:tc>
          <w:tcPr>
            <w:tcW w:w="5000" w:type="dxa"/>
            <w:vAlign w:val="bottom"/>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8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28,493</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(40,999)</w:t>
            </w:r>
          </w:p>
        </w:tc>
      </w:tr>
      <w:tr>
        <w:trPr>
          <w:trHeight w:val="430"/>
        </w:trPr>
        <w:tc>
          <w:tcPr>
            <w:tcW w:w="5000" w:type="dxa"/>
            <w:vAlign w:val="bottom"/>
          </w:tcPr>
          <w:p>
            <w:pPr>
              <w:spacing w:after="0"/>
              <w:rPr>
                <w:sz w:val="24"/>
                <w:szCs w:val="24"/>
                <w:color w:val="auto"/>
              </w:rPr>
            </w:pPr>
          </w:p>
        </w:tc>
        <w:tc>
          <w:tcPr>
            <w:tcW w:w="2840" w:type="dxa"/>
            <w:vAlign w:val="bottom"/>
          </w:tcPr>
          <w:p>
            <w:pPr>
              <w:jc w:val="right"/>
              <w:ind w:right="1990"/>
              <w:spacing w:after="0"/>
              <w:rPr>
                <w:sz w:val="20"/>
                <w:szCs w:val="20"/>
                <w:color w:val="auto"/>
              </w:rPr>
            </w:pPr>
            <w:r>
              <w:rPr>
                <w:rFonts w:ascii="Arial" w:cs="Arial" w:eastAsia="Arial" w:hAnsi="Arial"/>
                <w:sz w:val="18"/>
                <w:szCs w:val="18"/>
                <w:color w:val="auto"/>
              </w:rPr>
              <w:t>7</w:t>
            </w: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98"/>
        </w:trPr>
        <w:tc>
          <w:tcPr>
            <w:tcW w:w="5000" w:type="dxa"/>
            <w:vAlign w:val="bottom"/>
            <w:tcBorders>
              <w:bottom w:val="single" w:sz="8" w:color="9A9A9A"/>
            </w:tcBorders>
          </w:tcPr>
          <w:p>
            <w:pPr>
              <w:spacing w:after="0"/>
              <w:rPr>
                <w:sz w:val="8"/>
                <w:szCs w:val="8"/>
                <w:color w:val="auto"/>
              </w:rPr>
            </w:pPr>
          </w:p>
        </w:tc>
        <w:tc>
          <w:tcPr>
            <w:tcW w:w="28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line="252" w:lineRule="auto"/>
        <w:rPr>
          <w:sz w:val="20"/>
          <w:szCs w:val="20"/>
          <w:color w:val="auto"/>
        </w:rPr>
      </w:pPr>
      <w:r>
        <w:rPr>
          <w:rFonts w:ascii="Arial" w:cs="Arial" w:eastAsia="Arial" w:hAnsi="Arial"/>
          <w:sz w:val="20"/>
          <w:szCs w:val="20"/>
          <w:b w:val="1"/>
          <w:bCs w:val="1"/>
          <w:color w:val="auto"/>
        </w:rPr>
        <w:t>SUMMIT MIDSTREAM PARTNERS, LP AND SUBSIDIARIES UNAUDITED CONDENSED CONSOLIDATED STATEMENTS OF CASH FLOWS (continued)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(45,281)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Revolving Credit Facility</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69,000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Repayments under Revolving Credit Facility</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(101,000)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1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(80,249)</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change in cash and cash equivalents</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955</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4,345</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1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5,300</w:t>
            </w:r>
          </w:p>
        </w:tc>
        <w:tc>
          <w:tcPr>
            <w:tcW w:w="18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3,366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interest paid</w:t>
            </w:r>
          </w:p>
        </w:tc>
        <w:tc>
          <w:tcPr>
            <w:tcW w:w="1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15,229</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12,207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Less capitalized interest</w:t>
            </w:r>
          </w:p>
        </w:tc>
        <w:tc>
          <w:tcPr>
            <w:tcW w:w="1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1,915</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paid (net of capitalized interest)</w:t>
            </w:r>
          </w:p>
        </w:tc>
        <w:tc>
          <w:tcPr>
            <w:tcW w:w="128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13,314</w:t>
            </w:r>
          </w:p>
        </w:tc>
        <w:tc>
          <w:tcPr>
            <w:tcW w:w="180" w:type="dxa"/>
            <w:vAlign w:val="bottom"/>
            <w:tcBorders>
              <w:bottom w:val="single" w:sz="8" w:color="CFF0FC"/>
            </w:tcBorders>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10,985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paid for taxes</w:t>
            </w:r>
          </w:p>
        </w:tc>
        <w:tc>
          <w:tcPr>
            <w:tcW w:w="1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4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Capital expenditures in trade accounts payable (period-end</w:t>
            </w:r>
          </w:p>
        </w:tc>
        <w:tc>
          <w:tcPr>
            <w:tcW w:w="1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accruals)</w:t>
            </w:r>
          </w:p>
        </w:tc>
        <w:tc>
          <w:tcPr>
            <w:tcW w:w="1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23,389</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19,943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40" w:type="dxa"/>
            <w:vAlign w:val="bottom"/>
          </w:tcPr>
          <w:p>
            <w:pPr>
              <w:spacing w:after="0" w:line="194" w:lineRule="exact"/>
              <w:rPr>
                <w:sz w:val="20"/>
                <w:szCs w:val="20"/>
                <w:color w:val="auto"/>
              </w:rPr>
            </w:pPr>
            <w:r>
              <w:rPr>
                <w:rFonts w:ascii="Arial" w:cs="Arial" w:eastAsia="Arial" w:hAnsi="Arial"/>
                <w:sz w:val="18"/>
                <w:szCs w:val="18"/>
                <w:color w:val="auto"/>
              </w:rPr>
              <w:t>Capital expenditures relating to contributions in aid of construction</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540" w:type="dxa"/>
            <w:vAlign w:val="bottom"/>
          </w:tcPr>
          <w:p>
            <w:pPr>
              <w:ind w:left="180"/>
              <w:spacing w:after="0"/>
              <w:rPr>
                <w:sz w:val="20"/>
                <w:szCs w:val="20"/>
                <w:color w:val="auto"/>
              </w:rPr>
            </w:pPr>
            <w:r>
              <w:rPr>
                <w:rFonts w:ascii="Arial" w:cs="Arial" w:eastAsia="Arial" w:hAnsi="Arial"/>
                <w:sz w:val="18"/>
                <w:szCs w:val="18"/>
                <w:color w:val="auto"/>
              </w:rPr>
              <w:t>for Topic 606 day 1 adoption</w:t>
            </w:r>
          </w:p>
        </w:tc>
        <w:tc>
          <w:tcPr>
            <w:tcW w:w="1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relating to Topic 842</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5,448</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0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i w:val="1"/>
          <w:iCs w:val="1"/>
          <w:color w:val="auto"/>
        </w:rPr>
        <w:t xml:space="preserve">Organization. </w:t>
      </w:r>
      <w:r>
        <w:rPr>
          <w:rFonts w:ascii="Arial" w:cs="Arial" w:eastAsia="Arial" w:hAnsi="Arial"/>
          <w:sz w:val="18"/>
          <w:szCs w:val="18"/>
          <w:color w:val="auto"/>
        </w:rPr>
        <w:t>SMLP, a Delaware limited partnership, was formed in May 2012 and began operations in October 2012. SMLP is a growth-oriented limited partnership focused on developing, owning and operating midstream energy infrastructure assets that are strategically located in the core producing areas of unconventional resource basins, primarily shale formations, in the continental United States. Our business activities are conducted through various operating subsidiaries, each of which is owned or controlled by our wholly owned subsidiary holding company, Summit Holdings, a Delaware limited liability company. References to the "Partnership," "we," or "our" refer collectively to SMLP and its subsidiaries.</w:t>
      </w:r>
    </w:p>
    <w:p>
      <w:pPr>
        <w:spacing w:after="0" w:line="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General Partner, a Delaware limited liability company, manages our operations and activities. Summit Investments, a Delaware limited liability company, is the ultimate owner of our General Partner and has the right to appoint the entire Board of Directors. Summit Investments is controlled by Energy Capital Partners.</w:t>
      </w:r>
    </w:p>
    <w:p>
      <w:pPr>
        <w:spacing w:after="0" w:line="56"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Summit Investments owned an approximate 2% general partner interest in SMLP (including the IDRs) until March 22, 2019. On March 22, 2019, we executed an equity restructuring agreement with the General Partner and SMP Holdings (the “Equity Restructuring Agreement”) that was announced on February 26, 2019 pursuant to which the IDRs and the 2% general partner interest were converted into a non-economic general partner interest in exchange for 8,750,000 common units which were issued to SMP Holdings (the “Equity Restructuring”). As of March 31, 2019, SMP Holdings, a wholly owned subsidiary of Summit Investments, beneficially owned 34,604,581 SMLP common units and a subsidiary of Energy Capital Partners directly owned 5,915,827 SMLP common units.</w:t>
      </w:r>
    </w:p>
    <w:p>
      <w:pPr>
        <w:spacing w:after="0" w:line="62"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Neither SMLP nor its subsidiaries have any employees. All of the personnel that conduct our business are employed by Summit Investments, but these individuals are sometimes referred to as our employees.</w:t>
      </w:r>
    </w:p>
    <w:p>
      <w:pPr>
        <w:spacing w:after="0" w:line="3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We provide natural gas gathering, treating and processing services as well as crude oil and produced water gathering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pursuant to primarily long-term, fee-based agreements with our customers. Our results are primarily driven by the volumes of natural gas that we gather, compress, treat and/or process as well as by the volumes of crude oil and produced water that we gather. We are the owner-operator of or have significant ownership interests in the following gathering systems:</w:t>
      </w:r>
    </w:p>
    <w:p>
      <w:pPr>
        <w:spacing w:after="0" w:line="56" w:lineRule="exact"/>
        <w:rPr>
          <w:sz w:val="20"/>
          <w:szCs w:val="20"/>
          <w:color w:val="auto"/>
        </w:rPr>
      </w:pPr>
    </w:p>
    <w:p>
      <w:pPr>
        <w:ind w:left="800" w:right="4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37" w:lineRule="exact"/>
        <w:rPr>
          <w:rFonts w:ascii="Times New Roman" w:cs="Times New Roman" w:eastAsia="Times New Roman" w:hAnsi="Times New Roman"/>
          <w:sz w:val="18"/>
          <w:szCs w:val="18"/>
          <w:color w:val="auto"/>
        </w:rPr>
      </w:pPr>
    </w:p>
    <w:p>
      <w:pPr>
        <w:ind w:left="800" w:right="38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37" w:lineRule="exact"/>
        <w:rPr>
          <w:rFonts w:ascii="Times New Roman" w:cs="Times New Roman" w:eastAsia="Times New Roman" w:hAnsi="Times New Roman"/>
          <w:sz w:val="18"/>
          <w:szCs w:val="18"/>
          <w:color w:val="auto"/>
        </w:rPr>
      </w:pPr>
    </w:p>
    <w:p>
      <w:pPr>
        <w:ind w:left="800" w:right="10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37" w:lineRule="exact"/>
        <w:rPr>
          <w:rFonts w:ascii="Times New Roman" w:cs="Times New Roman" w:eastAsia="Times New Roman" w:hAnsi="Times New Roman"/>
          <w:sz w:val="18"/>
          <w:szCs w:val="18"/>
          <w:color w:val="auto"/>
        </w:rPr>
      </w:pPr>
    </w:p>
    <w:p>
      <w:pPr>
        <w:ind w:left="800" w:right="6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37" w:lineRule="exact"/>
        <w:rPr>
          <w:rFonts w:ascii="Times New Roman" w:cs="Times New Roman" w:eastAsia="Times New Roman" w:hAnsi="Times New Roman"/>
          <w:sz w:val="18"/>
          <w:szCs w:val="18"/>
          <w:color w:val="auto"/>
        </w:rPr>
      </w:pPr>
    </w:p>
    <w:p>
      <w:pPr>
        <w:ind w:left="800" w:right="26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w:t>
      </w:r>
    </w:p>
    <w:p>
      <w:pPr>
        <w:spacing w:after="0" w:line="37" w:lineRule="exact"/>
        <w:rPr>
          <w:rFonts w:ascii="Times New Roman" w:cs="Times New Roman" w:eastAsia="Times New Roman" w:hAnsi="Times New Roman"/>
          <w:sz w:val="18"/>
          <w:szCs w:val="18"/>
          <w:color w:val="auto"/>
        </w:rPr>
      </w:pPr>
    </w:p>
    <w:p>
      <w:pPr>
        <w:ind w:left="800" w:right="52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w:t>
      </w:r>
    </w:p>
    <w:p>
      <w:pPr>
        <w:spacing w:after="0" w:line="37" w:lineRule="exact"/>
        <w:rPr>
          <w:rFonts w:ascii="Times New Roman" w:cs="Times New Roman" w:eastAsia="Times New Roman" w:hAnsi="Times New Roman"/>
          <w:sz w:val="18"/>
          <w:szCs w:val="18"/>
          <w:color w:val="auto"/>
        </w:rPr>
      </w:pPr>
    </w:p>
    <w:p>
      <w:pPr>
        <w:ind w:left="800" w:right="68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 and eastern Utah;</w:t>
      </w:r>
    </w:p>
    <w:p>
      <w:pPr>
        <w:spacing w:after="0" w:line="37" w:lineRule="exact"/>
        <w:rPr>
          <w:rFonts w:ascii="Times New Roman" w:cs="Times New Roman" w:eastAsia="Times New Roman" w:hAnsi="Times New Roman"/>
          <w:sz w:val="18"/>
          <w:szCs w:val="18"/>
          <w:color w:val="auto"/>
        </w:rPr>
      </w:pPr>
    </w:p>
    <w:p>
      <w:pPr>
        <w:ind w:left="800" w:right="32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37" w:lineRule="exact"/>
        <w:rPr>
          <w:rFonts w:ascii="Times New Roman" w:cs="Times New Roman" w:eastAsia="Times New Roman" w:hAnsi="Times New Roman"/>
          <w:sz w:val="18"/>
          <w:szCs w:val="18"/>
          <w:color w:val="auto"/>
        </w:rPr>
      </w:pPr>
    </w:p>
    <w:p>
      <w:pPr>
        <w:ind w:left="800" w:right="380" w:hanging="400"/>
        <w:spacing w:after="0" w:line="275" w:lineRule="auto"/>
        <w:tabs>
          <w:tab w:leader="none" w:pos="8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10" w:name="page11"/>
    <w:bookmarkEnd w:id="10"/>
    <w:p>
      <w:pPr>
        <w:ind w:right="180"/>
        <w:spacing w:after="0" w:line="255" w:lineRule="auto"/>
        <w:rPr>
          <w:sz w:val="20"/>
          <w:szCs w:val="20"/>
          <w:color w:val="auto"/>
        </w:rPr>
      </w:pPr>
      <w:r>
        <w:rPr>
          <w:rFonts w:ascii="Arial" w:cs="Arial" w:eastAsia="Arial" w:hAnsi="Arial"/>
          <w:sz w:val="18"/>
          <w:szCs w:val="18"/>
          <w:color w:val="auto"/>
        </w:rPr>
        <w:t>Additionally, until March 22, 2019, we owned Tioga Midstream, a crude oil, produced water and associated natural gas gathering system operating in the Williston Basin, which includes the Bakken and Three Forks shale formations in northwestern North Dakota. Refer to Note 17 for details on the sale of Tioga Midstream.</w:t>
      </w:r>
    </w:p>
    <w:p>
      <w:pPr>
        <w:spacing w:after="0" w:line="5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In February 2016, the Partnership and SMP Holdings, a wholly owned subsidiary of Summit Investments, entered into a contribution agreement (the "Contribution Agreement") pursuant to which SMP Holdings agreed to contribute to the Partnership substantially all of its limited partner interest in OpCo, a Delaware limited partnership that owns (i) 100% of the issued and outstanding membership interests of Summit Utica, Meadowlark Midstream and Tioga Midstream (collectively, the "Contributed Entities"), each a limited liability company and (ii) an equity ownership interest in each of OGC and OCC (collectively with OpCo and the Contributed Entities, the “2016 Drop Down Assets”) (the “2016 Drop Down”). The 2016 Drop Down closed in March 2016; concurrent therewith, a subsidiary of Summit Investments retained a 1% noncontrolling interest in OpCo. In a series of transactions in December 2017 and November 2018, we purchased the 1% noncontrolling interest in OpCo. As a result of these transactions, other than our investment in Ohio Gathering, all of our business activities are now conducted through wholly owned operating subsidiaries.</w:t>
      </w:r>
    </w:p>
    <w:p>
      <w:pPr>
        <w:spacing w:after="0" w:line="64"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b w:val="1"/>
          <w:bCs w:val="1"/>
          <w:i w:val="1"/>
          <w:iCs w:val="1"/>
          <w:color w:val="auto"/>
        </w:rPr>
        <w:t xml:space="preserve">Presentation and Consolidation. </w:t>
      </w:r>
      <w:r>
        <w:rPr>
          <w:rFonts w:ascii="Arial" w:cs="Arial" w:eastAsia="Arial" w:hAnsi="Arial"/>
          <w:sz w:val="18"/>
          <w:szCs w:val="18"/>
          <w:color w:val="auto"/>
        </w:rPr>
        <w:t>We prepare our unaudited condensed consolidated financial statements in accordance with GAAP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by the FASB. We make estimates and assumptions that affect the reported amounts of assets and liabilities at the balance sheet dates, including fair value measurements, the reported amounts of revenue and expense and the disclosure of contingencies. Although management believes these estimates are reasonable, actual results could differ from its estimates.</w:t>
      </w:r>
    </w:p>
    <w:p>
      <w:pPr>
        <w:spacing w:after="0" w:line="5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These unaudited condensed consolidated financial statements have been prepared pursuant to the rules and the regulations of the SEC. Certain information and note disclosures normally included in the annual financial statements prepared in accordance with GAAP have been condensed or omitted pursuant to those rules and regulations. We believe that the disclosures made are adequate to make the information not misleading. In the opinion of management, the unaudited condensed consolidated financial statements contain all adjustments, including normal recurring adjustments, which are necessary to fairly present the unaudited condensed consolidated balance sheet as of March 31, 2019, the unaudited condensed consolidated statements of operations for the three months ended March 31, 2019 and 2018 and the unaudited condensed consolidated statements of partners’ capital and cash flows for the three months ended March 31, 2019 and 2018. The balance sheet at December 31, 2018 included herein was derived from our audited financial statements, but does not include all disclosures required by GAAP. See Note 2 for the impact relating to the adoption of the new lease standard. These unaudited condensed consolidated financial statements should be read in conjunction with the consolidated financial statements and notes thereto that are included in our annual report on Form 10-K for the year ended December 31, 2018, as filed with the SEC on February 26, 2019 (the "2018 Annual Report"). The results of operations for an interim period are not necessarily indicative of results expected for a full year.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changes below, there have been no changes to our significant accounting policies since December 31, 2018.</w:t>
      </w:r>
    </w:p>
    <w:p>
      <w:pPr>
        <w:spacing w:after="0" w:line="10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Accounting standard setters frequently issue new or revised accounting rules. We review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pronouncements to determine the impact, if any, on our financial statements. Accounting standards that have or could possibly have a material effect on our financial statements are discussed below.</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r>
        <w:rPr>
          <w:rFonts w:ascii="Arial" w:cs="Arial" w:eastAsia="Arial" w:hAnsi="Arial"/>
          <w:sz w:val="18"/>
          <w:szCs w:val="18"/>
          <w:color w:val="auto"/>
        </w:rPr>
        <w:t>. We have recently adopted the following accounting pronouncements:</w:t>
      </w:r>
    </w:p>
    <w:p>
      <w:pPr>
        <w:spacing w:after="0" w:line="212" w:lineRule="exact"/>
        <w:rPr>
          <w:sz w:val="20"/>
          <w:szCs w:val="20"/>
          <w:color w:val="auto"/>
        </w:rPr>
      </w:pPr>
    </w:p>
    <w:p>
      <w:pPr>
        <w:ind w:left="800" w:right="140" w:hanging="400"/>
        <w:spacing w:after="0" w:line="241" w:lineRule="auto"/>
        <w:tabs>
          <w:tab w:leader="none" w:pos="8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ASU No. 2016-02 Leases (“Topic 842"). We adopted Topic 842 with a date of initial application of January 1, 2019. We applied Topic 842 by recognizing (i) a $5.4 million right-of-use (“ROU”) asset which represents the right to use, or to control the use of, specified assets for a lease term. The ROU asset is included in the Property, plant and equipment, net caption on the unaudited condensed consolidated balance sheet; and (ii) a $5.4 million lease liability for the obligation to make lease payments arising from the leases. The lease liability is included in the Other current liabilities and Other noncurrent liabilities captions on the unaudited condensed consolidated balance sheet. The comparative information has not been adjusted and is reported under the accounting standards in effect for those periods.</w:t>
      </w:r>
    </w:p>
    <w:p>
      <w:pPr>
        <w:spacing w:after="0" w:line="70"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Refer to Note 16 for additional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Accounting Pronouncements Pending Adoption</w:t>
      </w:r>
      <w:r>
        <w:rPr>
          <w:rFonts w:ascii="Arial" w:cs="Arial" w:eastAsia="Arial" w:hAnsi="Arial"/>
          <w:sz w:val="18"/>
          <w:szCs w:val="18"/>
          <w:color w:val="auto"/>
        </w:rPr>
        <w:t>. We have not yet adopted the following accounting pronouncements as of March 31, 2019:</w:t>
      </w:r>
    </w:p>
    <w:p>
      <w:pPr>
        <w:spacing w:after="0" w:line="104" w:lineRule="exact"/>
        <w:rPr>
          <w:sz w:val="20"/>
          <w:szCs w:val="20"/>
          <w:color w:val="auto"/>
        </w:rPr>
      </w:pPr>
    </w:p>
    <w:p>
      <w:pPr>
        <w:ind w:left="800" w:right="40" w:hanging="400"/>
        <w:spacing w:after="0"/>
        <w:tabs>
          <w:tab w:leader="none" w:pos="800" w:val="left"/>
        </w:tabs>
        <w:numPr>
          <w:ilvl w:val="1"/>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We are currently evaluating the provisions of ASU 2018-13 to determine its impact on our financial statements and related disclosures and will adopt its provisions effective January 1, 2020.</w:t>
      </w:r>
    </w:p>
    <w:p>
      <w:pPr>
        <w:spacing w:after="0" w:line="70"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0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majority of our revenue is derived from long-term, fee-based contracts with original terms of up to 25 years. We recognize revenue earned from fee-based gathering, treating and processing services in gathering services and related fees. We also earn revenue in the Williston Basin reporting segment from the sale of physical natural gas purchased from our customers under certain percent-of-proceeds arrangements. Under ASC Topic 606, these gathering contracts are presented net within cost of natural gas and NGLs. We sell natural gas that we retain from certain DFW Midstream customers to offset the power expenses of the electric-driven compression on the DFW Midstream system. We also sell condensate retained from our gathering services at Grand River. Revenues from the sale of natural gas and condensate are recognized in natural gas, NGLs and condensate sales; the associated expense is included in operation and maintenance expense. Certain customers reimburse us for costs we incur on their behalf. We record costs incurred and reimbursed by our customers on a gross basis, with the revenue component recognized in Other revenues.</w:t>
      </w:r>
    </w:p>
    <w:p>
      <w:pPr>
        <w:spacing w:after="0" w:line="6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transaction price in our contracts is primarily based on the volume of natural gas, crude oil or produced water transferred by our gathering systems to the customer’s agreed upon delivery point multiplied by the contractual rate. For contracts that include MVCs, variable consideration up to the MVC will be included in the transaction price. For contracts that do not include MVCs, we do not estimate variable consideration because the performance obligations are completed and settled on a daily basis. For contracts containing noncash consideration such as fuel received in-kind, we measure the transaction price at the point of sale when the volume, mix and market price of the commodities are known.</w:t>
      </w:r>
    </w:p>
    <w:p>
      <w:pPr>
        <w:spacing w:after="0" w:line="64"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We have contracts with MVCs that are variable and constrained. Contracts with greater than monthly MVCs are reviewed on a quarterly basis and adjustments to those estimates are made during each respective reporting period, if necessary.</w:t>
      </w:r>
    </w:p>
    <w:p>
      <w:pPr>
        <w:spacing w:after="0" w:line="37"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The transaction price is allocated if the contract contains more than one performance obligation such as contracts that include MVCs. The transaction price allocated is based on the MVC for the applicable measurement period.</w:t>
      </w:r>
    </w:p>
    <w:p>
      <w:pPr>
        <w:spacing w:after="0" w:line="3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Performance obligations. </w:t>
      </w:r>
      <w:r>
        <w:rPr>
          <w:rFonts w:ascii="Arial" w:cs="Arial" w:eastAsia="Arial" w:hAnsi="Arial"/>
          <w:sz w:val="18"/>
          <w:szCs w:val="18"/>
          <w:color w:val="auto"/>
        </w:rPr>
        <w:t>The majority of our contracts have a single performance obligation which is either to provide gathering services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service) or sell natural gas, NGLs and condensate, which are both satisfied when the related natural gas, crude oil and produced water are received and transferred to an agreed upon delivery point. We also have certain contracts with multiple performance obligations. They include an option for the customer to acquire additional services such as contracts containing MVCs. These performance obligations would also be satisfied when the related natural gas, crude oil and produced water are received and transferred to an agreed upon delivery point. In these instances, we allocate the contract’s transaction price to each performance obligation using our best estimate of the standalone selling price of each service in the contract.</w:t>
      </w:r>
    </w:p>
    <w:p>
      <w:pPr>
        <w:spacing w:after="0" w:line="7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Performance obligations for gathering services are generally satisfied over time. We utilize either an output method (i.e., measure of progress) for guaranteed, stand-ready service contracts or an asset/system delivery time estimate for non-guaranteed, as-available service contracts.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2" w:name="page13"/>
    <w:bookmarkEnd w:id="12"/>
    <w:p>
      <w:pPr>
        <w:ind w:right="240"/>
        <w:spacing w:after="0" w:line="276" w:lineRule="auto"/>
        <w:rPr>
          <w:sz w:val="20"/>
          <w:szCs w:val="20"/>
          <w:color w:val="auto"/>
        </w:rPr>
      </w:pPr>
      <w:r>
        <w:rPr>
          <w:rFonts w:ascii="Arial" w:cs="Arial" w:eastAsia="Arial" w:hAnsi="Arial"/>
          <w:sz w:val="18"/>
          <w:szCs w:val="18"/>
          <w:color w:val="auto"/>
        </w:rPr>
        <w:t>Performance obligations for the sale of natural gas, NGLs and condensate are satisfied at a point in time. There are no significant judgments for these transactions because the customer obtains control based on an agreed upon delivery point.</w:t>
      </w:r>
    </w:p>
    <w:p>
      <w:pPr>
        <w:spacing w:after="0" w:line="37"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Certain of our gathering and/or processing agreements provide for monthly, annual or multi-year MVCs. Under these MVCs, our customers agree to ship and/or process a minimum volume of production on our gathering systems or to pay a minimum monetary amount over certain periods during the term of the MVC. A customer must make a shortfall payment to us at the end of the contracted measurement period if its actual throughput volumes are less than its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w:t>
      </w:r>
    </w:p>
    <w:p>
      <w:pPr>
        <w:spacing w:after="0" w:line="6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recognize customer obligations under their MVCs as revenue and contract assets when (i) we consider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w:t>
      </w:r>
    </w:p>
    <w:p>
      <w:pPr>
        <w:spacing w:after="0" w:line="63"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Our services are typically billed on a monthly basis and we do not offer extended payment terms. We do not have contracts with financing components.</w:t>
      </w:r>
    </w:p>
    <w:p>
      <w:pPr>
        <w:spacing w:after="0" w:line="37"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The following table presents estimated revenue expected to be recognized during the remainder of 2019 and over the remaining contract period related to performance obligations that are unsatisfied and are comprised of estimated MVC shortfall payments.</w:t>
      </w:r>
    </w:p>
    <w:p>
      <w:pPr>
        <w:spacing w:after="0" w:line="37"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We applied the practical expedient in paragraph 606-10-50-14 of Topic 606 for certain arrangements that we consider optional purchases (i.e., there is no enforceable obligation for the customer to make purchases) and those amounts are excluded from the table.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Thereafter</w:t>
            </w:r>
          </w:p>
        </w:tc>
      </w:tr>
      <w:tr>
        <w:trPr>
          <w:trHeight w:val="169"/>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3"/>
          </w:tcPr>
          <w:p>
            <w:pPr>
              <w:jc w:val="right"/>
              <w:ind w:right="679"/>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88,169</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120,941</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100,117</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83,673</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70,971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113,679</w:t>
            </w:r>
          </w:p>
        </w:tc>
      </w:tr>
    </w:tbl>
    <w:p>
      <w:pPr>
        <w:spacing w:after="0" w:line="99"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auto"/>
        </w:rPr>
        <w:t xml:space="preserve">Revenue by Category. </w:t>
      </w:r>
      <w:r>
        <w:rPr>
          <w:rFonts w:ascii="Arial" w:cs="Arial" w:eastAsia="Arial" w:hAnsi="Arial"/>
          <w:sz w:val="18"/>
          <w:szCs w:val="18"/>
          <w:color w:val="auto"/>
        </w:rPr>
        <w:t>In the following table, revenue is disaggregated by geographic area and major products and services. Ohio Gathering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excluded from the tables below due to equity method accounting. For more detailed information about reportable segments, see Note 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6"/>
                <w:szCs w:val="16"/>
                <w:b w:val="1"/>
                <w:bCs w:val="1"/>
                <w:color w:val="auto"/>
              </w:rPr>
              <w:t>Reportable Segments</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6"/>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11"/>
          </w:tcPr>
          <w:p>
            <w:pPr>
              <w:jc w:val="center"/>
              <w:ind w:right="100"/>
              <w:spacing w:after="0"/>
              <w:rPr>
                <w:sz w:val="20"/>
                <w:szCs w:val="20"/>
                <w:color w:val="auto"/>
              </w:rPr>
            </w:pPr>
            <w:r>
              <w:rPr>
                <w:rFonts w:ascii="Arial" w:cs="Arial" w:eastAsia="Arial" w:hAnsi="Arial"/>
                <w:sz w:val="16"/>
                <w:szCs w:val="16"/>
                <w:b w:val="1"/>
                <w:bCs w:val="1"/>
                <w:color w:val="auto"/>
              </w:rPr>
              <w:t>Three months ended March 31, 2019</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76"/>
        </w:trPr>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9"/>
              <w:spacing w:after="0" w:line="176"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auto"/>
              </w:rPr>
              <w:t>Utica</w:t>
            </w:r>
          </w:p>
        </w:tc>
        <w:tc>
          <w:tcPr>
            <w:tcW w:w="6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6"/>
                <w:szCs w:val="16"/>
                <w:b w:val="1"/>
                <w:bCs w:val="1"/>
                <w:color w:val="auto"/>
              </w:rPr>
              <w:t>Williston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Permian</w:t>
            </w:r>
          </w:p>
        </w:tc>
        <w:tc>
          <w:tcPr>
            <w:tcW w:w="60" w:type="dxa"/>
            <w:vAlign w:val="bottom"/>
          </w:tcPr>
          <w:p>
            <w:pPr>
              <w:spacing w:after="0"/>
              <w:rPr>
                <w:sz w:val="16"/>
                <w:szCs w:val="16"/>
                <w:color w:val="auto"/>
              </w:rPr>
            </w:pPr>
          </w:p>
        </w:tc>
        <w:tc>
          <w:tcPr>
            <w:tcW w:w="900" w:type="dxa"/>
            <w:vAlign w:val="bottom"/>
            <w:gridSpan w:val="3"/>
          </w:tcPr>
          <w:p>
            <w:pPr>
              <w:spacing w:after="0"/>
              <w:rPr>
                <w:sz w:val="20"/>
                <w:szCs w:val="20"/>
                <w:color w:val="auto"/>
              </w:rPr>
            </w:pPr>
            <w:r>
              <w:rPr>
                <w:rFonts w:ascii="Arial" w:cs="Arial" w:eastAsia="Arial" w:hAnsi="Arial"/>
                <w:sz w:val="16"/>
                <w:szCs w:val="16"/>
                <w:b w:val="1"/>
                <w:bCs w:val="1"/>
                <w:color w:val="auto"/>
              </w:rPr>
              <w:t>Piceance</w:t>
            </w:r>
          </w:p>
        </w:tc>
        <w:tc>
          <w:tcPr>
            <w:tcW w:w="92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9"/>
              </w:rPr>
              <w:t>Barnett</w:t>
            </w:r>
          </w:p>
        </w:tc>
        <w:tc>
          <w:tcPr>
            <w:tcW w:w="940" w:type="dxa"/>
            <w:vAlign w:val="bottom"/>
            <w:gridSpan w:val="3"/>
          </w:tcPr>
          <w:p>
            <w:pPr>
              <w:spacing w:after="0"/>
              <w:rPr>
                <w:sz w:val="20"/>
                <w:szCs w:val="20"/>
                <w:color w:val="auto"/>
              </w:rPr>
            </w:pPr>
            <w:r>
              <w:rPr>
                <w:rFonts w:ascii="Arial" w:cs="Arial" w:eastAsia="Arial" w:hAnsi="Arial"/>
                <w:sz w:val="16"/>
                <w:szCs w:val="16"/>
                <w:b w:val="1"/>
                <w:bCs w:val="1"/>
                <w:color w:val="auto"/>
              </w:rPr>
              <w:t>Marcellus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reportable</w:t>
            </w:r>
          </w:p>
        </w:tc>
        <w:tc>
          <w:tcPr>
            <w:tcW w:w="60" w:type="dxa"/>
            <w:vAlign w:val="bottom"/>
          </w:tcPr>
          <w:p>
            <w:pPr>
              <w:spacing w:after="0"/>
              <w:rPr>
                <w:sz w:val="16"/>
                <w:szCs w:val="16"/>
                <w:color w:val="auto"/>
              </w:rPr>
            </w:pPr>
          </w:p>
        </w:tc>
        <w:tc>
          <w:tcPr>
            <w:tcW w:w="960" w:type="dxa"/>
            <w:vAlign w:val="bottom"/>
            <w:gridSpan w:val="3"/>
          </w:tcPr>
          <w:p>
            <w:pPr>
              <w:ind w:left="60"/>
              <w:spacing w:after="0"/>
              <w:rPr>
                <w:sz w:val="20"/>
                <w:szCs w:val="20"/>
                <w:color w:val="auto"/>
              </w:rPr>
            </w:pPr>
            <w:r>
              <w:rPr>
                <w:rFonts w:ascii="Arial" w:cs="Arial" w:eastAsia="Arial" w:hAnsi="Arial"/>
                <w:sz w:val="16"/>
                <w:szCs w:val="16"/>
                <w:b w:val="1"/>
                <w:bCs w:val="1"/>
                <w:color w:val="auto"/>
              </w:rPr>
              <w:t>All 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9"/>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Shale</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Basin</w:t>
            </w:r>
          </w:p>
        </w:tc>
        <w:tc>
          <w:tcPr>
            <w:tcW w:w="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DJ Basin</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Basin</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rPr>
              <w:t>Shale</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Shale</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segments</w:t>
            </w:r>
          </w:p>
        </w:tc>
        <w:tc>
          <w:tcPr>
            <w:tcW w:w="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segments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2"/>
        </w:trPr>
        <w:tc>
          <w:tcPr>
            <w:tcW w:w="22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Major products /</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209"/>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184"/>
        </w:trPr>
        <w:tc>
          <w:tcPr>
            <w:tcW w:w="2280" w:type="dxa"/>
            <w:vAlign w:val="bottom"/>
          </w:tcPr>
          <w:p>
            <w:pPr>
              <w:spacing w:after="0"/>
              <w:rPr>
                <w:sz w:val="20"/>
                <w:szCs w:val="20"/>
                <w:color w:val="auto"/>
              </w:rPr>
            </w:pPr>
            <w:r>
              <w:rPr>
                <w:rFonts w:ascii="Arial" w:cs="Arial" w:eastAsia="Arial" w:hAnsi="Arial"/>
                <w:sz w:val="16"/>
                <w:szCs w:val="16"/>
                <w:color w:val="auto"/>
              </w:rPr>
              <w:t>Gathering services</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7"/>
        </w:trPr>
        <w:tc>
          <w:tcPr>
            <w:tcW w:w="228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7,495</w:t>
            </w: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25,706</w:t>
            </w:r>
          </w:p>
        </w:tc>
        <w:tc>
          <w:tcPr>
            <w:tcW w:w="26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3,724</w:t>
            </w: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31,840</w:t>
            </w:r>
          </w:p>
        </w:tc>
        <w:tc>
          <w:tcPr>
            <w:tcW w:w="6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13,025</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6,197</w:t>
            </w:r>
          </w:p>
        </w:tc>
        <w:tc>
          <w:tcPr>
            <w:tcW w:w="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88,353</w:t>
            </w:r>
          </w:p>
        </w:tc>
        <w:tc>
          <w:tcPr>
            <w:tcW w:w="2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(1,389)</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86,964</w:t>
            </w:r>
          </w:p>
        </w:tc>
      </w:tr>
      <w:tr>
        <w:trPr>
          <w:trHeight w:val="184"/>
        </w:trPr>
        <w:tc>
          <w:tcPr>
            <w:tcW w:w="228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189"/>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207"/>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5,585</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4,221</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2,302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12,797</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25,131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37,928</w:t>
            </w: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Other revenues</w:t>
            </w:r>
          </w:p>
        </w:tc>
        <w:tc>
          <w:tcPr>
            <w:tcW w:w="1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2,908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1,007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1,138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1,656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6,741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6,516</w:t>
            </w:r>
          </w:p>
        </w:tc>
      </w:tr>
      <w:tr>
        <w:trPr>
          <w:trHeight w:val="196"/>
        </w:trPr>
        <w:tc>
          <w:tcPr>
            <w:tcW w:w="22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7,495</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34,199</w:t>
            </w: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4,816</w:t>
            </w: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4,619</w:t>
            </w:r>
          </w:p>
        </w:tc>
        <w:tc>
          <w:tcPr>
            <w:tcW w:w="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35,280</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15,285</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6,197</w:t>
            </w: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107,891</w:t>
            </w: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23,517</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131,408</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9"/>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rPr>
              <w:t>Reportable Segments</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6"/>
        </w:trPr>
        <w:tc>
          <w:tcPr>
            <w:tcW w:w="1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b w:val="1"/>
                <w:bCs w:val="1"/>
                <w:color w:val="auto"/>
              </w:rPr>
              <w:t>Three months ended March 31, 2018</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76"/>
        </w:trPr>
        <w:tc>
          <w:tcPr>
            <w:tcW w:w="1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auto"/>
                <w:w w:val="99"/>
              </w:rPr>
              <w:t>Total</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1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auto"/>
              </w:rPr>
              <w:t>Utica</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Williston</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Piceance</w:t>
            </w:r>
          </w:p>
        </w:tc>
        <w:tc>
          <w:tcPr>
            <w:tcW w:w="80" w:type="dxa"/>
            <w:vAlign w:val="bottom"/>
          </w:tcPr>
          <w:p>
            <w:pPr>
              <w:spacing w:after="0"/>
              <w:rPr>
                <w:sz w:val="16"/>
                <w:szCs w:val="16"/>
                <w:color w:val="auto"/>
              </w:rPr>
            </w:pPr>
          </w:p>
        </w:tc>
        <w:tc>
          <w:tcPr>
            <w:tcW w:w="8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Barnett</w:t>
            </w:r>
          </w:p>
        </w:tc>
        <w:tc>
          <w:tcPr>
            <w:tcW w:w="60" w:type="dxa"/>
            <w:vAlign w:val="bottom"/>
          </w:tcPr>
          <w:p>
            <w:pPr>
              <w:spacing w:after="0"/>
              <w:rPr>
                <w:sz w:val="16"/>
                <w:szCs w:val="16"/>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Marcellus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reportable</w:t>
            </w:r>
          </w:p>
        </w:tc>
        <w:tc>
          <w:tcPr>
            <w:tcW w:w="120" w:type="dxa"/>
            <w:vAlign w:val="bottom"/>
          </w:tcPr>
          <w:p>
            <w:pPr>
              <w:spacing w:after="0"/>
              <w:rPr>
                <w:sz w:val="16"/>
                <w:szCs w:val="16"/>
                <w:color w:val="auto"/>
              </w:rPr>
            </w:pPr>
          </w:p>
        </w:tc>
        <w:tc>
          <w:tcPr>
            <w:tcW w:w="90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All other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9"/>
        </w:trPr>
        <w:tc>
          <w:tcPr>
            <w:tcW w:w="1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Shale</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Basin</w:t>
            </w: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DJ Basin</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Basin</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Shale</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Shale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0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segments</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196"/>
        </w:trPr>
        <w:tc>
          <w:tcPr>
            <w:tcW w:w="1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9"/>
              </w:rPr>
              <w:t>(In thousands)</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2"/>
        </w:trPr>
        <w:tc>
          <w:tcPr>
            <w:tcW w:w="188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Major products /</w:t>
            </w:r>
          </w:p>
        </w:tc>
        <w:tc>
          <w:tcPr>
            <w:tcW w:w="5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209"/>
        </w:trPr>
        <w:tc>
          <w:tcPr>
            <w:tcW w:w="188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r>
      <w:tr>
        <w:trPr>
          <w:trHeight w:val="184"/>
        </w:trPr>
        <w:tc>
          <w:tcPr>
            <w:tcW w:w="1880" w:type="dxa"/>
            <w:vAlign w:val="bottom"/>
          </w:tcPr>
          <w:p>
            <w:pPr>
              <w:spacing w:after="0"/>
              <w:rPr>
                <w:sz w:val="20"/>
                <w:szCs w:val="20"/>
                <w:color w:val="auto"/>
              </w:rPr>
            </w:pPr>
            <w:r>
              <w:rPr>
                <w:rFonts w:ascii="Arial" w:cs="Arial" w:eastAsia="Arial" w:hAnsi="Arial"/>
                <w:sz w:val="16"/>
                <w:szCs w:val="16"/>
                <w:color w:val="auto"/>
              </w:rPr>
              <w:t>Gathering services</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7"/>
        </w:trPr>
        <w:tc>
          <w:tcPr>
            <w:tcW w:w="188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10,041</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17,666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2,179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33,115</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13,637</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7,825</w:t>
            </w:r>
          </w:p>
        </w:tc>
        <w:tc>
          <w:tcPr>
            <w:tcW w:w="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84,463</w:t>
            </w: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84,361</w:t>
            </w:r>
          </w:p>
        </w:tc>
      </w:tr>
      <w:tr>
        <w:trPr>
          <w:trHeight w:val="184"/>
        </w:trPr>
        <w:tc>
          <w:tcPr>
            <w:tcW w:w="188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189"/>
        </w:trPr>
        <w:tc>
          <w:tcPr>
            <w:tcW w:w="1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5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207"/>
        </w:trPr>
        <w:tc>
          <w:tcPr>
            <w:tcW w:w="18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7,846</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w:t>
            </w:r>
          </w:p>
        </w:tc>
        <w:tc>
          <w:tcPr>
            <w:tcW w:w="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12,716</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13,401</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26,117</w:t>
            </w:r>
          </w:p>
        </w:tc>
      </w:tr>
      <w:tr>
        <w:trPr>
          <w:trHeight w:val="203"/>
        </w:trPr>
        <w:tc>
          <w:tcPr>
            <w:tcW w:w="1880" w:type="dxa"/>
            <w:vAlign w:val="bottom"/>
          </w:tcPr>
          <w:p>
            <w:pPr>
              <w:spacing w:after="0"/>
              <w:rPr>
                <w:sz w:val="20"/>
                <w:szCs w:val="20"/>
                <w:color w:val="auto"/>
              </w:rPr>
            </w:pPr>
            <w:r>
              <w:rPr>
                <w:rFonts w:ascii="Arial" w:cs="Arial" w:eastAsia="Arial" w:hAnsi="Arial"/>
                <w:sz w:val="16"/>
                <w:szCs w:val="16"/>
                <w:color w:val="auto"/>
              </w:rPr>
              <w:t>Other revenues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2,912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1,988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6,868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6,842</w:t>
            </w:r>
          </w:p>
        </w:tc>
      </w:tr>
      <w:tr>
        <w:trPr>
          <w:trHeight w:val="196"/>
        </w:trPr>
        <w:tc>
          <w:tcPr>
            <w:tcW w:w="18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5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10,041</w:t>
            </w: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28,424</w:t>
            </w: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3,016</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38,571</w:t>
            </w:r>
          </w:p>
        </w:tc>
        <w:tc>
          <w:tcPr>
            <w:tcW w:w="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16,170</w:t>
            </w:r>
          </w:p>
        </w:tc>
        <w:tc>
          <w:tcPr>
            <w:tcW w:w="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7,825</w:t>
            </w:r>
          </w:p>
        </w:tc>
        <w:tc>
          <w:tcPr>
            <w:tcW w:w="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104,047</w:t>
            </w:r>
          </w:p>
        </w:tc>
        <w:tc>
          <w:tcPr>
            <w:tcW w:w="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13,273</w:t>
            </w: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117,320</w:t>
            </w:r>
          </w:p>
        </w:tc>
      </w:tr>
    </w:tbl>
    <w:p>
      <w:pPr>
        <w:spacing w:after="0" w:line="9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Contract assets relate to our rights to consideration for work completed but not billed at the reporting date and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MVC shortfall payments expected from our customers and unbilled activity associated with contributions in aid of construction. Contract assets are transferred to trade receivables when the rights become unconditional. The following table provides information about contract assets from contracts with customers: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2019</w:t>
            </w: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80" w:type="dxa"/>
            <w:vAlign w:val="bottom"/>
            <w:gridSpan w:val="4"/>
          </w:tcPr>
          <w:p>
            <w:pPr>
              <w:jc w:val="right"/>
              <w:ind w:right="1314"/>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 assets, beginning of year</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8,755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00" w:type="dxa"/>
            <w:vAlign w:val="bottom"/>
          </w:tcPr>
          <w:p>
            <w:pPr>
              <w:spacing w:after="0"/>
              <w:rPr>
                <w:sz w:val="18"/>
                <w:szCs w:val="18"/>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12,518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26,403</w:t>
            </w:r>
          </w:p>
        </w:tc>
      </w:tr>
      <w:tr>
        <w:trPr>
          <w:trHeight w:val="216"/>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Transfers out</w:t>
            </w:r>
          </w:p>
        </w:tc>
        <w:tc>
          <w:tcPr>
            <w:tcW w:w="2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(17,648)</w:t>
            </w:r>
          </w:p>
        </w:tc>
      </w:tr>
      <w:tr>
        <w:trPr>
          <w:trHeight w:val="236"/>
        </w:trPr>
        <w:tc>
          <w:tcPr>
            <w:tcW w:w="7740" w:type="dxa"/>
            <w:vAlign w:val="bottom"/>
          </w:tcPr>
          <w:p>
            <w:pPr>
              <w:spacing w:after="0"/>
              <w:rPr>
                <w:sz w:val="20"/>
                <w:szCs w:val="20"/>
                <w:color w:val="auto"/>
              </w:rPr>
            </w:pPr>
            <w:r>
              <w:rPr>
                <w:rFonts w:ascii="Arial" w:cs="Arial" w:eastAsia="Arial" w:hAnsi="Arial"/>
                <w:sz w:val="18"/>
                <w:szCs w:val="18"/>
                <w:b w:val="1"/>
                <w:bCs w:val="1"/>
                <w:color w:val="auto"/>
              </w:rPr>
              <w:t>Contract assets, end of year</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19,314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8,755</w:t>
            </w:r>
          </w:p>
        </w:tc>
      </w:tr>
    </w:tbl>
    <w:p>
      <w:pPr>
        <w:spacing w:after="0" w:line="72"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As of March 31, 2019, receivables with customers totaled $66.4 million and contract assets totaled $19.3 million which were included in the Accounts receivable caption on the unaudited condensed consolidated balance sheet.</w:t>
      </w:r>
    </w:p>
    <w:p>
      <w:pPr>
        <w:spacing w:after="0" w:line="37"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Contract liabilities (deferred revenue) relate to the advance consideration received from customers primarily for contributions in aid of construction. We recognize contract liabilities under these arrangements in revenue over the contract period. For the three months ended March 31, 2019, we recognized $2.7 million of gathering services and related fees which was included in the contract liability balance as of the beginning of the period. See Note 9 for additional details.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our reportable segments are:</w:t>
      </w:r>
    </w:p>
    <w:p>
      <w:pPr>
        <w:spacing w:after="0" w:line="104" w:lineRule="exact"/>
        <w:rPr>
          <w:sz w:val="20"/>
          <w:szCs w:val="20"/>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Utica Shale, which is served by Summit Utica;</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Ohio Gathering, which includes our ownership interest in OGC and OCC;</w:t>
      </w:r>
    </w:p>
    <w:p>
      <w:pPr>
        <w:spacing w:after="0" w:line="116" w:lineRule="exact"/>
        <w:rPr>
          <w:rFonts w:ascii="Times New Roman" w:cs="Times New Roman" w:eastAsia="Times New Roman" w:hAnsi="Times New Roman"/>
          <w:sz w:val="18"/>
          <w:szCs w:val="18"/>
          <w:color w:val="auto"/>
        </w:rPr>
      </w:pPr>
    </w:p>
    <w:p>
      <w:pPr>
        <w:ind w:left="800" w:right="360" w:hanging="400"/>
        <w:spacing w:after="0" w:line="275" w:lineRule="auto"/>
        <w:tabs>
          <w:tab w:leader="none" w:pos="8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Williston Basin, which is served by Polar and Divide, Bison Midstream and Tioga Midstream (through March 22, 2019; refer to Note 17 for details on the sale of Tioga Midstream);</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DJ Basin, which is served by Niobrara G&amp;P;</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Permian Basin, which is served by Summit Permian;</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Piceance Basin, which is served by Grand River;</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Barnett Shale, which is served by DFW Midstream;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Marcellus Shale, which is served by Mountaineer Midstream.</w:t>
      </w:r>
    </w:p>
    <w:p>
      <w:pPr>
        <w:spacing w:after="0" w:line="116"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bookmarkStart w:id="14" w:name="page15"/>
    <w:bookmarkEnd w:id="14"/>
    <w:p>
      <w:pPr>
        <w:ind w:right="140"/>
        <w:spacing w:after="0" w:line="276" w:lineRule="auto"/>
        <w:rPr>
          <w:sz w:val="20"/>
          <w:szCs w:val="20"/>
          <w:color w:val="auto"/>
        </w:rPr>
      </w:pPr>
      <w:r>
        <w:rPr>
          <w:rFonts w:ascii="Arial" w:cs="Arial" w:eastAsia="Arial" w:hAnsi="Arial"/>
          <w:sz w:val="18"/>
          <w:szCs w:val="18"/>
          <w:color w:val="auto"/>
        </w:rPr>
        <w:t>The Ohio Gathering reportable segment includes our investment in OGC and OCC. Income or loss from equity method investees, as reflected on the statements of operations, solely relates to Ohio Gathering and is recognized and disclosed on a one-month lag (see Note 8).</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represents those results that are: (i) not specifically attributable to a reportable segment; (ii) not individually reportable; or</w:t>
      </w:r>
    </w:p>
    <w:p>
      <w:pPr>
        <w:spacing w:after="0" w:line="18" w:lineRule="exact"/>
        <w:rPr>
          <w:sz w:val="20"/>
          <w:szCs w:val="20"/>
          <w:color w:val="auto"/>
        </w:rPr>
      </w:pPr>
    </w:p>
    <w:p>
      <w:pPr>
        <w:ind w:right="460" w:firstLine="8"/>
        <w:spacing w:after="0" w:line="251" w:lineRule="auto"/>
        <w:tabs>
          <w:tab w:leader="none" w:pos="29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have not been allocated to our reportable segments for the purpose of evaluating their performance, including certain general and administrative expense items, natural gas and crude oil marketing services and transaction costs.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March 31,2019</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7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80" w:type="dxa"/>
            <w:vAlign w:val="bottom"/>
            <w:gridSpan w:val="4"/>
          </w:tcPr>
          <w:p>
            <w:pPr>
              <w:jc w:val="right"/>
              <w:ind w:right="1371"/>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 (1):</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Utica Shale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206,621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207,357</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640,226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649,250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Williston Basin</w:t>
            </w:r>
          </w:p>
        </w:tc>
        <w:tc>
          <w:tcPr>
            <w:tcW w:w="220" w:type="dxa"/>
            <w:vAlign w:val="bottom"/>
          </w:tcPr>
          <w:p>
            <w:pPr>
              <w:spacing w:after="0"/>
              <w:rPr>
                <w:sz w:val="18"/>
                <w:szCs w:val="18"/>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438,772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526,819</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150,663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166,580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Permian Basin</w:t>
            </w:r>
          </w:p>
        </w:tc>
        <w:tc>
          <w:tcPr>
            <w:tcW w:w="220" w:type="dxa"/>
            <w:vAlign w:val="bottom"/>
          </w:tcPr>
          <w:p>
            <w:pPr>
              <w:spacing w:after="0"/>
              <w:rPr>
                <w:sz w:val="18"/>
                <w:szCs w:val="18"/>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163,897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145,702</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685,713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699,638</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Barnett Shale</w:t>
            </w:r>
          </w:p>
        </w:tc>
        <w:tc>
          <w:tcPr>
            <w:tcW w:w="220" w:type="dxa"/>
            <w:vAlign w:val="bottom"/>
          </w:tcPr>
          <w:p>
            <w:pPr>
              <w:spacing w:after="0"/>
              <w:rPr>
                <w:sz w:val="18"/>
                <w:szCs w:val="18"/>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363,834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376,564</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2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206,447</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208,790</w:t>
            </w:r>
          </w:p>
        </w:tc>
      </w:tr>
      <w:tr>
        <w:trPr>
          <w:trHeight w:val="210"/>
        </w:trPr>
        <w:tc>
          <w:tcPr>
            <w:tcW w:w="7620" w:type="dxa"/>
            <w:vAlign w:val="bottom"/>
          </w:tcPr>
          <w:p>
            <w:pPr>
              <w:ind w:left="140"/>
              <w:spacing w:after="0"/>
              <w:rPr>
                <w:sz w:val="20"/>
                <w:szCs w:val="20"/>
                <w:color w:val="auto"/>
              </w:rPr>
            </w:pPr>
            <w:r>
              <w:rPr>
                <w:rFonts w:ascii="Arial" w:cs="Arial" w:eastAsia="Arial" w:hAnsi="Arial"/>
                <w:sz w:val="18"/>
                <w:szCs w:val="18"/>
                <w:color w:val="auto"/>
              </w:rPr>
              <w:t>Total reportable segment assets</w:t>
            </w:r>
          </w:p>
        </w:tc>
        <w:tc>
          <w:tcPr>
            <w:tcW w:w="220" w:type="dxa"/>
            <w:vAlign w:val="bottom"/>
          </w:tcPr>
          <w:p>
            <w:pPr>
              <w:spacing w:after="0"/>
              <w:rPr>
                <w:sz w:val="18"/>
                <w:szCs w:val="18"/>
                <w:color w:val="auto"/>
              </w:rPr>
            </w:pPr>
          </w:p>
        </w:tc>
        <w:tc>
          <w:tcPr>
            <w:tcW w:w="1580" w:type="dxa"/>
            <w:vAlign w:val="bottom"/>
          </w:tcPr>
          <w:p>
            <w:pPr>
              <w:jc w:val="right"/>
              <w:ind w:right="33"/>
              <w:spacing w:after="0"/>
              <w:rPr>
                <w:sz w:val="20"/>
                <w:szCs w:val="20"/>
                <w:color w:val="auto"/>
              </w:rPr>
            </w:pPr>
            <w:r>
              <w:rPr>
                <w:rFonts w:ascii="Arial" w:cs="Arial" w:eastAsia="Arial" w:hAnsi="Arial"/>
                <w:sz w:val="18"/>
                <w:szCs w:val="18"/>
                <w:color w:val="auto"/>
              </w:rPr>
              <w:t>2,856,173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2,980,700</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47,238</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44,181</w:t>
            </w:r>
          </w:p>
        </w:tc>
      </w:tr>
      <w:tr>
        <w:trPr>
          <w:trHeight w:val="216"/>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Eliminations</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(4,319)</w:t>
            </w:r>
          </w:p>
        </w:tc>
      </w:tr>
      <w:tr>
        <w:trPr>
          <w:trHeight w:val="210"/>
        </w:trPr>
        <w:tc>
          <w:tcPr>
            <w:tcW w:w="7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2,900,590</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3,020,562</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right="300" w:firstLine="8"/>
        <w:spacing w:after="0" w:line="291"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March 31, 2019 and December 31, 2018, Corporate and Other included $17.0 million and $9.6 million of capital expenditures relating to the Double E Pipeline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5232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Revenues by reportable segment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38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Three months ended March 31,</w:t>
            </w:r>
          </w:p>
        </w:tc>
      </w:tr>
      <w:tr>
        <w:trPr>
          <w:trHeight w:val="169"/>
        </w:trPr>
        <w:tc>
          <w:tcPr>
            <w:tcW w:w="5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169"/>
        </w:trPr>
        <w:tc>
          <w:tcPr>
            <w:tcW w:w="5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 (1):</w:t>
            </w:r>
          </w:p>
        </w:tc>
        <w:tc>
          <w:tcPr>
            <w:tcW w:w="2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Utica Shale</w:t>
            </w:r>
          </w:p>
        </w:tc>
        <w:tc>
          <w:tcPr>
            <w:tcW w:w="28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7,495</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10,041</w:t>
            </w: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2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34,199</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28,424</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DJ Basin</w:t>
            </w:r>
          </w:p>
        </w:tc>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4,816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3,016</w:t>
            </w: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2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4,619</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Piceance Basin</w:t>
            </w:r>
          </w:p>
        </w:tc>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35,280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38,571</w:t>
            </w: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Barnett Shale</w:t>
            </w:r>
          </w:p>
        </w:tc>
        <w:tc>
          <w:tcPr>
            <w:tcW w:w="2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15,285</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16,170</w:t>
            </w:r>
          </w:p>
        </w:tc>
      </w:tr>
      <w:tr>
        <w:trPr>
          <w:trHeight w:val="216"/>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24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6,197</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7,825</w:t>
            </w:r>
          </w:p>
        </w:tc>
      </w:tr>
      <w:tr>
        <w:trPr>
          <w:trHeight w:val="210"/>
        </w:trPr>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segments revenue</w:t>
            </w:r>
          </w:p>
        </w:tc>
        <w:tc>
          <w:tcPr>
            <w:tcW w:w="24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107,891</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104,047</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Corporate and Other</w:t>
            </w:r>
          </w:p>
        </w:tc>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26,838</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14,176</w:t>
            </w:r>
          </w:p>
        </w:tc>
      </w:tr>
      <w:tr>
        <w:trPr>
          <w:trHeight w:val="216"/>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Eliminations</w:t>
            </w:r>
          </w:p>
        </w:tc>
        <w:tc>
          <w:tcPr>
            <w:tcW w:w="24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(3,321)</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w:t>
            </w:r>
          </w:p>
        </w:tc>
      </w:tr>
      <w:tr>
        <w:trPr>
          <w:trHeight w:val="210"/>
        </w:trPr>
        <w:tc>
          <w:tcPr>
            <w:tcW w:w="538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246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131,408</w:t>
            </w:r>
          </w:p>
        </w:tc>
        <w:tc>
          <w:tcPr>
            <w:tcW w:w="180" w:type="dxa"/>
            <w:vAlign w:val="bottom"/>
          </w:tcPr>
          <w:p>
            <w:pPr>
              <w:spacing w:after="0"/>
              <w:rPr>
                <w:sz w:val="18"/>
                <w:szCs w:val="18"/>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117,320</w:t>
            </w:r>
          </w:p>
        </w:tc>
      </w:tr>
      <w:tr>
        <w:trPr>
          <w:trHeight w:val="20"/>
        </w:trPr>
        <w:tc>
          <w:tcPr>
            <w:tcW w:w="5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revenues earned by Ohio Gathering due to equity method accounting.</w:t>
      </w:r>
    </w:p>
    <w:p>
      <w:pPr>
        <w:spacing w:after="0" w:line="1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Counterparties accounting for more than 10% of total revenues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523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86"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10160</wp:posOffset>
            </wp:positionV>
            <wp:extent cx="22898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49" w:lineRule="exact"/>
        <w:rPr>
          <w:sz w:val="20"/>
          <w:szCs w:val="20"/>
          <w:color w:val="auto"/>
        </w:rPr>
      </w:pPr>
    </w:p>
    <w:p>
      <w:pPr>
        <w:ind w:left="8500"/>
        <w:spacing w:after="0"/>
        <w:tabs>
          <w:tab w:leader="none" w:pos="102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Percentage of total revenues (1):</w:t>
      </w:r>
    </w:p>
    <w:p>
      <w:pPr>
        <w:spacing w:after="0" w:line="10" w:lineRule="exact"/>
        <w:rPr>
          <w:sz w:val="20"/>
          <w:szCs w:val="20"/>
          <w:color w:val="auto"/>
        </w:rPr>
      </w:pPr>
    </w:p>
    <w:p>
      <w:pPr>
        <w:spacing w:after="0"/>
        <w:tabs>
          <w:tab w:leader="none" w:pos="9400" w:val="left"/>
          <w:tab w:leader="none" w:pos="11020" w:val="left"/>
        </w:tabs>
        <w:rPr>
          <w:sz w:val="20"/>
          <w:szCs w:val="20"/>
          <w:color w:val="auto"/>
        </w:rPr>
      </w:pPr>
      <w:r>
        <w:rPr>
          <w:rFonts w:ascii="Arial" w:cs="Arial" w:eastAsia="Arial" w:hAnsi="Arial"/>
          <w:sz w:val="18"/>
          <w:szCs w:val="18"/>
          <w:color w:val="auto"/>
        </w:rPr>
        <w:t>Counterparty A - Piceance Basin</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11%</w:t>
      </w:r>
    </w:p>
    <w:p>
      <w:pPr>
        <w:spacing w:after="0" w:line="127" w:lineRule="exact"/>
        <w:rPr>
          <w:sz w:val="20"/>
          <w:szCs w:val="20"/>
          <w:color w:val="auto"/>
        </w:rPr>
      </w:pPr>
    </w:p>
    <w:p>
      <w:pPr>
        <w:ind w:right="5460" w:firstLine="8"/>
        <w:spacing w:after="0" w:line="291" w:lineRule="auto"/>
        <w:tabs>
          <w:tab w:leader="none" w:pos="243"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revenues earned by Ohio Gathering due to equity method accounting. * Less than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523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5" w:name="page16"/>
    <w:bookmarkEnd w:id="15"/>
    <w:p>
      <w:pPr>
        <w:ind w:right="260"/>
        <w:spacing w:after="0" w:line="276" w:lineRule="auto"/>
        <w:rPr>
          <w:sz w:val="20"/>
          <w:szCs w:val="20"/>
          <w:color w:val="auto"/>
        </w:rPr>
      </w:pPr>
      <w:r>
        <w:rPr>
          <w:rFonts w:ascii="Arial" w:cs="Arial" w:eastAsia="Arial" w:hAnsi="Arial"/>
          <w:sz w:val="18"/>
          <w:szCs w:val="18"/>
          <w:color w:val="auto"/>
        </w:rPr>
        <w:t>Depreciation and amortization, including the amortization expense associated with our favorable and unfavorable gas gathering contracts as reported in other revenues, by reportable segment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69"/>
        </w:trPr>
        <w:tc>
          <w:tcPr>
            <w:tcW w:w="6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4"/>
                <w:szCs w:val="14"/>
                <w:color w:val="auto"/>
              </w:rPr>
            </w:pPr>
          </w:p>
        </w:tc>
      </w:tr>
      <w:tr>
        <w:trPr>
          <w:trHeight w:val="169"/>
        </w:trPr>
        <w:tc>
          <w:tcPr>
            <w:tcW w:w="61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4"/>
                <w:szCs w:val="14"/>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(1):</w:t>
            </w:r>
          </w:p>
        </w:tc>
        <w:tc>
          <w:tcPr>
            <w:tcW w:w="1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Utica Shale</w:t>
            </w:r>
          </w:p>
        </w:tc>
        <w:tc>
          <w:tcPr>
            <w:tcW w:w="2640" w:type="dxa"/>
            <w:vAlign w:val="bottom"/>
            <w:gridSpan w:val="2"/>
          </w:tcPr>
          <w:p>
            <w:pPr>
              <w:jc w:val="right"/>
              <w:ind w:right="80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1,908</w:t>
            </w:r>
          </w:p>
        </w:tc>
        <w:tc>
          <w:tcPr>
            <w:tcW w:w="180" w:type="dxa"/>
            <w:vAlign w:val="bottom"/>
          </w:tcPr>
          <w:p>
            <w:pPr>
              <w:spacing w:after="0"/>
              <w:rPr>
                <w:sz w:val="18"/>
                <w:szCs w:val="18"/>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1,853</w:t>
            </w: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5,436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5,609</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DJ Basin</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799</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781</w:t>
            </w: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1,072</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Piceance Basin</w:t>
            </w:r>
          </w:p>
        </w:tc>
        <w:tc>
          <w:tcPr>
            <w:tcW w:w="1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11,791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11,774</w:t>
            </w: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Barnett Shale (2)</w:t>
            </w:r>
          </w:p>
        </w:tc>
        <w:tc>
          <w:tcPr>
            <w:tcW w:w="1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4,330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3,757</w:t>
            </w:r>
          </w:p>
        </w:tc>
      </w:tr>
      <w:tr>
        <w:trPr>
          <w:trHeight w:val="216"/>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16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2,283</w:t>
            </w:r>
          </w:p>
        </w:tc>
        <w:tc>
          <w:tcPr>
            <w:tcW w:w="1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2,272</w:t>
            </w:r>
          </w:p>
        </w:tc>
      </w:tr>
      <w:tr>
        <w:trPr>
          <w:trHeight w:val="210"/>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 depreciation and amortization</w:t>
            </w:r>
          </w:p>
        </w:tc>
        <w:tc>
          <w:tcPr>
            <w:tcW w:w="16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27,619</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26,046</w:t>
            </w:r>
          </w:p>
        </w:tc>
      </w:tr>
      <w:tr>
        <w:trPr>
          <w:trHeight w:val="216"/>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16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497</w:t>
            </w:r>
          </w:p>
        </w:tc>
        <w:tc>
          <w:tcPr>
            <w:tcW w:w="1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480</w:t>
            </w:r>
          </w:p>
        </w:tc>
      </w:tr>
      <w:tr>
        <w:trPr>
          <w:trHeight w:val="210"/>
        </w:trPr>
        <w:tc>
          <w:tcPr>
            <w:tcW w:w="61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depreciation and amortization</w:t>
            </w:r>
          </w:p>
        </w:tc>
        <w:tc>
          <w:tcPr>
            <w:tcW w:w="16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0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28,116</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26,526</w:t>
            </w:r>
          </w:p>
        </w:tc>
      </w:tr>
      <w:tr>
        <w:trPr>
          <w:trHeight w:val="20"/>
        </w:trPr>
        <w:tc>
          <w:tcPr>
            <w:tcW w:w="6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depreciation and amortization recognized by Ohio Gathering due to equity method accounting.</w:t>
      </w:r>
    </w:p>
    <w:p>
      <w:pPr>
        <w:spacing w:after="0" w:line="34"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the amortization expense associated with our favorable and unfavorable gas gathering contracts as reported in other revenues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523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Cash paid for capital expenditures by reportable segment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69"/>
        </w:trPr>
        <w:tc>
          <w:tcPr>
            <w:tcW w:w="5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4"/>
                <w:szCs w:val="14"/>
                <w:color w:val="auto"/>
              </w:rPr>
            </w:pPr>
          </w:p>
        </w:tc>
      </w:tr>
      <w:tr>
        <w:trPr>
          <w:trHeight w:val="169"/>
        </w:trPr>
        <w:tc>
          <w:tcPr>
            <w:tcW w:w="5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4"/>
                <w:szCs w:val="14"/>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capital expenditures (1):</w:t>
            </w:r>
          </w:p>
        </w:tc>
        <w:tc>
          <w:tcPr>
            <w:tcW w:w="2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Utica Shale</w:t>
            </w:r>
          </w:p>
        </w:tc>
        <w:tc>
          <w:tcPr>
            <w:tcW w:w="3020" w:type="dxa"/>
            <w:vAlign w:val="bottom"/>
            <w:gridSpan w:val="2"/>
          </w:tcPr>
          <w:p>
            <w:pPr>
              <w:jc w:val="right"/>
              <w:ind w:right="80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1,020</w:t>
            </w: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2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8,023</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5,888</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DJ Basin</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28,356</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14,260</w:t>
            </w: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2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7,057</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16,145</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Piceance Basin</w:t>
            </w: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1,226</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2,644</w:t>
            </w: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Barnett Shale (2)</w:t>
            </w:r>
          </w:p>
        </w:tc>
        <w:tc>
          <w:tcPr>
            <w:tcW w:w="2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w:t>
            </w:r>
          </w:p>
        </w:tc>
      </w:tr>
      <w:tr>
        <w:trPr>
          <w:trHeight w:val="216"/>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204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w:t>
            </w:r>
          </w:p>
        </w:tc>
        <w:tc>
          <w:tcPr>
            <w:tcW w:w="1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487</w:t>
            </w:r>
          </w:p>
        </w:tc>
      </w:tr>
      <w:tr>
        <w:trPr>
          <w:trHeight w:val="21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 capital expenditures</w:t>
            </w:r>
          </w:p>
        </w:tc>
        <w:tc>
          <w:tcPr>
            <w:tcW w:w="20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44,747</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40,481</w:t>
            </w:r>
          </w:p>
        </w:tc>
      </w:tr>
      <w:tr>
        <w:trPr>
          <w:trHeight w:val="216"/>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204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16,101</w:t>
            </w:r>
          </w:p>
        </w:tc>
        <w:tc>
          <w:tcPr>
            <w:tcW w:w="18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297</w:t>
            </w:r>
          </w:p>
        </w:tc>
      </w:tr>
      <w:tr>
        <w:trPr>
          <w:trHeight w:val="210"/>
        </w:trPr>
        <w:tc>
          <w:tcPr>
            <w:tcW w:w="58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cash paid for capital expenditures</w:t>
            </w:r>
          </w:p>
        </w:tc>
        <w:tc>
          <w:tcPr>
            <w:tcW w:w="204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80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60,848</w:t>
            </w:r>
          </w:p>
        </w:tc>
        <w:tc>
          <w:tcPr>
            <w:tcW w:w="1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40,778</w:t>
            </w:r>
          </w:p>
        </w:tc>
      </w:tr>
      <w:tr>
        <w:trPr>
          <w:trHeight w:val="20"/>
        </w:trPr>
        <w:tc>
          <w:tcPr>
            <w:tcW w:w="58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cash paid for capital expenditures by Ohio Gathering due to equity method accounting.</w:t>
      </w:r>
    </w:p>
    <w:p>
      <w:pPr>
        <w:spacing w:after="0" w:line="25" w:lineRule="exact"/>
        <w:rPr>
          <w:rFonts w:ascii="Arial" w:cs="Arial" w:eastAsia="Arial" w:hAnsi="Arial"/>
          <w:sz w:val="16"/>
          <w:szCs w:val="16"/>
          <w:color w:val="auto"/>
        </w:rPr>
      </w:pP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For the three months ended March 31, 2019, the amount includes vendor reimbursements of $1.1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523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68"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During the three months ended March 31, 2019, Corporate and Other included cash paid of $0.3 million for corporate purposes; the remainder represents capital expenditures relating to the Double E Pipeline Project.</w:t>
      </w:r>
    </w:p>
    <w:p>
      <w:pPr>
        <w:spacing w:after="0" w:line="37"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We assess the performance of our reportable segments based on segment adjusted EBITDA. We define segment adjusted EBITDA as 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unit-based and noncash compensation, (vii) change in the Deferred Purchase Price Obligation fair value, (viii) impairments and (ix) other noncash expenses or losses, less other noncash income or gains. We define proportional adjusted EBITDA for our equity method investees as the product of (i) total revenues less total expenses, excluding impairments and other noncash income or expense items and (ii) amortization for deferred contract costs; multiplied by our ownership interest in Ohio Gathering during the respective period.</w:t>
      </w:r>
    </w:p>
    <w:p>
      <w:pPr>
        <w:spacing w:after="0" w:line="71"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For the purpose of evaluating segment performance, we exclude the effect of Corporate and Other revenues and expenses, such as certain general and administrative expenses (including compensation-related expenses and professional services fees), natural gas and crude oil marketing services, transaction costs, interest expense, change in the Deferred Purchase Price Obligation fair value and income tax expense or benefit from segment adjusted EBITDA.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Segment adjusted EBITDA by reportable segment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69"/>
        </w:trPr>
        <w:tc>
          <w:tcPr>
            <w:tcW w:w="6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4"/>
                <w:szCs w:val="14"/>
                <w:color w:val="auto"/>
              </w:rPr>
            </w:pPr>
          </w:p>
        </w:tc>
      </w:tr>
      <w:tr>
        <w:trPr>
          <w:trHeight w:val="169"/>
        </w:trPr>
        <w:tc>
          <w:tcPr>
            <w:tcW w:w="6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8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4"/>
                <w:szCs w:val="14"/>
                <w:color w:val="auto"/>
              </w:rPr>
            </w:pPr>
          </w:p>
        </w:tc>
      </w:tr>
      <w:tr>
        <w:trPr>
          <w:trHeight w:val="216"/>
        </w:trPr>
        <w:tc>
          <w:tcPr>
            <w:tcW w:w="6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1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Utica Shale</w:t>
            </w:r>
          </w:p>
        </w:tc>
        <w:tc>
          <w:tcPr>
            <w:tcW w:w="2580" w:type="dxa"/>
            <w:vAlign w:val="bottom"/>
            <w:gridSpan w:val="2"/>
          </w:tcPr>
          <w:p>
            <w:pPr>
              <w:jc w:val="right"/>
              <w:ind w:right="80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6,193</w:t>
            </w:r>
          </w:p>
        </w:tc>
        <w:tc>
          <w:tcPr>
            <w:tcW w:w="180" w:type="dxa"/>
            <w:vAlign w:val="bottom"/>
          </w:tcPr>
          <w:p>
            <w:pPr>
              <w:spacing w:after="0"/>
              <w:rPr>
                <w:sz w:val="18"/>
                <w:szCs w:val="18"/>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8,715</w:t>
            </w:r>
          </w:p>
        </w:tc>
      </w:tr>
      <w:tr>
        <w:trPr>
          <w:trHeight w:val="21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1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9,210</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10,477</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Williston Basin</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18,734</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15,970</w:t>
            </w:r>
          </w:p>
        </w:tc>
      </w:tr>
      <w:tr>
        <w:trPr>
          <w:trHeight w:val="21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1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2,673</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1,321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Permian Basin</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1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25,999</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27,914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Barnett Shale</w:t>
            </w: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11,374</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9,859</w:t>
            </w:r>
          </w:p>
        </w:tc>
      </w:tr>
      <w:tr>
        <w:trPr>
          <w:trHeight w:val="216"/>
        </w:trPr>
        <w:tc>
          <w:tcPr>
            <w:tcW w:w="624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16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5,142</w:t>
            </w:r>
          </w:p>
        </w:tc>
        <w:tc>
          <w:tcPr>
            <w:tcW w:w="1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6,676</w:t>
            </w:r>
          </w:p>
        </w:tc>
      </w:tr>
      <w:tr>
        <w:trPr>
          <w:trHeight w:val="210"/>
        </w:trPr>
        <w:tc>
          <w:tcPr>
            <w:tcW w:w="6240" w:type="dxa"/>
            <w:vAlign w:val="bottom"/>
          </w:tcPr>
          <w:p>
            <w:pPr>
              <w:ind w:left="260"/>
              <w:spacing w:after="0"/>
              <w:rPr>
                <w:sz w:val="20"/>
                <w:szCs w:val="20"/>
                <w:color w:val="auto"/>
              </w:rPr>
            </w:pPr>
            <w:r>
              <w:rPr>
                <w:rFonts w:ascii="Arial" w:cs="Arial" w:eastAsia="Arial" w:hAnsi="Arial"/>
                <w:sz w:val="18"/>
                <w:szCs w:val="18"/>
                <w:color w:val="auto"/>
              </w:rPr>
              <w:t>Total of reportable segments' measures of profit or loss</w:t>
            </w:r>
          </w:p>
        </w:tc>
        <w:tc>
          <w:tcPr>
            <w:tcW w:w="1600" w:type="dxa"/>
            <w:vAlign w:val="bottom"/>
          </w:tcPr>
          <w:p>
            <w:pPr>
              <w:spacing w:after="0"/>
              <w:rPr>
                <w:sz w:val="18"/>
                <w:szCs w:val="18"/>
                <w:color w:val="auto"/>
              </w:rPr>
            </w:pPr>
          </w:p>
        </w:tc>
        <w:tc>
          <w:tcPr>
            <w:tcW w:w="980" w:type="dxa"/>
            <w:vAlign w:val="bottom"/>
            <w:tcBorders>
              <w:bottom w:val="single" w:sz="8" w:color="auto"/>
            </w:tcBorders>
          </w:tcPr>
          <w:p>
            <w:pPr>
              <w:jc w:val="right"/>
              <w:ind w:right="80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78,775</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80,932</w:t>
            </w:r>
          </w:p>
        </w:tc>
      </w:tr>
      <w:tr>
        <w:trPr>
          <w:trHeight w:val="20"/>
        </w:trPr>
        <w:tc>
          <w:tcPr>
            <w:tcW w:w="6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color w:val="auto"/>
        </w:rPr>
        <w:t>A reconciliation of income or loss before income taxes and income or loss from equity method investees to total of reportable segments' measures of profit or loss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69"/>
        </w:trPr>
        <w:tc>
          <w:tcPr>
            <w:tcW w:w="6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4"/>
                <w:szCs w:val="14"/>
                <w:color w:val="auto"/>
              </w:rPr>
            </w:pPr>
          </w:p>
        </w:tc>
      </w:tr>
      <w:tr>
        <w:trPr>
          <w:trHeight w:val="169"/>
        </w:trPr>
        <w:tc>
          <w:tcPr>
            <w:tcW w:w="6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00" w:type="dxa"/>
            <w:vAlign w:val="bottom"/>
            <w:gridSpan w:val="3"/>
          </w:tcPr>
          <w:p>
            <w:pPr>
              <w:jc w:val="right"/>
              <w:ind w:right="556"/>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4"/>
                <w:szCs w:val="14"/>
                <w:color w:val="auto"/>
              </w:rPr>
            </w:pPr>
          </w:p>
        </w:tc>
      </w:tr>
      <w:tr>
        <w:trPr>
          <w:trHeight w:val="191"/>
        </w:trPr>
        <w:tc>
          <w:tcPr>
            <w:tcW w:w="610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Reconciliation of loss before income taxes and</w:t>
            </w:r>
          </w:p>
        </w:tc>
        <w:tc>
          <w:tcPr>
            <w:tcW w:w="17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b w:val="1"/>
                <w:bCs w:val="1"/>
                <w:color w:val="auto"/>
              </w:rPr>
              <w:t>loss from equity method investees to total</w:t>
            </w:r>
          </w:p>
        </w:tc>
        <w:tc>
          <w:tcPr>
            <w:tcW w:w="17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r>
      <w:tr>
        <w:trPr>
          <w:trHeight w:val="227"/>
        </w:trPr>
        <w:tc>
          <w:tcPr>
            <w:tcW w:w="61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of reportable segments' measures of profit:</w:t>
            </w:r>
          </w:p>
        </w:tc>
        <w:tc>
          <w:tcPr>
            <w:tcW w:w="17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193"/>
        </w:trPr>
        <w:tc>
          <w:tcPr>
            <w:tcW w:w="6100" w:type="dxa"/>
            <w:vAlign w:val="bottom"/>
          </w:tcPr>
          <w:p>
            <w:pPr>
              <w:spacing w:after="0" w:line="194" w:lineRule="exact"/>
              <w:rPr>
                <w:sz w:val="20"/>
                <w:szCs w:val="20"/>
                <w:color w:val="auto"/>
              </w:rPr>
            </w:pPr>
            <w:r>
              <w:rPr>
                <w:rFonts w:ascii="Arial" w:cs="Arial" w:eastAsia="Arial" w:hAnsi="Arial"/>
                <w:sz w:val="18"/>
                <w:szCs w:val="18"/>
                <w:color w:val="auto"/>
              </w:rPr>
              <w:t>Loss before income taxes and loss</w:t>
            </w: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5"/>
        </w:trPr>
        <w:tc>
          <w:tcPr>
            <w:tcW w:w="6100" w:type="dxa"/>
            <w:vAlign w:val="bottom"/>
          </w:tcPr>
          <w:p>
            <w:pPr>
              <w:ind w:left="200"/>
              <w:spacing w:after="0"/>
              <w:rPr>
                <w:sz w:val="20"/>
                <w:szCs w:val="20"/>
                <w:color w:val="auto"/>
              </w:rPr>
            </w:pPr>
            <w:r>
              <w:rPr>
                <w:rFonts w:ascii="Arial" w:cs="Arial" w:eastAsia="Arial" w:hAnsi="Arial"/>
                <w:sz w:val="18"/>
                <w:szCs w:val="18"/>
                <w:color w:val="auto"/>
              </w:rPr>
              <w:t>from equity method investees</w:t>
            </w:r>
          </w:p>
        </w:tc>
        <w:tc>
          <w:tcPr>
            <w:tcW w:w="270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(36,266)</w:t>
            </w:r>
          </w:p>
        </w:tc>
        <w:tc>
          <w:tcPr>
            <w:tcW w:w="180" w:type="dxa"/>
            <w:vAlign w:val="bottom"/>
          </w:tcPr>
          <w:p>
            <w:pPr>
              <w:spacing w:after="0"/>
              <w:rPr>
                <w:sz w:val="19"/>
                <w:szCs w:val="19"/>
                <w:color w:val="auto"/>
              </w:rPr>
            </w:pPr>
          </w:p>
        </w:tc>
        <w:tc>
          <w:tcPr>
            <w:tcW w:w="1000" w:type="dxa"/>
            <w:vAlign w:val="bottom"/>
          </w:tcPr>
          <w:p>
            <w:pPr>
              <w:jc w:val="right"/>
              <w:ind w:right="81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(5,402)</w:t>
            </w:r>
          </w:p>
        </w:tc>
      </w:tr>
      <w:tr>
        <w:trPr>
          <w:trHeight w:val="216"/>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1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r>
      <w:tr>
        <w:trPr>
          <w:trHeight w:val="216"/>
        </w:trPr>
        <w:tc>
          <w:tcPr>
            <w:tcW w:w="6100" w:type="dxa"/>
            <w:vAlign w:val="bottom"/>
          </w:tcPr>
          <w:p>
            <w:pPr>
              <w:ind w:left="140"/>
              <w:spacing w:after="0"/>
              <w:rPr>
                <w:sz w:val="20"/>
                <w:szCs w:val="20"/>
                <w:color w:val="auto"/>
              </w:rPr>
            </w:pPr>
            <w:r>
              <w:rPr>
                <w:rFonts w:ascii="Arial" w:cs="Arial" w:eastAsia="Arial" w:hAnsi="Arial"/>
                <w:sz w:val="18"/>
                <w:szCs w:val="18"/>
                <w:color w:val="auto"/>
              </w:rPr>
              <w:t>Corporate and Other expense</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14,159</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10,623</w:t>
            </w:r>
          </w:p>
        </w:tc>
      </w:tr>
      <w:tr>
        <w:trPr>
          <w:trHeight w:val="216"/>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17,527</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15,122</w:t>
            </w:r>
          </w:p>
        </w:tc>
      </w:tr>
      <w:tr>
        <w:trPr>
          <w:trHeight w:val="216"/>
        </w:trPr>
        <w:tc>
          <w:tcPr>
            <w:tcW w:w="6100" w:type="dxa"/>
            <w:vAlign w:val="bottom"/>
          </w:tcPr>
          <w:p>
            <w:pPr>
              <w:ind w:left="140"/>
              <w:spacing w:after="0"/>
              <w:rPr>
                <w:sz w:val="20"/>
                <w:szCs w:val="20"/>
                <w:color w:val="auto"/>
              </w:rPr>
            </w:pPr>
            <w:r>
              <w:rPr>
                <w:rFonts w:ascii="Arial" w:cs="Arial" w:eastAsia="Arial" w:hAnsi="Arial"/>
                <w:sz w:val="18"/>
                <w:szCs w:val="18"/>
                <w:color w:val="auto"/>
              </w:rPr>
              <w:t>Deferred Purchase Price Obligation</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4,427</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21,658</w:t>
            </w:r>
          </w:p>
        </w:tc>
      </w:tr>
      <w:tr>
        <w:trPr>
          <w:trHeight w:val="216"/>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28,116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26,526</w:t>
            </w:r>
          </w:p>
        </w:tc>
      </w:tr>
      <w:tr>
        <w:trPr>
          <w:trHeight w:val="193"/>
        </w:trPr>
        <w:tc>
          <w:tcPr>
            <w:tcW w:w="6100" w:type="dxa"/>
            <w:vAlign w:val="bottom"/>
          </w:tcPr>
          <w:p>
            <w:pPr>
              <w:ind w:left="140"/>
              <w:spacing w:after="0" w:line="194" w:lineRule="exact"/>
              <w:rPr>
                <w:sz w:val="20"/>
                <w:szCs w:val="20"/>
                <w:color w:val="auto"/>
              </w:rPr>
            </w:pPr>
            <w:r>
              <w:rPr>
                <w:rFonts w:ascii="Arial" w:cs="Arial" w:eastAsia="Arial" w:hAnsi="Arial"/>
                <w:sz w:val="18"/>
                <w:szCs w:val="18"/>
                <w:color w:val="auto"/>
              </w:rPr>
              <w:t>Proportional adjusted EBITDA for equity method</w:t>
            </w:r>
          </w:p>
        </w:tc>
        <w:tc>
          <w:tcPr>
            <w:tcW w:w="1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25"/>
        </w:trPr>
        <w:tc>
          <w:tcPr>
            <w:tcW w:w="6100" w:type="dxa"/>
            <w:vAlign w:val="bottom"/>
          </w:tcPr>
          <w:p>
            <w:pPr>
              <w:ind w:left="280"/>
              <w:spacing w:after="0"/>
              <w:rPr>
                <w:sz w:val="20"/>
                <w:szCs w:val="20"/>
                <w:color w:val="auto"/>
              </w:rPr>
            </w:pPr>
            <w:r>
              <w:rPr>
                <w:rFonts w:ascii="Arial" w:cs="Arial" w:eastAsia="Arial" w:hAnsi="Arial"/>
                <w:sz w:val="18"/>
                <w:szCs w:val="18"/>
                <w:color w:val="auto"/>
              </w:rPr>
              <w:t>investees</w:t>
            </w:r>
          </w:p>
        </w:tc>
        <w:tc>
          <w:tcPr>
            <w:tcW w:w="1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9,210</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10,477</w:t>
            </w:r>
          </w:p>
        </w:tc>
      </w:tr>
      <w:tr>
        <w:trPr>
          <w:trHeight w:val="216"/>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MVC shortfall payments</w:t>
            </w:r>
          </w:p>
        </w:tc>
        <w:tc>
          <w:tcPr>
            <w:tcW w:w="1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6"/>
        </w:trPr>
        <w:tc>
          <w:tcPr>
            <w:tcW w:w="6100" w:type="dxa"/>
            <w:vAlign w:val="bottom"/>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(715)</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40</w:t>
            </w:r>
          </w:p>
        </w:tc>
      </w:tr>
      <w:tr>
        <w:trPr>
          <w:trHeight w:val="216"/>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Unit-based and noncash compensation</w:t>
            </w:r>
          </w:p>
        </w:tc>
        <w:tc>
          <w:tcPr>
            <w:tcW w:w="1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2,526</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1,962</w:t>
            </w:r>
          </w:p>
        </w:tc>
      </w:tr>
      <w:tr>
        <w:trPr>
          <w:trHeight w:val="216"/>
        </w:trPr>
        <w:tc>
          <w:tcPr>
            <w:tcW w:w="610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(961)</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74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44,951</w:t>
            </w:r>
          </w:p>
        </w:tc>
        <w:tc>
          <w:tcPr>
            <w:tcW w:w="18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r>
      <w:tr>
        <w:trPr>
          <w:trHeight w:val="210"/>
        </w:trPr>
        <w:tc>
          <w:tcPr>
            <w:tcW w:w="6100" w:type="dxa"/>
            <w:vAlign w:val="bottom"/>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1740" w:type="dxa"/>
            <w:vAlign w:val="bottom"/>
          </w:tcPr>
          <w:p>
            <w:pPr>
              <w:spacing w:after="0"/>
              <w:rPr>
                <w:sz w:val="18"/>
                <w:szCs w:val="18"/>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78,775</w:t>
            </w:r>
          </w:p>
        </w:tc>
        <w:tc>
          <w:tcPr>
            <w:tcW w:w="180" w:type="dxa"/>
            <w:vAlign w:val="bottom"/>
          </w:tcPr>
          <w:p>
            <w:pPr>
              <w:spacing w:after="0"/>
              <w:rPr>
                <w:sz w:val="18"/>
                <w:szCs w:val="18"/>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80,932</w:t>
            </w:r>
          </w:p>
        </w:tc>
      </w:tr>
      <w:tr>
        <w:trPr>
          <w:trHeight w:val="20"/>
        </w:trPr>
        <w:tc>
          <w:tcPr>
            <w:tcW w:w="6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right="500"/>
        <w:spacing w:after="0" w:line="255" w:lineRule="auto"/>
        <w:rPr>
          <w:sz w:val="20"/>
          <w:szCs w:val="20"/>
          <w:color w:val="auto"/>
        </w:rPr>
      </w:pPr>
      <w:r>
        <w:rPr>
          <w:rFonts w:ascii="Arial" w:cs="Arial" w:eastAsia="Arial" w:hAnsi="Arial"/>
          <w:sz w:val="18"/>
          <w:szCs w:val="18"/>
          <w:color w:val="auto"/>
        </w:rPr>
        <w:t>Adjustments related to MVC shortfall payments are recognized in gathering services and related fees (see Note 3). Contributions in aid of construction are recognized over the remaining term of the respective contract. We include adjustments related to capital reimbursement activity in our calculation of segment adjusted EBITDA to account for revenue recognized from contributions in aid of construction.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Adjustments related to MVC shortfall payments by reportable segment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4"/>
          </w:tcPr>
          <w:p>
            <w:pPr>
              <w:jc w:val="right"/>
              <w:ind w:right="62"/>
              <w:spacing w:after="0"/>
              <w:rPr>
                <w:sz w:val="20"/>
                <w:szCs w:val="20"/>
                <w:color w:val="auto"/>
              </w:rPr>
            </w:pPr>
            <w:r>
              <w:rPr>
                <w:rFonts w:ascii="Arial" w:cs="Arial" w:eastAsia="Arial" w:hAnsi="Arial"/>
                <w:sz w:val="14"/>
                <w:szCs w:val="14"/>
                <w:b w:val="1"/>
                <w:bCs w:val="1"/>
                <w:color w:val="auto"/>
              </w:rPr>
              <w:t>Three months ended March 31, 2019</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54"/>
        </w:trPr>
        <w:tc>
          <w:tcPr>
            <w:tcW w:w="59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center"/>
              <w:ind w:right="264"/>
              <w:spacing w:after="0" w:line="154" w:lineRule="exact"/>
              <w:rPr>
                <w:sz w:val="20"/>
                <w:szCs w:val="20"/>
                <w:color w:val="auto"/>
              </w:rPr>
            </w:pPr>
            <w:r>
              <w:rPr>
                <w:rFonts w:ascii="Arial" w:cs="Arial" w:eastAsia="Arial" w:hAnsi="Arial"/>
                <w:sz w:val="14"/>
                <w:szCs w:val="14"/>
                <w:b w:val="1"/>
                <w:bCs w:val="1"/>
                <w:color w:val="auto"/>
              </w:rPr>
              <w:t>Piceance</w:t>
            </w:r>
          </w:p>
        </w:tc>
        <w:tc>
          <w:tcPr>
            <w:tcW w:w="300" w:type="dxa"/>
            <w:vAlign w:val="bottom"/>
          </w:tcPr>
          <w:p>
            <w:pPr>
              <w:spacing w:after="0"/>
              <w:rPr>
                <w:sz w:val="13"/>
                <w:szCs w:val="13"/>
                <w:color w:val="auto"/>
              </w:rPr>
            </w:pPr>
          </w:p>
        </w:tc>
        <w:tc>
          <w:tcPr>
            <w:tcW w:w="1060" w:type="dxa"/>
            <w:vAlign w:val="bottom"/>
          </w:tcPr>
          <w:p>
            <w:pPr>
              <w:jc w:val="center"/>
              <w:ind w:right="242"/>
              <w:spacing w:after="0" w:line="154" w:lineRule="exact"/>
              <w:rPr>
                <w:sz w:val="20"/>
                <w:szCs w:val="20"/>
                <w:color w:val="auto"/>
              </w:rPr>
            </w:pPr>
            <w:r>
              <w:rPr>
                <w:rFonts w:ascii="Arial" w:cs="Arial" w:eastAsia="Arial" w:hAnsi="Arial"/>
                <w:sz w:val="14"/>
                <w:szCs w:val="14"/>
                <w:b w:val="1"/>
                <w:bCs w:val="1"/>
                <w:color w:val="auto"/>
              </w:rPr>
              <w:t>Barnett</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7"/>
        </w:trPr>
        <w:tc>
          <w:tcPr>
            <w:tcW w:w="5920" w:type="dxa"/>
            <w:vAlign w:val="bottom"/>
          </w:tcPr>
          <w:p>
            <w:pPr>
              <w:spacing w:after="0"/>
              <w:rPr>
                <w:sz w:val="15"/>
                <w:szCs w:val="15"/>
                <w:color w:val="auto"/>
              </w:rPr>
            </w:pPr>
          </w:p>
        </w:tc>
        <w:tc>
          <w:tcPr>
            <w:tcW w:w="1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4"/>
                <w:szCs w:val="14"/>
                <w:b w:val="1"/>
                <w:bCs w:val="1"/>
                <w:color w:val="auto"/>
              </w:rPr>
              <w:t>Williston Basin</w:t>
            </w: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4"/>
              <w:spacing w:after="0"/>
              <w:rPr>
                <w:sz w:val="20"/>
                <w:szCs w:val="20"/>
                <w:color w:val="auto"/>
              </w:rPr>
            </w:pPr>
            <w:r>
              <w:rPr>
                <w:rFonts w:ascii="Arial" w:cs="Arial" w:eastAsia="Arial" w:hAnsi="Arial"/>
                <w:sz w:val="14"/>
                <w:szCs w:val="14"/>
                <w:b w:val="1"/>
                <w:bCs w:val="1"/>
                <w:color w:val="auto"/>
              </w:rPr>
              <w:t>Basin</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42"/>
              <w:spacing w:after="0"/>
              <w:rPr>
                <w:sz w:val="20"/>
                <w:szCs w:val="20"/>
                <w:color w:val="auto"/>
              </w:rPr>
            </w:pPr>
            <w:r>
              <w:rPr>
                <w:rFonts w:ascii="Arial" w:cs="Arial" w:eastAsia="Arial" w:hAnsi="Arial"/>
                <w:sz w:val="14"/>
                <w:szCs w:val="14"/>
                <w:b w:val="1"/>
                <w:bCs w:val="1"/>
                <w:color w:val="auto"/>
              </w:rPr>
              <w:t>Shale</w:t>
            </w:r>
          </w:p>
        </w:tc>
        <w:tc>
          <w:tcPr>
            <w:tcW w:w="4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r>
      <w:tr>
        <w:trPr>
          <w:trHeight w:val="169"/>
        </w:trPr>
        <w:tc>
          <w:tcPr>
            <w:tcW w:w="5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3"/>
          </w:tcPr>
          <w:p>
            <w:pPr>
              <w:ind w:left="62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(5,549)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620"/>
              <w:spacing w:after="0"/>
              <w:rPr>
                <w:sz w:val="20"/>
                <w:szCs w:val="20"/>
                <w:color w:val="auto"/>
              </w:rPr>
            </w:pPr>
            <w:r>
              <w:rPr>
                <w:rFonts w:ascii="Arial" w:cs="Arial" w:eastAsia="Arial" w:hAnsi="Arial"/>
                <w:sz w:val="18"/>
                <w:szCs w:val="18"/>
                <w:color w:val="auto"/>
              </w:rPr>
              <w:t>(103)</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1,453</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adjustments related to MVC shortfall payments for the three months ended March 31, 2018.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5. PROPERTY, PLANT AND EQUIPMENT, NET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Details on property, plant and equipment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gridSpan w:val="4"/>
          </w:tcPr>
          <w:p>
            <w:pPr>
              <w:jc w:val="right"/>
              <w:ind w:right="137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Gathering and processing systems and related equipment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2,025,055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2,155,325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169,987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137,920</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Land and line fill</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9,834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11,748</w:t>
            </w:r>
          </w:p>
        </w:tc>
      </w:tr>
      <w:tr>
        <w:trPr>
          <w:trHeight w:val="216"/>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53,873</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45,853</w:t>
            </w:r>
          </w:p>
        </w:tc>
      </w:tr>
      <w:tr>
        <w:trPr>
          <w:trHeight w:val="210"/>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2,258,749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2,350,846</w:t>
            </w:r>
          </w:p>
        </w:tc>
      </w:tr>
      <w:tr>
        <w:trPr>
          <w:trHeight w:val="216"/>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384,820</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387,133</w:t>
            </w:r>
          </w:p>
        </w:tc>
      </w:tr>
      <w:tr>
        <w:trPr>
          <w:trHeight w:val="210"/>
        </w:trPr>
        <w:tc>
          <w:tcPr>
            <w:tcW w:w="7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1,873,929</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1,963,713</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March 2019, certain events, facts and circumstances occurred which indicated that certain long-lived assets in the DJ Basin and Barnett Shale reporting segments could be impaired. Consequently, we performed a recoverability assessment of certain assets within these reporting segments.</w:t>
      </w:r>
    </w:p>
    <w:p>
      <w:pPr>
        <w:spacing w:after="0" w:line="56"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In the DJ Basin, we determined that certain processing plant assets related to our existing 20 MMcf/d plant would no longer be utilized due to our expansion plans for the Niobrara G&amp;P system. Based on the results of the recoverability assessment and the conclusion that the carrying value was not fully recoverable, we recorded an impairment charge of $34.7 million related to these assets.</w:t>
      </w:r>
    </w:p>
    <w:p>
      <w:pPr>
        <w:spacing w:after="0" w:line="56"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In the Barnett Shale, we determined certain compressor station assets would be shut down and decommissioned beginning in the second quarter of 2019. As a result, we recorded an impairment charge of $9.7 million related to these assets. See Note 6 for additional details.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and capitalized interest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860" w:type="dxa"/>
            <w:vAlign w:val="bottom"/>
            <w:tcBorders>
              <w:bottom w:val="single" w:sz="8" w:color="auto"/>
            </w:tcBorders>
            <w:gridSpan w:val="3"/>
          </w:tcPr>
          <w:p>
            <w:pPr>
              <w:jc w:val="center"/>
              <w:ind w:left="508"/>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5"/>
                <w:szCs w:val="15"/>
                <w:color w:val="auto"/>
              </w:rPr>
            </w:pPr>
          </w:p>
        </w:tc>
      </w:tr>
      <w:tr>
        <w:trPr>
          <w:trHeight w:val="169"/>
        </w:trPr>
        <w:tc>
          <w:tcPr>
            <w:tcW w:w="48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4"/>
                <w:szCs w:val="14"/>
                <w:color w:val="auto"/>
              </w:rPr>
            </w:pPr>
          </w:p>
        </w:tc>
      </w:tr>
      <w:tr>
        <w:trPr>
          <w:trHeight w:val="210"/>
        </w:trPr>
        <w:tc>
          <w:tcPr>
            <w:tcW w:w="48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8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40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19,783</w:t>
            </w:r>
          </w:p>
        </w:tc>
        <w:tc>
          <w:tcPr>
            <w:tcW w:w="114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18,557</w:t>
            </w:r>
          </w:p>
        </w:tc>
      </w:tr>
      <w:tr>
        <w:trPr>
          <w:trHeight w:val="243"/>
        </w:trPr>
        <w:tc>
          <w:tcPr>
            <w:tcW w:w="4800" w:type="dxa"/>
            <w:vAlign w:val="bottom"/>
          </w:tcPr>
          <w:p>
            <w:pPr>
              <w:spacing w:after="0"/>
              <w:rPr>
                <w:sz w:val="20"/>
                <w:szCs w:val="20"/>
                <w:color w:val="auto"/>
              </w:rPr>
            </w:pPr>
            <w:r>
              <w:rPr>
                <w:rFonts w:ascii="Arial" w:cs="Arial" w:eastAsia="Arial" w:hAnsi="Arial"/>
                <w:sz w:val="18"/>
                <w:szCs w:val="18"/>
                <w:color w:val="auto"/>
              </w:rPr>
              <w:t>Capitalized interest</w:t>
            </w:r>
          </w:p>
        </w:tc>
        <w:tc>
          <w:tcPr>
            <w:tcW w:w="30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1,915</w:t>
            </w:r>
          </w:p>
        </w:tc>
        <w:tc>
          <w:tcPr>
            <w:tcW w:w="11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1,222</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AMORTIZING INTANGIBLE ASSETS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our intangible assets, all of which are subject to amortization,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1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March 31, 2019</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136"/>
              <w:spacing w:after="0" w:line="154"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1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2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24,195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Contract intangibles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(150,180)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128,268</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25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158,862</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(38,320)</w:t>
            </w: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120,542</w:t>
            </w:r>
          </w:p>
        </w:tc>
        <w:tc>
          <w:tcPr>
            <w:tcW w:w="0" w:type="dxa"/>
            <w:vAlign w:val="bottom"/>
          </w:tcPr>
          <w:p>
            <w:pPr>
              <w:spacing w:after="0"/>
              <w:rPr>
                <w:sz w:val="1"/>
                <w:szCs w:val="1"/>
                <w:color w:val="auto"/>
              </w:rPr>
            </w:pPr>
          </w:p>
        </w:tc>
      </w:tr>
      <w:tr>
        <w:trPr>
          <w:trHeight w:val="210"/>
        </w:trPr>
        <w:tc>
          <w:tcPr>
            <w:tcW w:w="418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461,505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(202,794)</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258,711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418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136"/>
              <w:spacing w:after="0" w:line="154"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jc w:val="center"/>
              <w:ind w:right="380"/>
              <w:spacing w:after="0" w:line="154"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18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2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24,195</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10,290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Contract intangibles</w:t>
            </w: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(143,962)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134,486</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25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166,209</w:t>
            </w:r>
          </w:p>
        </w:tc>
        <w:tc>
          <w:tcPr>
            <w:tcW w:w="1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(37,569)</w:t>
            </w: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128,640</w:t>
            </w:r>
          </w:p>
        </w:tc>
        <w:tc>
          <w:tcPr>
            <w:tcW w:w="0" w:type="dxa"/>
            <w:vAlign w:val="bottom"/>
          </w:tcPr>
          <w:p>
            <w:pPr>
              <w:spacing w:after="0"/>
              <w:rPr>
                <w:sz w:val="1"/>
                <w:szCs w:val="1"/>
                <w:color w:val="auto"/>
              </w:rPr>
            </w:pPr>
          </w:p>
        </w:tc>
      </w:tr>
      <w:tr>
        <w:trPr>
          <w:trHeight w:val="210"/>
        </w:trPr>
        <w:tc>
          <w:tcPr>
            <w:tcW w:w="418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5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468,852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(195,436)</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273,416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580" w:type="dxa"/>
            <w:vAlign w:val="bottom"/>
            <w:vMerge w:val="restart"/>
          </w:tcPr>
          <w:p>
            <w:pPr>
              <w:jc w:val="right"/>
              <w:ind w:right="85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18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180" w:type="dxa"/>
            <w:vAlign w:val="bottom"/>
            <w:tcBorders>
              <w:bottom w:val="single" w:sz="8" w:color="9A9A9A"/>
            </w:tcBorders>
          </w:tcPr>
          <w:p>
            <w:pPr>
              <w:spacing w:after="0"/>
              <w:rPr>
                <w:sz w:val="8"/>
                <w:szCs w:val="8"/>
                <w:color w:val="auto"/>
              </w:rPr>
            </w:pPr>
          </w:p>
        </w:tc>
        <w:tc>
          <w:tcPr>
            <w:tcW w:w="25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18" w:name="page19"/>
    <w:bookmarkEnd w:id="18"/>
    <w:p>
      <w:pPr>
        <w:jc w:val="both"/>
        <w:ind w:right="340"/>
        <w:spacing w:after="0" w:line="248" w:lineRule="auto"/>
        <w:rPr>
          <w:sz w:val="20"/>
          <w:szCs w:val="20"/>
          <w:color w:val="auto"/>
        </w:rPr>
      </w:pPr>
      <w:r>
        <w:rPr>
          <w:rFonts w:ascii="Arial" w:cs="Arial" w:eastAsia="Arial" w:hAnsi="Arial"/>
          <w:sz w:val="18"/>
          <w:szCs w:val="18"/>
          <w:color w:val="auto"/>
        </w:rPr>
        <w:t>In March 2019, certain events, facts and circumstances occurred which indicated that certain long-lived assets relating to the Barnett Shale reporting segment could be impaired (see Note 5). In connection with this evaluation, we evaluated the related intangible assets associated therewith for impairment consisting of rights-of-way intangible assets. We concluded the rights-of-way intangible assets were also impaired and, as a result, we recorded an impairment charge of $0.5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recognized amortization expense in other revenues as follows:</w:t>
      </w:r>
    </w:p>
    <w:p>
      <w:pPr>
        <w:spacing w:after="0" w:line="206"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10160</wp:posOffset>
            </wp:positionV>
            <wp:extent cx="22726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1" w:lineRule="exact"/>
        <w:rPr>
          <w:sz w:val="20"/>
          <w:szCs w:val="20"/>
          <w:color w:val="auto"/>
        </w:rPr>
      </w:pPr>
    </w:p>
    <w:p>
      <w:pPr>
        <w:ind w:left="8460"/>
        <w:spacing w:after="0"/>
        <w:tabs>
          <w:tab w:leader="none" w:pos="103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1905</wp:posOffset>
            </wp:positionV>
            <wp:extent cx="22726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5"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favorable gas gathering contracts</w:t>
            </w:r>
          </w:p>
        </w:tc>
        <w:tc>
          <w:tcPr>
            <w:tcW w:w="212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(389)</w:t>
            </w:r>
          </w:p>
        </w:tc>
        <w:tc>
          <w:tcPr>
            <w:tcW w:w="11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w:t>
            </w:r>
          </w:p>
        </w:tc>
      </w:tr>
      <w:tr>
        <w:trPr>
          <w:trHeight w:val="342"/>
        </w:trPr>
        <w:tc>
          <w:tcPr>
            <w:tcW w:w="6760" w:type="dxa"/>
            <w:vAlign w:val="bottom"/>
          </w:tcPr>
          <w:p>
            <w:pPr>
              <w:spacing w:after="0"/>
              <w:rPr>
                <w:sz w:val="20"/>
                <w:szCs w:val="20"/>
                <w:color w:val="auto"/>
              </w:rPr>
            </w:pPr>
            <w:r>
              <w:rPr>
                <w:rFonts w:ascii="Arial" w:cs="Arial" w:eastAsia="Arial" w:hAnsi="Arial"/>
                <w:sz w:val="18"/>
                <w:szCs w:val="18"/>
                <w:color w:val="auto"/>
              </w:rPr>
              <w:t>We recognized amortization expense in costs and expenses as follows:</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47"/>
        </w:trPr>
        <w:tc>
          <w:tcPr>
            <w:tcW w:w="6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0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24"/>
                <w:szCs w:val="24"/>
                <w:color w:val="auto"/>
              </w:rPr>
            </w:pPr>
          </w:p>
        </w:tc>
      </w:tr>
      <w:tr>
        <w:trPr>
          <w:trHeight w:val="169"/>
        </w:trPr>
        <w:tc>
          <w:tcPr>
            <w:tcW w:w="6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4"/>
                <w:szCs w:val="14"/>
                <w:color w:val="auto"/>
              </w:rPr>
            </w:pPr>
          </w:p>
        </w:tc>
      </w:tr>
      <w:tr>
        <w:trPr>
          <w:trHeight w:val="210"/>
        </w:trPr>
        <w:tc>
          <w:tcPr>
            <w:tcW w:w="6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60" w:type="dxa"/>
            <w:vAlign w:val="bottom"/>
            <w:gridSpan w:val="2"/>
          </w:tcPr>
          <w:p>
            <w:pPr>
              <w:jc w:val="right"/>
              <w:ind w:right="596"/>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contract intangibles</w:t>
            </w:r>
          </w:p>
        </w:tc>
        <w:tc>
          <w:tcPr>
            <w:tcW w:w="2120" w:type="dxa"/>
            <w:vAlign w:val="bottom"/>
            <w:gridSpan w:val="2"/>
            <w:shd w:val="clear" w:color="auto" w:fill="CFF0FC"/>
          </w:tcPr>
          <w:p>
            <w:pPr>
              <w:jc w:val="right"/>
              <w:ind w:right="86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6,397</w:t>
            </w:r>
          </w:p>
        </w:tc>
        <w:tc>
          <w:tcPr>
            <w:tcW w:w="1140" w:type="dxa"/>
            <w:vAlign w:val="bottom"/>
            <w:shd w:val="clear" w:color="auto" w:fill="CFF0FC"/>
          </w:tcPr>
          <w:p>
            <w:pPr>
              <w:jc w:val="right"/>
              <w:ind w:right="856"/>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6,535</w:t>
            </w:r>
          </w:p>
        </w:tc>
      </w:tr>
      <w:tr>
        <w:trPr>
          <w:trHeight w:val="243"/>
        </w:trPr>
        <w:tc>
          <w:tcPr>
            <w:tcW w:w="6760" w:type="dxa"/>
            <w:vAlign w:val="bottom"/>
          </w:tcPr>
          <w:p>
            <w:pPr>
              <w:spacing w:after="0"/>
              <w:rPr>
                <w:sz w:val="20"/>
                <w:szCs w:val="20"/>
                <w:color w:val="auto"/>
              </w:rPr>
            </w:pPr>
            <w:r>
              <w:rPr>
                <w:rFonts w:ascii="Arial" w:cs="Arial" w:eastAsia="Arial" w:hAnsi="Arial"/>
                <w:sz w:val="18"/>
                <w:szCs w:val="18"/>
                <w:color w:val="auto"/>
              </w:rPr>
              <w:t>Amortization expense – rights-of-way</w:t>
            </w:r>
          </w:p>
        </w:tc>
        <w:tc>
          <w:tcPr>
            <w:tcW w:w="1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jc w:val="right"/>
              <w:ind w:right="114"/>
              <w:spacing w:after="0"/>
              <w:rPr>
                <w:sz w:val="20"/>
                <w:szCs w:val="20"/>
                <w:color w:val="auto"/>
              </w:rPr>
            </w:pPr>
            <w:r>
              <w:rPr>
                <w:rFonts w:ascii="Arial" w:cs="Arial" w:eastAsia="Arial" w:hAnsi="Arial"/>
                <w:sz w:val="18"/>
                <w:szCs w:val="18"/>
                <w:color w:val="auto"/>
              </w:rPr>
              <w:t>1,547</w:t>
            </w:r>
          </w:p>
        </w:tc>
        <w:tc>
          <w:tcPr>
            <w:tcW w:w="114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1,585</w:t>
            </w:r>
          </w:p>
        </w:tc>
      </w:tr>
    </w:tbl>
    <w:p>
      <w:pPr>
        <w:spacing w:after="0" w:line="72"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The estimated aggregate annual amortization expected to be recognized for the remainder of 2019 and each of the four succeeding fiscal years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Intangible assets</w:t>
            </w:r>
          </w:p>
        </w:tc>
      </w:tr>
      <w:tr>
        <w:trPr>
          <w:trHeight w:val="223"/>
        </w:trPr>
        <w:tc>
          <w:tcPr>
            <w:tcW w:w="44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40" w:type="dxa"/>
            <w:vAlign w:val="bottom"/>
          </w:tcPr>
          <w:p>
            <w:pPr>
              <w:jc w:val="right"/>
              <w:ind w:right="99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400" w:type="dxa"/>
            <w:vAlign w:val="bottom"/>
            <w:shd w:val="clear" w:color="auto" w:fill="CFF0FC"/>
          </w:tcPr>
          <w:p>
            <w:pPr>
              <w:jc w:val="right"/>
              <w:ind w:right="3910"/>
              <w:spacing w:after="0"/>
              <w:rPr>
                <w:sz w:val="20"/>
                <w:szCs w:val="20"/>
                <w:color w:val="auto"/>
              </w:rPr>
            </w:pPr>
            <w:r>
              <w:rPr>
                <w:rFonts w:ascii="Arial" w:cs="Arial" w:eastAsia="Arial" w:hAnsi="Arial"/>
                <w:sz w:val="18"/>
                <w:szCs w:val="18"/>
                <w:color w:val="auto"/>
                <w:w w:val="94"/>
              </w:rPr>
              <w:t>2019</w:t>
            </w:r>
          </w:p>
        </w:tc>
        <w:tc>
          <w:tcPr>
            <w:tcW w:w="44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24,063</w:t>
            </w:r>
          </w:p>
        </w:tc>
      </w:tr>
      <w:tr>
        <w:trPr>
          <w:trHeight w:val="216"/>
        </w:trPr>
        <w:tc>
          <w:tcPr>
            <w:tcW w:w="4400" w:type="dxa"/>
            <w:vAlign w:val="bottom"/>
          </w:tcPr>
          <w:p>
            <w:pPr>
              <w:jc w:val="right"/>
              <w:ind w:right="3910"/>
              <w:spacing w:after="0"/>
              <w:rPr>
                <w:sz w:val="20"/>
                <w:szCs w:val="20"/>
                <w:color w:val="auto"/>
              </w:rPr>
            </w:pPr>
            <w:r>
              <w:rPr>
                <w:rFonts w:ascii="Arial" w:cs="Arial" w:eastAsia="Arial" w:hAnsi="Arial"/>
                <w:sz w:val="18"/>
                <w:szCs w:val="18"/>
                <w:color w:val="auto"/>
                <w:w w:val="94"/>
              </w:rPr>
              <w:t>2020</w:t>
            </w:r>
          </w:p>
        </w:tc>
        <w:tc>
          <w:tcPr>
            <w:tcW w:w="4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tcPr>
          <w:p>
            <w:pPr>
              <w:jc w:val="right"/>
              <w:ind w:right="55"/>
              <w:spacing w:after="0"/>
              <w:rPr>
                <w:sz w:val="20"/>
                <w:szCs w:val="20"/>
                <w:color w:val="auto"/>
              </w:rPr>
            </w:pPr>
            <w:r>
              <w:rPr>
                <w:rFonts w:ascii="Arial" w:cs="Arial" w:eastAsia="Arial" w:hAnsi="Arial"/>
                <w:sz w:val="18"/>
                <w:szCs w:val="18"/>
                <w:color w:val="auto"/>
              </w:rPr>
              <w:t>32,020</w:t>
            </w:r>
          </w:p>
        </w:tc>
      </w:tr>
      <w:tr>
        <w:trPr>
          <w:trHeight w:val="216"/>
        </w:trPr>
        <w:tc>
          <w:tcPr>
            <w:tcW w:w="4400" w:type="dxa"/>
            <w:vAlign w:val="bottom"/>
            <w:shd w:val="clear" w:color="auto" w:fill="CFF0FC"/>
          </w:tcPr>
          <w:p>
            <w:pPr>
              <w:jc w:val="right"/>
              <w:ind w:right="3910"/>
              <w:spacing w:after="0"/>
              <w:rPr>
                <w:sz w:val="20"/>
                <w:szCs w:val="20"/>
                <w:color w:val="auto"/>
              </w:rPr>
            </w:pPr>
            <w:r>
              <w:rPr>
                <w:rFonts w:ascii="Arial" w:cs="Arial" w:eastAsia="Arial" w:hAnsi="Arial"/>
                <w:sz w:val="18"/>
                <w:szCs w:val="18"/>
                <w:color w:val="auto"/>
                <w:w w:val="94"/>
              </w:rPr>
              <w:t>2021</w:t>
            </w:r>
          </w:p>
        </w:tc>
        <w:tc>
          <w:tcPr>
            <w:tcW w:w="40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28,328</w:t>
            </w:r>
          </w:p>
        </w:tc>
      </w:tr>
      <w:tr>
        <w:trPr>
          <w:trHeight w:val="216"/>
        </w:trPr>
        <w:tc>
          <w:tcPr>
            <w:tcW w:w="4400" w:type="dxa"/>
            <w:vAlign w:val="bottom"/>
          </w:tcPr>
          <w:p>
            <w:pPr>
              <w:jc w:val="right"/>
              <w:ind w:right="3910"/>
              <w:spacing w:after="0"/>
              <w:rPr>
                <w:sz w:val="20"/>
                <w:szCs w:val="20"/>
                <w:color w:val="auto"/>
              </w:rPr>
            </w:pPr>
            <w:r>
              <w:rPr>
                <w:rFonts w:ascii="Arial" w:cs="Arial" w:eastAsia="Arial" w:hAnsi="Arial"/>
                <w:sz w:val="18"/>
                <w:szCs w:val="18"/>
                <w:color w:val="auto"/>
                <w:w w:val="94"/>
              </w:rPr>
              <w:t>2022</w:t>
            </w:r>
          </w:p>
        </w:tc>
        <w:tc>
          <w:tcPr>
            <w:tcW w:w="4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tcPr>
          <w:p>
            <w:pPr>
              <w:jc w:val="right"/>
              <w:ind w:right="55"/>
              <w:spacing w:after="0"/>
              <w:rPr>
                <w:sz w:val="20"/>
                <w:szCs w:val="20"/>
                <w:color w:val="auto"/>
              </w:rPr>
            </w:pPr>
            <w:r>
              <w:rPr>
                <w:rFonts w:ascii="Arial" w:cs="Arial" w:eastAsia="Arial" w:hAnsi="Arial"/>
                <w:sz w:val="18"/>
                <w:szCs w:val="18"/>
                <w:color w:val="auto"/>
              </w:rPr>
              <w:t>25,261</w:t>
            </w:r>
          </w:p>
        </w:tc>
      </w:tr>
      <w:tr>
        <w:trPr>
          <w:trHeight w:val="216"/>
        </w:trPr>
        <w:tc>
          <w:tcPr>
            <w:tcW w:w="4400" w:type="dxa"/>
            <w:vAlign w:val="bottom"/>
            <w:shd w:val="clear" w:color="auto" w:fill="CFF0FC"/>
          </w:tcPr>
          <w:p>
            <w:pPr>
              <w:jc w:val="right"/>
              <w:ind w:right="3910"/>
              <w:spacing w:after="0"/>
              <w:rPr>
                <w:sz w:val="20"/>
                <w:szCs w:val="20"/>
                <w:color w:val="auto"/>
              </w:rPr>
            </w:pPr>
            <w:r>
              <w:rPr>
                <w:rFonts w:ascii="Arial" w:cs="Arial" w:eastAsia="Arial" w:hAnsi="Arial"/>
                <w:sz w:val="18"/>
                <w:szCs w:val="18"/>
                <w:color w:val="auto"/>
                <w:w w:val="94"/>
              </w:rPr>
              <w:t>2023</w:t>
            </w:r>
          </w:p>
        </w:tc>
        <w:tc>
          <w:tcPr>
            <w:tcW w:w="40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25,207</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1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evaluate goodwill for impairment annually on September 30. We also evaluate goodwill whenever events or circumstances indicate that it is more likely than not that the fair value of a reporting unit is less than its carrying value, including goodwill. There have been no impairments of goodwill during the three months ended March 31, 2019.</w:t>
      </w:r>
    </w:p>
    <w:p>
      <w:pPr>
        <w:spacing w:after="0" w:line="56"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 xml:space="preserve">Fair Value Measurement. </w:t>
      </w:r>
      <w:r>
        <w:rPr>
          <w:rFonts w:ascii="Arial" w:cs="Arial" w:eastAsia="Arial" w:hAnsi="Arial"/>
          <w:sz w:val="18"/>
          <w:szCs w:val="18"/>
          <w:color w:val="auto"/>
        </w:rPr>
        <w:t>Our impairment determinations, in the context of (i) our annual impairment evaluations and (ii) our other-than-annual impairment evaluations involved significant assumptions and judgments, as discussed in the 2018 Annual Report. Differing assumptions regarding any of these inputs could have a significant effect on the valuations. As such, the fair value measurements utilized within these models are classified as non-recurring Level 3 measurements in the fair value hierarchy because they are not observable from objective sources. Due to the volatility of the inputs used, we cannot predict the likelihood of any future impairment.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METHOD INVESTMENTS</w:t>
      </w:r>
    </w:p>
    <w:p>
      <w:pPr>
        <w:spacing w:after="0" w:line="1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Ohio Gathering owns, operates and is currently developing midstream infrastructure consisting of a liquids-rich natural gas gathering system, a dry natural gas gathering system and a condensate stabilization facility in the Utica Shale in southeastern Ohio. Ohio Gathering provides gathering services pursuant to primarily long-term, fee-based gathering agreements, which include acreage dedications.</w:t>
      </w:r>
    </w:p>
    <w:p>
      <w:pPr>
        <w:spacing w:after="0" w:line="56"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As a result of our joint venture partner funding a disproportionate amount of the capital calls during the three months ended March 31, 2019, our ownership interest in Ohio Gathering decreased from 40.0% at December 31, 2018 to 39.5% at March 31, 2019.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9" w:name="page20"/>
    <w:bookmarkEnd w:id="19"/>
    <w:p>
      <w:pPr>
        <w:ind w:right="640"/>
        <w:spacing w:after="0" w:line="292" w:lineRule="auto"/>
        <w:rPr>
          <w:sz w:val="20"/>
          <w:szCs w:val="20"/>
          <w:color w:val="auto"/>
        </w:rPr>
      </w:pPr>
      <w:r>
        <w:rPr>
          <w:rFonts w:ascii="Arial" w:cs="Arial" w:eastAsia="Arial" w:hAnsi="Arial"/>
          <w:sz w:val="18"/>
          <w:szCs w:val="18"/>
          <w:color w:val="auto"/>
        </w:rPr>
        <w:t>A reconciliation of our 39.5% ownership interest in Ohio Gathering to our investment per Ohio Gathering's books and records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 equity method investees, March 31, 2019</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640,226</w:t>
            </w:r>
          </w:p>
        </w:tc>
      </w:tr>
      <w:tr>
        <w:trPr>
          <w:trHeight w:val="216"/>
        </w:trPr>
        <w:tc>
          <w:tcPr>
            <w:tcW w:w="9400" w:type="dxa"/>
            <w:vAlign w:val="bottom"/>
          </w:tcPr>
          <w:p>
            <w:pPr>
              <w:ind w:left="140"/>
              <w:spacing w:after="0"/>
              <w:rPr>
                <w:sz w:val="20"/>
                <w:szCs w:val="20"/>
                <w:color w:val="auto"/>
              </w:rPr>
            </w:pPr>
            <w:r>
              <w:rPr>
                <w:rFonts w:ascii="Arial" w:cs="Arial" w:eastAsia="Arial" w:hAnsi="Arial"/>
                <w:sz w:val="18"/>
                <w:szCs w:val="18"/>
                <w:color w:val="auto"/>
              </w:rPr>
              <w:t>March cash distributions</w:t>
            </w:r>
          </w:p>
        </w:tc>
        <w:tc>
          <w:tcPr>
            <w:tcW w:w="6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2,883</w:t>
            </w:r>
          </w:p>
        </w:tc>
      </w:tr>
      <w:tr>
        <w:trPr>
          <w:trHeight w:val="216"/>
        </w:trPr>
        <w:tc>
          <w:tcPr>
            <w:tcW w:w="9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Basis difference</w:t>
            </w:r>
          </w:p>
        </w:tc>
        <w:tc>
          <w:tcPr>
            <w:tcW w:w="6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(113,493)</w:t>
            </w:r>
          </w:p>
        </w:tc>
      </w:tr>
      <w:tr>
        <w:trPr>
          <w:trHeight w:val="185"/>
        </w:trPr>
        <w:tc>
          <w:tcPr>
            <w:tcW w:w="9400" w:type="dxa"/>
            <w:vAlign w:val="bottom"/>
          </w:tcPr>
          <w:p>
            <w:pPr>
              <w:spacing w:after="0" w:line="185" w:lineRule="exact"/>
              <w:rPr>
                <w:sz w:val="20"/>
                <w:szCs w:val="20"/>
                <w:color w:val="auto"/>
              </w:rPr>
            </w:pPr>
            <w:r>
              <w:rPr>
                <w:rFonts w:ascii="Arial" w:cs="Arial" w:eastAsia="Arial" w:hAnsi="Arial"/>
                <w:sz w:val="18"/>
                <w:szCs w:val="18"/>
                <w:b w:val="1"/>
                <w:bCs w:val="1"/>
                <w:color w:val="auto"/>
              </w:rPr>
              <w:t>Investment in equity method investees, net of basis difference,</w:t>
            </w: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27"/>
        </w:trPr>
        <w:tc>
          <w:tcPr>
            <w:tcW w:w="9400" w:type="dxa"/>
            <w:vAlign w:val="bottom"/>
          </w:tcPr>
          <w:p>
            <w:pPr>
              <w:ind w:left="200"/>
              <w:spacing w:after="0"/>
              <w:rPr>
                <w:sz w:val="20"/>
                <w:szCs w:val="20"/>
                <w:color w:val="auto"/>
              </w:rPr>
            </w:pPr>
            <w:r>
              <w:rPr>
                <w:rFonts w:ascii="Arial" w:cs="Arial" w:eastAsia="Arial" w:hAnsi="Arial"/>
                <w:sz w:val="18"/>
                <w:szCs w:val="18"/>
                <w:b w:val="1"/>
                <w:bCs w:val="1"/>
                <w:color w:val="auto"/>
              </w:rPr>
              <w:t>February 28, 2019</w:t>
            </w:r>
          </w:p>
        </w:tc>
        <w:tc>
          <w:tcPr>
            <w:tcW w:w="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529,616</w:t>
            </w:r>
          </w:p>
        </w:tc>
      </w:tr>
      <w:tr>
        <w:trPr>
          <w:trHeight w:val="20"/>
        </w:trPr>
        <w:tc>
          <w:tcPr>
            <w:tcW w:w="9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statements of operations information for OGC and OCC follow (amounts represent 100% of investee financial information).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60" w:type="dxa"/>
            <w:vAlign w:val="bottom"/>
            <w:gridSpan w:val="7"/>
          </w:tcPr>
          <w:p>
            <w:pPr>
              <w:jc w:val="center"/>
              <w:ind w:right="614"/>
              <w:spacing w:after="0"/>
              <w:rPr>
                <w:sz w:val="20"/>
                <w:szCs w:val="20"/>
                <w:color w:val="auto"/>
              </w:rPr>
            </w:pPr>
            <w:r>
              <w:rPr>
                <w:rFonts w:ascii="Arial" w:cs="Arial" w:eastAsia="Arial" w:hAnsi="Arial"/>
                <w:sz w:val="14"/>
                <w:szCs w:val="14"/>
                <w:b w:val="1"/>
                <w:bCs w:val="1"/>
                <w:color w:val="auto"/>
              </w:rPr>
              <w:t>Three months ended</w:t>
            </w:r>
          </w:p>
        </w:tc>
      </w:tr>
      <w:tr>
        <w:trPr>
          <w:trHeight w:val="177"/>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ind w:right="740"/>
              <w:spacing w:after="0"/>
              <w:rPr>
                <w:sz w:val="20"/>
                <w:szCs w:val="20"/>
                <w:color w:val="auto"/>
              </w:rPr>
            </w:pPr>
            <w:r>
              <w:rPr>
                <w:rFonts w:ascii="Arial" w:cs="Arial" w:eastAsia="Arial" w:hAnsi="Arial"/>
                <w:sz w:val="14"/>
                <w:szCs w:val="14"/>
                <w:b w:val="1"/>
                <w:bCs w:val="1"/>
                <w:color w:val="auto"/>
              </w:rPr>
              <w:t>February 28, 2019</w:t>
            </w: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2018</w:t>
            </w:r>
          </w:p>
        </w:tc>
        <w:tc>
          <w:tcPr>
            <w:tcW w:w="780" w:type="dxa"/>
            <w:vAlign w:val="bottom"/>
            <w:tcBorders>
              <w:bottom w:val="single" w:sz="8" w:color="auto"/>
            </w:tcBorders>
          </w:tcPr>
          <w:p>
            <w:pPr>
              <w:spacing w:after="0"/>
              <w:rPr>
                <w:sz w:val="15"/>
                <w:szCs w:val="15"/>
                <w:color w:val="auto"/>
              </w:rPr>
            </w:pPr>
          </w:p>
        </w:tc>
      </w:tr>
      <w:tr>
        <w:trPr>
          <w:trHeight w:val="169"/>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17"/>
              <w:spacing w:after="0"/>
              <w:rPr>
                <w:sz w:val="20"/>
                <w:szCs w:val="20"/>
                <w:color w:val="auto"/>
              </w:rPr>
            </w:pPr>
            <w:r>
              <w:rPr>
                <w:rFonts w:ascii="Arial" w:cs="Arial" w:eastAsia="Arial" w:hAnsi="Arial"/>
                <w:sz w:val="14"/>
                <w:szCs w:val="14"/>
                <w:b w:val="1"/>
                <w:bCs w:val="1"/>
                <w:color w:val="auto"/>
              </w:rPr>
              <w:t>OGC</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OCC</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OGC</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OCC</w:t>
            </w:r>
          </w:p>
        </w:tc>
      </w:tr>
      <w:tr>
        <w:trPr>
          <w:trHeight w:val="214"/>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6"/>
          </w:tcPr>
          <w:p>
            <w:pPr>
              <w:jc w:val="center"/>
              <w:ind w:left="1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5"/>
        </w:trPr>
        <w:tc>
          <w:tcPr>
            <w:tcW w:w="4040" w:type="dxa"/>
            <w:vAlign w:val="bottom"/>
          </w:tcPr>
          <w:p>
            <w:pPr>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97"/>
              <w:spacing w:after="0"/>
              <w:rPr>
                <w:sz w:val="20"/>
                <w:szCs w:val="20"/>
                <w:color w:val="auto"/>
              </w:rPr>
            </w:pPr>
            <w:r>
              <w:rPr>
                <w:rFonts w:ascii="Arial" w:cs="Arial" w:eastAsia="Arial" w:hAnsi="Arial"/>
                <w:sz w:val="18"/>
                <w:szCs w:val="18"/>
                <w:color w:val="auto"/>
              </w:rPr>
              <w:t>33,466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2,266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rPr>
              <w:t>34,960</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2,489</w:t>
            </w:r>
          </w:p>
        </w:tc>
      </w:tr>
      <w:tr>
        <w:trPr>
          <w:trHeight w:val="21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25,487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2,973</w:t>
            </w: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26,775</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2,141</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97"/>
              <w:spacing w:after="0"/>
              <w:rPr>
                <w:sz w:val="20"/>
                <w:szCs w:val="20"/>
                <w:color w:val="auto"/>
              </w:rPr>
            </w:pPr>
            <w:r>
              <w:rPr>
                <w:rFonts w:ascii="Arial" w:cs="Arial" w:eastAsia="Arial" w:hAnsi="Arial"/>
                <w:sz w:val="18"/>
                <w:szCs w:val="18"/>
                <w:color w:val="auto"/>
              </w:rPr>
              <w:t>7,972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(707)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gridSpan w:val="3"/>
          </w:tcPr>
          <w:p>
            <w:pPr>
              <w:jc w:val="right"/>
              <w:ind w:right="28"/>
              <w:spacing w:after="0"/>
              <w:rPr>
                <w:sz w:val="20"/>
                <w:szCs w:val="20"/>
                <w:color w:val="auto"/>
              </w:rPr>
            </w:pPr>
            <w:r>
              <w:rPr>
                <w:rFonts w:ascii="Arial" w:cs="Arial" w:eastAsia="Arial" w:hAnsi="Arial"/>
                <w:sz w:val="18"/>
                <w:szCs w:val="18"/>
                <w:color w:val="auto"/>
              </w:rPr>
              <w:t>8,180</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180</w:t>
            </w:r>
          </w:p>
        </w:tc>
      </w:tr>
      <w:tr>
        <w:trPr>
          <w:trHeight w:val="323"/>
        </w:trPr>
        <w:tc>
          <w:tcPr>
            <w:tcW w:w="4040" w:type="dxa"/>
            <w:vAlign w:val="bottom"/>
          </w:tcPr>
          <w:p>
            <w:pPr>
              <w:spacing w:after="0"/>
              <w:rPr>
                <w:sz w:val="20"/>
                <w:szCs w:val="20"/>
                <w:color w:val="auto"/>
              </w:rPr>
            </w:pPr>
            <w:r>
              <w:rPr>
                <w:rFonts w:ascii="Arial" w:cs="Arial" w:eastAsia="Arial" w:hAnsi="Arial"/>
                <w:sz w:val="18"/>
                <w:szCs w:val="18"/>
                <w:b w:val="1"/>
                <w:bCs w:val="1"/>
                <w:color w:val="auto"/>
              </w:rPr>
              <w:t>9. DEFERRED REVENUE</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03"/>
        </w:trPr>
        <w:tc>
          <w:tcPr>
            <w:tcW w:w="4040" w:type="dxa"/>
            <w:vAlign w:val="bottom"/>
          </w:tcPr>
          <w:p>
            <w:pPr>
              <w:spacing w:after="0"/>
              <w:rPr>
                <w:sz w:val="20"/>
                <w:szCs w:val="20"/>
                <w:color w:val="auto"/>
              </w:rPr>
            </w:pPr>
            <w:r>
              <w:rPr>
                <w:rFonts w:ascii="Arial" w:cs="Arial" w:eastAsia="Arial" w:hAnsi="Arial"/>
                <w:sz w:val="18"/>
                <w:szCs w:val="18"/>
                <w:color w:val="auto"/>
              </w:rPr>
              <w:t>A rollforward of current deferred revenue follows.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4"/>
        </w:trPr>
        <w:tc>
          <w:tcPr>
            <w:tcW w:w="4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Utica</w:t>
            </w:r>
          </w:p>
        </w:tc>
        <w:tc>
          <w:tcPr>
            <w:tcW w:w="120" w:type="dxa"/>
            <w:vAlign w:val="bottom"/>
          </w:tcPr>
          <w:p>
            <w:pPr>
              <w:spacing w:after="0"/>
              <w:rPr>
                <w:sz w:val="22"/>
                <w:szCs w:val="22"/>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Williston</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Piceance</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Barnett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Marcellus</w:t>
            </w:r>
          </w:p>
        </w:tc>
        <w:tc>
          <w:tcPr>
            <w:tcW w:w="120" w:type="dxa"/>
            <w:vAlign w:val="bottom"/>
          </w:tcPr>
          <w:p>
            <w:pPr>
              <w:spacing w:after="0"/>
              <w:rPr>
                <w:sz w:val="22"/>
                <w:szCs w:val="22"/>
                <w:color w:val="auto"/>
              </w:rPr>
            </w:pPr>
          </w:p>
        </w:tc>
        <w:tc>
          <w:tcPr>
            <w:tcW w:w="78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177"/>
        </w:trPr>
        <w:tc>
          <w:tcPr>
            <w:tcW w:w="4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DJ Basin</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Basin</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current</w:t>
            </w:r>
          </w:p>
        </w:tc>
      </w:tr>
      <w:tr>
        <w:trPr>
          <w:trHeight w:val="210"/>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6"/>
          </w:tcPr>
          <w:p>
            <w:pPr>
              <w:ind w:left="90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1"/>
        </w:trPr>
        <w:tc>
          <w:tcPr>
            <w:tcW w:w="404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Current deferred revenue,</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27"/>
        </w:trPr>
        <w:tc>
          <w:tcPr>
            <w:tcW w:w="404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January 1, 2019</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1,414</w:t>
            </w:r>
          </w:p>
        </w:tc>
        <w:tc>
          <w:tcPr>
            <w:tcW w:w="30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700" w:type="dxa"/>
            <w:vAlign w:val="bottom"/>
            <w:gridSpan w:val="3"/>
            <w:shd w:val="clear" w:color="auto" w:fill="CFF0FC"/>
          </w:tcPr>
          <w:p>
            <w:pPr>
              <w:jc w:val="right"/>
              <w:ind w:right="28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11,467</w:t>
            </w:r>
          </w:p>
        </w:tc>
      </w:tr>
      <w:tr>
        <w:trPr>
          <w:trHeight w:val="216"/>
        </w:trPr>
        <w:tc>
          <w:tcPr>
            <w:tcW w:w="40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5,222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6,388</w:t>
            </w:r>
          </w:p>
        </w:tc>
      </w:tr>
      <w:tr>
        <w:trPr>
          <w:trHeight w:val="216"/>
        </w:trPr>
        <w:tc>
          <w:tcPr>
            <w:tcW w:w="40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revenue recognized</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5,222</w:t>
            </w:r>
          </w:p>
        </w:tc>
        <w:tc>
          <w:tcPr>
            <w:tcW w:w="100" w:type="dxa"/>
            <w:vAlign w:val="bottom"/>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6,216</w:t>
            </w:r>
          </w:p>
        </w:tc>
      </w:tr>
      <w:tr>
        <w:trPr>
          <w:trHeight w:val="185"/>
        </w:trPr>
        <w:tc>
          <w:tcPr>
            <w:tcW w:w="4040" w:type="dxa"/>
            <w:vAlign w:val="bottom"/>
          </w:tcPr>
          <w:p>
            <w:pPr>
              <w:spacing w:after="0" w:line="185" w:lineRule="exact"/>
              <w:rPr>
                <w:sz w:val="20"/>
                <w:szCs w:val="20"/>
                <w:color w:val="auto"/>
              </w:rPr>
            </w:pPr>
            <w:r>
              <w:rPr>
                <w:rFonts w:ascii="Arial" w:cs="Arial" w:eastAsia="Arial" w:hAnsi="Arial"/>
                <w:sz w:val="18"/>
                <w:szCs w:val="18"/>
                <w:b w:val="1"/>
                <w:bCs w:val="1"/>
                <w:color w:val="auto"/>
              </w:rPr>
              <w:t>Current deferred revenue,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7"/>
        </w:trPr>
        <w:tc>
          <w:tcPr>
            <w:tcW w:w="4040" w:type="dxa"/>
            <w:vAlign w:val="bottom"/>
          </w:tcPr>
          <w:p>
            <w:pPr>
              <w:ind w:left="200"/>
              <w:spacing w:after="0"/>
              <w:rPr>
                <w:sz w:val="20"/>
                <w:szCs w:val="20"/>
                <w:color w:val="auto"/>
              </w:rPr>
            </w:pPr>
            <w:r>
              <w:rPr>
                <w:rFonts w:ascii="Arial" w:cs="Arial" w:eastAsia="Arial" w:hAnsi="Arial"/>
                <w:sz w:val="18"/>
                <w:szCs w:val="18"/>
                <w:b w:val="1"/>
                <w:bCs w:val="1"/>
                <w:color w:val="auto"/>
              </w:rPr>
              <w:t>March 31, 2019</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1,400</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7,616</w:t>
            </w:r>
          </w:p>
        </w:tc>
        <w:tc>
          <w:tcPr>
            <w:tcW w:w="100" w:type="dxa"/>
            <w:vAlign w:val="bottom"/>
          </w:tcPr>
          <w:p>
            <w:pPr>
              <w:spacing w:after="0"/>
              <w:rPr>
                <w:sz w:val="19"/>
                <w:szCs w:val="19"/>
                <w:color w:val="auto"/>
              </w:rPr>
            </w:pPr>
          </w:p>
        </w:tc>
        <w:tc>
          <w:tcPr>
            <w:tcW w:w="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1,646</w:t>
            </w:r>
          </w:p>
        </w:tc>
        <w:tc>
          <w:tcPr>
            <w:tcW w:w="700" w:type="dxa"/>
            <w:vAlign w:val="bottom"/>
            <w:gridSpan w:val="3"/>
          </w:tcPr>
          <w:p>
            <w:pPr>
              <w:jc w:val="right"/>
              <w:ind w:right="288"/>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11,639</w:t>
            </w: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noncurrent deferred revenue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Utica</w:t>
            </w:r>
          </w:p>
        </w:tc>
        <w:tc>
          <w:tcPr>
            <w:tcW w:w="120" w:type="dxa"/>
            <w:vAlign w:val="bottom"/>
          </w:tcPr>
          <w:p>
            <w:pPr>
              <w:spacing w:after="0"/>
              <w:rPr>
                <w:sz w:val="14"/>
                <w:szCs w:val="14"/>
                <w:color w:val="auto"/>
              </w:rPr>
            </w:pPr>
          </w:p>
        </w:tc>
        <w:tc>
          <w:tcPr>
            <w:tcW w:w="880" w:type="dxa"/>
            <w:vAlign w:val="bottom"/>
            <w:gridSpan w:val="2"/>
          </w:tcPr>
          <w:p>
            <w:pPr>
              <w:jc w:val="right"/>
              <w:ind w:right="113"/>
              <w:spacing w:after="0"/>
              <w:rPr>
                <w:sz w:val="20"/>
                <w:szCs w:val="20"/>
                <w:color w:val="auto"/>
              </w:rPr>
            </w:pPr>
            <w:r>
              <w:rPr>
                <w:rFonts w:ascii="Arial" w:cs="Arial" w:eastAsia="Arial" w:hAnsi="Arial"/>
                <w:sz w:val="14"/>
                <w:szCs w:val="14"/>
                <w:b w:val="1"/>
                <w:bCs w:val="1"/>
                <w:color w:val="auto"/>
              </w:rPr>
              <w:t>Williston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Piceance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Barnett</w:t>
            </w:r>
          </w:p>
        </w:tc>
        <w:tc>
          <w:tcPr>
            <w:tcW w:w="9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Marcellus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177"/>
        </w:trPr>
        <w:tc>
          <w:tcPr>
            <w:tcW w:w="3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DJ Basin</w:t>
            </w: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Shale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noncurrent</w:t>
            </w:r>
          </w:p>
        </w:tc>
      </w:tr>
      <w:tr>
        <w:trPr>
          <w:trHeight w:val="210"/>
        </w:trPr>
        <w:tc>
          <w:tcPr>
            <w:tcW w:w="3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1"/>
        </w:trPr>
        <w:tc>
          <w:tcPr>
            <w:tcW w:w="3360" w:type="dxa"/>
            <w:vAlign w:val="bottom"/>
            <w:shd w:val="clear" w:color="auto" w:fill="CFF0FC"/>
          </w:tcPr>
          <w:p>
            <w:pPr>
              <w:spacing w:after="0" w:line="191" w:lineRule="exact"/>
              <w:rPr>
                <w:sz w:val="20"/>
                <w:szCs w:val="20"/>
                <w:color w:val="auto"/>
              </w:rPr>
            </w:pPr>
            <w:r>
              <w:rPr>
                <w:rFonts w:ascii="Arial" w:cs="Arial" w:eastAsia="Arial" w:hAnsi="Arial"/>
                <w:sz w:val="18"/>
                <w:szCs w:val="18"/>
                <w:b w:val="1"/>
                <w:bCs w:val="1"/>
                <w:color w:val="auto"/>
              </w:rPr>
              <w:t>Noncurrent deferred revenue,</w:t>
            </w: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227"/>
        </w:trPr>
        <w:tc>
          <w:tcPr>
            <w:tcW w:w="336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January 1, 2019</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21</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4,393</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7,284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17,942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9,628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236</w:t>
            </w:r>
          </w:p>
        </w:tc>
        <w:tc>
          <w:tcPr>
            <w:tcW w:w="2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39,504</w:t>
            </w:r>
          </w:p>
        </w:tc>
      </w:tr>
      <w:tr>
        <w:trPr>
          <w:trHeight w:val="216"/>
        </w:trPr>
        <w:tc>
          <w:tcPr>
            <w:tcW w:w="336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5,199</w:t>
            </w:r>
          </w:p>
        </w:tc>
      </w:tr>
      <w:tr>
        <w:trPr>
          <w:trHeight w:val="193"/>
        </w:trPr>
        <w:tc>
          <w:tcPr>
            <w:tcW w:w="3360" w:type="dxa"/>
            <w:vAlign w:val="bottom"/>
            <w:shd w:val="clear" w:color="auto" w:fill="CFF0FC"/>
          </w:tcPr>
          <w:p>
            <w:pPr>
              <w:ind w:left="140"/>
              <w:spacing w:after="0" w:line="194" w:lineRule="exact"/>
              <w:rPr>
                <w:sz w:val="20"/>
                <w:szCs w:val="20"/>
                <w:color w:val="auto"/>
              </w:rPr>
            </w:pPr>
            <w:r>
              <w:rPr>
                <w:rFonts w:ascii="Arial" w:cs="Arial" w:eastAsia="Arial" w:hAnsi="Arial"/>
                <w:sz w:val="18"/>
                <w:szCs w:val="18"/>
                <w:color w:val="auto"/>
              </w:rPr>
              <w:t>Less reclassification to current</w:t>
            </w:r>
          </w:p>
        </w:tc>
        <w:tc>
          <w:tcPr>
            <w:tcW w:w="8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225"/>
        </w:trPr>
        <w:tc>
          <w:tcPr>
            <w:tcW w:w="33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deferred revenue</w:t>
            </w:r>
          </w:p>
        </w:tc>
        <w:tc>
          <w:tcPr>
            <w:tcW w:w="8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3,500</w:t>
            </w:r>
          </w:p>
        </w:tc>
      </w:tr>
      <w:tr>
        <w:trPr>
          <w:trHeight w:val="185"/>
        </w:trPr>
        <w:tc>
          <w:tcPr>
            <w:tcW w:w="3360" w:type="dxa"/>
            <w:vAlign w:val="bottom"/>
          </w:tcPr>
          <w:p>
            <w:pPr>
              <w:spacing w:after="0" w:line="185" w:lineRule="exact"/>
              <w:rPr>
                <w:sz w:val="20"/>
                <w:szCs w:val="20"/>
                <w:color w:val="auto"/>
              </w:rPr>
            </w:pPr>
            <w:r>
              <w:rPr>
                <w:rFonts w:ascii="Arial" w:cs="Arial" w:eastAsia="Arial" w:hAnsi="Arial"/>
                <w:sz w:val="18"/>
                <w:szCs w:val="18"/>
                <w:b w:val="1"/>
                <w:bCs w:val="1"/>
                <w:color w:val="auto"/>
              </w:rPr>
              <w:t>Noncurrent deferred revenue,</w:t>
            </w: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7"/>
        </w:trPr>
        <w:tc>
          <w:tcPr>
            <w:tcW w:w="3360" w:type="dxa"/>
            <w:vAlign w:val="bottom"/>
          </w:tcPr>
          <w:p>
            <w:pPr>
              <w:ind w:left="200"/>
              <w:spacing w:after="0"/>
              <w:rPr>
                <w:sz w:val="20"/>
                <w:szCs w:val="20"/>
                <w:color w:val="auto"/>
              </w:rPr>
            </w:pPr>
            <w:r>
              <w:rPr>
                <w:rFonts w:ascii="Arial" w:cs="Arial" w:eastAsia="Arial" w:hAnsi="Arial"/>
                <w:sz w:val="18"/>
                <w:szCs w:val="18"/>
                <w:b w:val="1"/>
                <w:bCs w:val="1"/>
                <w:color w:val="auto"/>
              </w:rPr>
              <w:t>March 31, 2019</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3"/>
              <w:spacing w:after="0"/>
              <w:rPr>
                <w:sz w:val="20"/>
                <w:szCs w:val="20"/>
                <w:color w:val="auto"/>
              </w:rPr>
            </w:pPr>
            <w:r>
              <w:rPr>
                <w:rFonts w:ascii="Arial" w:cs="Arial" w:eastAsia="Arial" w:hAnsi="Arial"/>
                <w:sz w:val="18"/>
                <w:szCs w:val="18"/>
                <w:color w:val="auto"/>
              </w:rPr>
              <w:t>5,307</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8,226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17,830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6"/>
              <w:spacing w:after="0"/>
              <w:rPr>
                <w:sz w:val="20"/>
                <w:szCs w:val="20"/>
                <w:color w:val="auto"/>
              </w:rPr>
            </w:pPr>
            <w:r>
              <w:rPr>
                <w:rFonts w:ascii="Arial" w:cs="Arial" w:eastAsia="Arial" w:hAnsi="Arial"/>
                <w:sz w:val="18"/>
                <w:szCs w:val="18"/>
                <w:color w:val="auto"/>
              </w:rPr>
              <w:t>9,597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227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41,203</w:t>
            </w:r>
          </w:p>
        </w:tc>
      </w:tr>
      <w:tr>
        <w:trPr>
          <w:trHeight w:val="20"/>
        </w:trPr>
        <w:tc>
          <w:tcPr>
            <w:tcW w:w="3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538"/>
        </w:trPr>
        <w:tc>
          <w:tcPr>
            <w:tcW w:w="3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98"/>
        </w:trPr>
        <w:tc>
          <w:tcPr>
            <w:tcW w:w="33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10. DEBT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7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gridSpan w:val="4"/>
          </w:tcPr>
          <w:p>
            <w:pPr>
              <w:jc w:val="right"/>
              <w:ind w:right="1373"/>
              <w:spacing w:after="0"/>
              <w:rPr>
                <w:sz w:val="20"/>
                <w:szCs w:val="20"/>
                <w:color w:val="auto"/>
              </w:rPr>
            </w:pPr>
            <w:r>
              <w:rPr>
                <w:rFonts w:ascii="Arial" w:cs="Arial" w:eastAsia="Arial" w:hAnsi="Arial"/>
                <w:sz w:val="14"/>
                <w:szCs w:val="14"/>
                <w:b w:val="1"/>
                <w:bCs w:val="1"/>
                <w:color w:val="auto"/>
              </w:rPr>
              <w:t>(In thousands)</w:t>
            </w:r>
          </w:p>
        </w:tc>
      </w:tr>
      <w:tr>
        <w:trPr>
          <w:trHeight w:val="193"/>
        </w:trPr>
        <w:tc>
          <w:tcPr>
            <w:tcW w:w="76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Summit Holdings' variable rate senior secured Revolving Credit Facility</w:t>
            </w:r>
          </w:p>
        </w:tc>
        <w:tc>
          <w:tcPr>
            <w:tcW w:w="22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r>
      <w:tr>
        <w:trPr>
          <w:trHeight w:val="203"/>
        </w:trPr>
        <w:tc>
          <w:tcPr>
            <w:tcW w:w="76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(5.00% at March 31, 2019 and 5.03% at December 31, 2018)</w:t>
            </w:r>
          </w:p>
        </w:tc>
        <w:tc>
          <w:tcPr>
            <w:tcW w:w="2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r>
      <w:tr>
        <w:trPr>
          <w:trHeight w:val="225"/>
        </w:trPr>
        <w:tc>
          <w:tcPr>
            <w:tcW w:w="7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due May 2022</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434,000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466,000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Summit Holdings' 5.5% senior unsecured notes due August 2022</w:t>
            </w:r>
          </w:p>
        </w:tc>
        <w:tc>
          <w:tcPr>
            <w:tcW w:w="220" w:type="dxa"/>
            <w:vAlign w:val="bottom"/>
          </w:tcPr>
          <w:p>
            <w:pPr>
              <w:spacing w:after="0"/>
              <w:rPr>
                <w:sz w:val="18"/>
                <w:szCs w:val="18"/>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300,000</w:t>
            </w:r>
          </w:p>
        </w:tc>
      </w:tr>
      <w:tr>
        <w:trPr>
          <w:trHeight w:val="216"/>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22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(2,195)</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Summit Holdings' 5.75% senior unsecured notes due April 2025</w:t>
            </w:r>
          </w:p>
        </w:tc>
        <w:tc>
          <w:tcPr>
            <w:tcW w:w="220" w:type="dxa"/>
            <w:vAlign w:val="bottom"/>
          </w:tcPr>
          <w:p>
            <w:pPr>
              <w:spacing w:after="0"/>
              <w:rPr>
                <w:sz w:val="18"/>
                <w:szCs w:val="18"/>
                <w:color w:val="auto"/>
              </w:rPr>
            </w:pPr>
          </w:p>
        </w:tc>
        <w:tc>
          <w:tcPr>
            <w:tcW w:w="1580" w:type="dxa"/>
            <w:vAlign w:val="bottom"/>
          </w:tcPr>
          <w:p>
            <w:pPr>
              <w:jc w:val="right"/>
              <w:ind w:right="34"/>
              <w:spacing w:after="0"/>
              <w:rPr>
                <w:sz w:val="20"/>
                <w:szCs w:val="20"/>
                <w:color w:val="auto"/>
              </w:rPr>
            </w:pPr>
            <w:r>
              <w:rPr>
                <w:rFonts w:ascii="Arial" w:cs="Arial" w:eastAsia="Arial" w:hAnsi="Arial"/>
                <w:sz w:val="18"/>
                <w:szCs w:val="18"/>
                <w:color w:val="auto"/>
              </w:rPr>
              <w:t>500,000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3"/>
              <w:spacing w:after="0"/>
              <w:rPr>
                <w:sz w:val="20"/>
                <w:szCs w:val="20"/>
                <w:color w:val="auto"/>
              </w:rPr>
            </w:pPr>
            <w:r>
              <w:rPr>
                <w:rFonts w:ascii="Arial" w:cs="Arial" w:eastAsia="Arial" w:hAnsi="Arial"/>
                <w:sz w:val="18"/>
                <w:szCs w:val="18"/>
                <w:color w:val="auto"/>
              </w:rPr>
              <w:t>500,000</w:t>
            </w:r>
          </w:p>
        </w:tc>
      </w:tr>
      <w:tr>
        <w:trPr>
          <w:trHeight w:val="216"/>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22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(5,659)</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w:t>
            </w:r>
          </w:p>
        </w:tc>
      </w:tr>
      <w:tr>
        <w:trPr>
          <w:trHeight w:val="210"/>
        </w:trPr>
        <w:tc>
          <w:tcPr>
            <w:tcW w:w="762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1,226,146</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1,257,731</w:t>
            </w:r>
          </w:p>
        </w:tc>
      </w:tr>
      <w:tr>
        <w:trPr>
          <w:trHeight w:val="20"/>
        </w:trPr>
        <w:tc>
          <w:tcPr>
            <w:tcW w:w="7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(1) Issuance costs are being amortized over the life of the notes.</w:t>
      </w:r>
    </w:p>
    <w:p>
      <w:pPr>
        <w:spacing w:after="0" w:line="10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Summit Holdings has a senior secured revolving credit facility which allows for revolving loans, letters of credit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swing line loans. The Revolving Credit Facility has a $1.25 billion borrowing capacity, matures in May 2022, and includes a $250.0 million accordion feature. Bison Midstream and its subsidiaries, Grand River and its subsidiary, DFW Midstream, Summit Marketing, Summit Permian, Permian Finance, Summit Niobrara, OpCo, Summit Utica, Meadowlark Midstream, Tioga Midstream (Refer to Note 17 for details on the sale of Tioga Midstream), Summit Permian II, Summit Permian Transmission and SMLP fully and unconditionally and jointly and severally guarantee, and pledge substantially all of their assets in support of, the indebtedness outstanding under the Revolving Credit Facility.</w:t>
      </w:r>
    </w:p>
    <w:p>
      <w:pPr>
        <w:spacing w:after="0" w:line="64"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Borrowings under the Revolving Credit Facility bear interest, at the election of Summit Holdings, at a rate based on the alternate base rate (as defined in the credit agreement) plus an applicable margin ranging from 0.75% to 1.75% or the adjusted Eurodollar rate (as defined in the credit agreement) plus an applicable margin ranging from 1.75% to 2.75%, with the commitment fee ranging from 0.30% to 0.50% in each case based on our relative leverage at the time of determination. At March 31, 2019, the applicable margin under LIBOR borrowings was 2.50% and the interest rate was 5.00%. The unused portion of the Revolving Credit Facility totaled $816.0 million (subject to a commitment fee of 0.50%).</w:t>
      </w:r>
    </w:p>
    <w:p>
      <w:pPr>
        <w:spacing w:after="0" w:line="64" w:lineRule="exact"/>
        <w:rPr>
          <w:sz w:val="20"/>
          <w:szCs w:val="20"/>
          <w:color w:val="auto"/>
        </w:rPr>
      </w:pPr>
    </w:p>
    <w:p>
      <w:pPr>
        <w:ind w:right="260"/>
        <w:spacing w:after="0" w:line="292" w:lineRule="auto"/>
        <w:rPr>
          <w:sz w:val="20"/>
          <w:szCs w:val="20"/>
          <w:color w:val="auto"/>
        </w:rPr>
      </w:pPr>
      <w:r>
        <w:rPr>
          <w:rFonts w:ascii="Arial" w:cs="Arial" w:eastAsia="Arial" w:hAnsi="Arial"/>
          <w:sz w:val="18"/>
          <w:szCs w:val="18"/>
          <w:color w:val="auto"/>
        </w:rPr>
        <w:t>As of March 31, 2019, we had $7.9 million of debt issuance costs attributable to our Revolving Credit Facility and related amendments which are included in noncurrent assets on the unaudited condensed consolidated balance sheet.</w:t>
      </w:r>
    </w:p>
    <w:p>
      <w:pPr>
        <w:spacing w:after="0" w:line="2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As of and during the three months ended March 31, 2019, we were in compliance with the Revolving Credit Facility's financial covenants. There were no defaults or events of default during the three months ended March 31, 2019.</w:t>
      </w:r>
    </w:p>
    <w:p>
      <w:pPr>
        <w:spacing w:after="0" w:line="51"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July 2014, Summit Holdings and its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finance subsidiary, Finance Corp. (together with Summit Holdings, the "Co-Issuers") co-issued $300.0 million of 5.5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unsecured notes maturing August 15, 2022 (the "5.5% Senior Notes" and, together with the 5.75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Notes (defined below), the “Senior Notes”).</w:t>
      </w:r>
    </w:p>
    <w:p>
      <w:pPr>
        <w:spacing w:after="0" w:line="42"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color w:val="auto"/>
        </w:rPr>
        <w:t>In February 2017, the Co-Issuers completed a public offering of $500.0 million of 5.75% senior unsecured notes (the "5.75% Senior Notes") as described in the 2018 Annual Report.</w:t>
      </w:r>
    </w:p>
    <w:p>
      <w:pPr>
        <w:spacing w:after="0" w:line="23" w:lineRule="exact"/>
        <w:rPr>
          <w:sz w:val="20"/>
          <w:szCs w:val="20"/>
          <w:color w:val="auto"/>
        </w:rPr>
      </w:pPr>
    </w:p>
    <w:p>
      <w:pPr>
        <w:jc w:val="both"/>
        <w:ind w:right="40"/>
        <w:spacing w:after="0" w:line="257" w:lineRule="auto"/>
        <w:rPr>
          <w:sz w:val="20"/>
          <w:szCs w:val="20"/>
          <w:color w:val="auto"/>
        </w:rPr>
      </w:pPr>
      <w:r>
        <w:rPr>
          <w:rFonts w:ascii="Arial" w:cs="Arial" w:eastAsia="Arial" w:hAnsi="Arial"/>
          <w:sz w:val="17"/>
          <w:szCs w:val="17"/>
          <w:color w:val="auto"/>
        </w:rPr>
        <w:t>Bison Midstream and its subsidiaries, Grand River and its subsidiary, DFW Midstream, Summit Marketing, Summit Permian, Permian Finance, Summit Niobrara, OpCo, Summit Utica, Meadowlark Midstream, Tioga Midstream (Refer to Note 17 for details on the sale of Tioga Midstream), Summit Permian II and Summit Permian Transmission (collectively the "Guarantor Subsidiaries") are 100% owned by a subsidiary of SMLP.</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Guarantor Subsidiaries and SMLP fully and unconditionally and jointly and severally guarantee the 5.5% Senior Notes and the 5.75% Senior Notes. There are no significant restrictions on the ability of SMLP or Summit Holdings to obtain funds from its subsidiaries by dividend or loan. Finance Corp. has had no assets or operations since inception in 2013. We have no other independent assets or operations. At no time have the Senior Notes been guaranteed by the Co-Issuers.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21" w:name="page22"/>
    <w:bookmarkEnd w:id="21"/>
    <w:p>
      <w:pPr>
        <w:ind w:right="140"/>
        <w:spacing w:after="0" w:line="276" w:lineRule="auto"/>
        <w:rPr>
          <w:sz w:val="20"/>
          <w:szCs w:val="20"/>
          <w:color w:val="auto"/>
        </w:rPr>
      </w:pPr>
      <w:r>
        <w:rPr>
          <w:rFonts w:ascii="Arial" w:cs="Arial" w:eastAsia="Arial" w:hAnsi="Arial"/>
          <w:sz w:val="18"/>
          <w:szCs w:val="18"/>
          <w:color w:val="auto"/>
        </w:rPr>
        <w:t>As of and during the three months ended March 31, 2019, we were in compliance with the covenants governing our Senior Notes. There were no defaults or events of default during the three months ended March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0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us to concentrations of credit risk consist of cash and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and accounts receivable. We maintain our cash and cash equivalents in bank deposit accounts that frequently exceed federally insured limits. We have not experienced any losses in such accounts and do not believe we are exposed to any significant risk.</w:t>
      </w:r>
    </w:p>
    <w:p>
      <w:pPr>
        <w:spacing w:after="0" w:line="4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Accounts receivable primarily comprise amounts due for the gathering, treating and processing services we provide to our customers and also the sale of natural gas liquids resulting from our processing services. This industry concentration has the potential to impact our overall exposure to credit risk, either positively or negatively, in that our customers may be similarly affected by changes in economic, industry or other conditions. We monitor the creditworthiness of our counterparties and can require letters of credit for receivables from counterparties that are judged to have substandard credit, unless the credit risk can otherwise be mitigated. Our top five customers or counterparties accounted for 44% of total accounts receivable as of March 31, 2019, compared with 39% as of December 31, 2018.</w:t>
      </w:r>
    </w:p>
    <w:p>
      <w:pPr>
        <w:spacing w:after="0" w:line="78"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The carrying amount of cash and cash equivalents, accounts receivable and trade accounts payable reported on the balance 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approximates fair value due to their short-term maturities.</w:t>
      </w:r>
    </w:p>
    <w:p>
      <w:pPr>
        <w:spacing w:after="0" w:line="23"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The Deferred Purchase Price Obligation's carrying value is its fair value because carrying value represents the present value of the payment expected to be made in 2020. In March 2019, the Partnership amended the Contribution Agreement related to the 2016 Drop Down and fixed the Remaining Consideration at $303.5 million, with such amount to be paid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 (see Note 17 for additional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estimated fair value of our debt financial instruments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December 31, 2018</w:t>
            </w:r>
          </w:p>
        </w:tc>
      </w:tr>
      <w:tr>
        <w:trPr>
          <w:trHeight w:val="154"/>
        </w:trPr>
        <w:tc>
          <w:tcPr>
            <w:tcW w:w="5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center"/>
              <w:ind w:right="222"/>
              <w:spacing w:after="0" w:line="154"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01"/>
              <w:spacing w:after="0" w:line="154" w:lineRule="exact"/>
              <w:rPr>
                <w:sz w:val="20"/>
                <w:szCs w:val="20"/>
                <w:color w:val="auto"/>
              </w:rPr>
            </w:pPr>
            <w:r>
              <w:rPr>
                <w:rFonts w:ascii="Arial" w:cs="Arial" w:eastAsia="Arial" w:hAnsi="Arial"/>
                <w:sz w:val="14"/>
                <w:szCs w:val="14"/>
                <w:b w:val="1"/>
                <w:bCs w:val="1"/>
                <w:color w:val="auto"/>
              </w:rPr>
              <w:t>Estimated</w:t>
            </w:r>
          </w:p>
        </w:tc>
      </w:tr>
      <w:tr>
        <w:trPr>
          <w:trHeight w:val="162"/>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100" w:type="dxa"/>
            <w:vAlign w:val="bottom"/>
          </w:tcPr>
          <w:p>
            <w:pPr>
              <w:jc w:val="center"/>
              <w:ind w:right="22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120" w:type="dxa"/>
            <w:vAlign w:val="bottom"/>
          </w:tcPr>
          <w:p>
            <w:pPr>
              <w:jc w:val="center"/>
              <w:ind w:right="201"/>
              <w:spacing w:after="0"/>
              <w:rPr>
                <w:sz w:val="20"/>
                <w:szCs w:val="20"/>
                <w:color w:val="auto"/>
              </w:rPr>
            </w:pPr>
            <w:r>
              <w:rPr>
                <w:rFonts w:ascii="Arial" w:cs="Arial" w:eastAsia="Arial" w:hAnsi="Arial"/>
                <w:sz w:val="14"/>
                <w:szCs w:val="14"/>
                <w:b w:val="1"/>
                <w:bCs w:val="1"/>
                <w:color w:val="auto"/>
              </w:rPr>
              <w:t>fair value</w:t>
            </w:r>
          </w:p>
        </w:tc>
      </w:tr>
      <w:tr>
        <w:trPr>
          <w:trHeight w:val="177"/>
        </w:trPr>
        <w:tc>
          <w:tcPr>
            <w:tcW w:w="5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3"/>
        </w:trPr>
        <w:tc>
          <w:tcPr>
            <w:tcW w:w="59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Summit Holdings 5.5% Senior Notes ($300.0 million</w:t>
            </w: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r>
      <w:tr>
        <w:trPr>
          <w:trHeight w:val="225"/>
        </w:trPr>
        <w:tc>
          <w:tcPr>
            <w:tcW w:w="5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principal)</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297,805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296,500</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297,638</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286,625</w:t>
            </w:r>
          </w:p>
        </w:tc>
      </w:tr>
      <w:tr>
        <w:trPr>
          <w:trHeight w:val="193"/>
        </w:trPr>
        <w:tc>
          <w:tcPr>
            <w:tcW w:w="5920" w:type="dxa"/>
            <w:vAlign w:val="bottom"/>
          </w:tcPr>
          <w:p>
            <w:pPr>
              <w:spacing w:after="0" w:line="194" w:lineRule="exact"/>
              <w:rPr>
                <w:sz w:val="20"/>
                <w:szCs w:val="20"/>
                <w:color w:val="auto"/>
              </w:rPr>
            </w:pPr>
            <w:r>
              <w:rPr>
                <w:rFonts w:ascii="Arial" w:cs="Arial" w:eastAsia="Arial" w:hAnsi="Arial"/>
                <w:sz w:val="18"/>
                <w:szCs w:val="18"/>
                <w:color w:val="auto"/>
              </w:rPr>
              <w:t>Summit Holdings 5.75% Senior Notes ($500.0 million</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3"/>
        </w:trPr>
        <w:tc>
          <w:tcPr>
            <w:tcW w:w="5920" w:type="dxa"/>
            <w:vAlign w:val="bottom"/>
          </w:tcPr>
          <w:p>
            <w:pPr>
              <w:ind w:left="200"/>
              <w:spacing w:after="0"/>
              <w:rPr>
                <w:sz w:val="20"/>
                <w:szCs w:val="20"/>
                <w:color w:val="auto"/>
              </w:rPr>
            </w:pPr>
            <w:r>
              <w:rPr>
                <w:rFonts w:ascii="Arial" w:cs="Arial" w:eastAsia="Arial" w:hAnsi="Arial"/>
                <w:sz w:val="18"/>
                <w:szCs w:val="18"/>
                <w:color w:val="auto"/>
              </w:rPr>
              <w:t>principal)</w:t>
            </w:r>
          </w:p>
        </w:tc>
        <w:tc>
          <w:tcPr>
            <w:tcW w:w="20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494,341</w:t>
            </w:r>
          </w:p>
        </w:tc>
        <w:tc>
          <w:tcPr>
            <w:tcW w:w="300" w:type="dxa"/>
            <w:vAlign w:val="bottom"/>
          </w:tcPr>
          <w:p>
            <w:pPr>
              <w:spacing w:after="0"/>
              <w:rPr>
                <w:sz w:val="21"/>
                <w:szCs w:val="21"/>
                <w:color w:val="auto"/>
              </w:rPr>
            </w:pPr>
          </w:p>
        </w:tc>
        <w:tc>
          <w:tcPr>
            <w:tcW w:w="1100" w:type="dxa"/>
            <w:vAlign w:val="bottom"/>
          </w:tcPr>
          <w:p>
            <w:pPr>
              <w:jc w:val="right"/>
              <w:ind w:right="42"/>
              <w:spacing w:after="0"/>
              <w:rPr>
                <w:sz w:val="20"/>
                <w:szCs w:val="20"/>
                <w:color w:val="auto"/>
              </w:rPr>
            </w:pPr>
            <w:r>
              <w:rPr>
                <w:rFonts w:ascii="Arial" w:cs="Arial" w:eastAsia="Arial" w:hAnsi="Arial"/>
                <w:sz w:val="18"/>
                <w:szCs w:val="18"/>
                <w:color w:val="auto"/>
              </w:rPr>
              <w:t>470,417</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494,093</w:t>
            </w:r>
          </w:p>
        </w:tc>
        <w:tc>
          <w:tcPr>
            <w:tcW w:w="30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455,208</w:t>
            </w:r>
          </w:p>
        </w:tc>
      </w:tr>
    </w:tbl>
    <w:p>
      <w:pPr>
        <w:spacing w:after="0" w:line="6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carrying value on the balance sheet of the Revolving Credit Facility is its fair value due to its floating interest rate. The estimated fair value for the Senior Notes is based on an average of nonbinding broker quotes as of March 31, 2019 and December 31, 2018. The use of different market assumptions or valuation methodologies may have a material effect on the estimated fair value of the Senior Notes.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number of common limited partner, preferred limited partner and General Partner units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320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Limited partners</w:t>
            </w:r>
          </w:p>
        </w:tc>
        <w:tc>
          <w:tcPr>
            <w:tcW w:w="14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General</w:t>
            </w:r>
          </w:p>
        </w:tc>
        <w:tc>
          <w:tcPr>
            <w:tcW w:w="0" w:type="dxa"/>
            <w:vAlign w:val="bottom"/>
          </w:tcPr>
          <w:p>
            <w:pPr>
              <w:spacing w:after="0"/>
              <w:rPr>
                <w:sz w:val="1"/>
                <w:szCs w:val="1"/>
                <w:color w:val="auto"/>
              </w:rPr>
            </w:pPr>
          </w:p>
        </w:tc>
      </w:tr>
      <w:tr>
        <w:trPr>
          <w:trHeight w:val="154"/>
        </w:trPr>
        <w:tc>
          <w:tcPr>
            <w:tcW w:w="486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00" w:type="dxa"/>
            <w:vAlign w:val="bottom"/>
            <w:gridSpan w:val="2"/>
          </w:tcPr>
          <w:p>
            <w:pPr>
              <w:jc w:val="center"/>
              <w:ind w:right="260"/>
              <w:spacing w:after="0" w:line="154" w:lineRule="exact"/>
              <w:rPr>
                <w:sz w:val="20"/>
                <w:szCs w:val="20"/>
                <w:color w:val="auto"/>
              </w:rPr>
            </w:pPr>
            <w:r>
              <w:rPr>
                <w:rFonts w:ascii="Arial" w:cs="Arial" w:eastAsia="Arial" w:hAnsi="Arial"/>
                <w:sz w:val="14"/>
                <w:szCs w:val="14"/>
                <w:b w:val="1"/>
                <w:bCs w:val="1"/>
                <w:color w:val="auto"/>
              </w:rPr>
              <w:t>Series A Preferred</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8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Units</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Common</w:t>
            </w:r>
          </w:p>
        </w:tc>
        <w:tc>
          <w:tcPr>
            <w:tcW w:w="1480" w:type="dxa"/>
            <w:vAlign w:val="bottom"/>
          </w:tcPr>
          <w:p>
            <w:pPr>
              <w:jc w:val="right"/>
              <w:ind w:right="476"/>
              <w:spacing w:after="0"/>
              <w:rPr>
                <w:sz w:val="20"/>
                <w:szCs w:val="20"/>
                <w:color w:val="auto"/>
              </w:rPr>
            </w:pPr>
            <w:r>
              <w:rPr>
                <w:rFonts w:ascii="Arial" w:cs="Arial" w:eastAsia="Arial" w:hAnsi="Arial"/>
                <w:sz w:val="14"/>
                <w:szCs w:val="14"/>
                <w:b w:val="1"/>
                <w:bCs w:val="1"/>
                <w:color w:val="auto"/>
              </w:rPr>
              <w:t>Partner</w:t>
            </w:r>
          </w:p>
        </w:tc>
        <w:tc>
          <w:tcPr>
            <w:tcW w:w="0" w:type="dxa"/>
            <w:vAlign w:val="bottom"/>
          </w:tcPr>
          <w:p>
            <w:pPr>
              <w:spacing w:after="0"/>
              <w:rPr>
                <w:sz w:val="1"/>
                <w:szCs w:val="1"/>
                <w:color w:val="auto"/>
              </w:rPr>
            </w:pPr>
          </w:p>
        </w:tc>
      </w:tr>
      <w:tr>
        <w:trPr>
          <w:trHeight w:val="210"/>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Units, January 1, 2019</w:t>
            </w:r>
          </w:p>
        </w:tc>
        <w:tc>
          <w:tcPr>
            <w:tcW w:w="188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300,000</w:t>
            </w:r>
          </w:p>
        </w:tc>
        <w:tc>
          <w:tcPr>
            <w:tcW w:w="1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73,390,853</w:t>
            </w:r>
          </w:p>
        </w:tc>
        <w:tc>
          <w:tcPr>
            <w:tcW w:w="14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1,490,999</w:t>
            </w:r>
          </w:p>
        </w:tc>
        <w:tc>
          <w:tcPr>
            <w:tcW w:w="0" w:type="dxa"/>
            <w:vAlign w:val="bottom"/>
          </w:tcPr>
          <w:p>
            <w:pPr>
              <w:spacing w:after="0"/>
              <w:rPr>
                <w:sz w:val="1"/>
                <w:szCs w:val="1"/>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Conversion of General Partner economic interests</w:t>
            </w:r>
          </w:p>
        </w:tc>
        <w:tc>
          <w:tcPr>
            <w:tcW w:w="188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8,750,000</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(1,490,999)</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units issued under the SMLP LTIP</w:t>
            </w:r>
          </w:p>
        </w:tc>
        <w:tc>
          <w:tcPr>
            <w:tcW w:w="18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554,458</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20"/>
                <w:szCs w:val="20"/>
                <w:color w:val="auto"/>
              </w:rPr>
            </w:pPr>
            <w:r>
              <w:rPr>
                <w:rFonts w:ascii="Arial" w:cs="Arial" w:eastAsia="Arial" w:hAnsi="Arial"/>
                <w:sz w:val="18"/>
                <w:szCs w:val="18"/>
                <w:b w:val="1"/>
                <w:bCs w:val="1"/>
                <w:color w:val="auto"/>
              </w:rPr>
              <w:t>Units, March 31, 2019</w:t>
            </w:r>
          </w:p>
        </w:tc>
        <w:tc>
          <w:tcPr>
            <w:tcW w:w="18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82,695,311</w:t>
            </w:r>
          </w:p>
        </w:tc>
        <w:tc>
          <w:tcPr>
            <w:tcW w:w="1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80" w:type="dxa"/>
            <w:vAlign w:val="bottom"/>
            <w:vMerge w:val="restart"/>
          </w:tcPr>
          <w:p>
            <w:pPr>
              <w:jc w:val="right"/>
              <w:ind w:right="830"/>
              <w:spacing w:after="0"/>
              <w:rPr>
                <w:sz w:val="20"/>
                <w:szCs w:val="20"/>
                <w:color w:val="auto"/>
              </w:rPr>
            </w:pPr>
            <w:r>
              <w:rPr>
                <w:rFonts w:ascii="Arial" w:cs="Arial" w:eastAsia="Arial" w:hAnsi="Arial"/>
                <w:sz w:val="18"/>
                <w:szCs w:val="18"/>
                <w:color w:val="auto"/>
              </w:rPr>
              <w:t>21</w:t>
            </w: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8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860" w:type="dxa"/>
            <w:vAlign w:val="bottom"/>
            <w:tcBorders>
              <w:bottom w:val="single" w:sz="8" w:color="9A9A9A"/>
            </w:tcBorders>
          </w:tcPr>
          <w:p>
            <w:pPr>
              <w:spacing w:after="0"/>
              <w:rPr>
                <w:sz w:val="8"/>
                <w:szCs w:val="8"/>
                <w:color w:val="auto"/>
              </w:rPr>
            </w:pPr>
          </w:p>
        </w:tc>
        <w:tc>
          <w:tcPr>
            <w:tcW w:w="18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2" w:name="page23"/>
    <w:bookmarkEnd w:id="22"/>
    <w:p>
      <w:pPr>
        <w:ind w:right="40"/>
        <w:spacing w:after="0" w:line="249" w:lineRule="auto"/>
        <w:rPr>
          <w:sz w:val="20"/>
          <w:szCs w:val="20"/>
          <w:color w:val="auto"/>
        </w:rPr>
      </w:pPr>
      <w:r>
        <w:rPr>
          <w:rFonts w:ascii="Arial" w:cs="Arial" w:eastAsia="Arial" w:hAnsi="Arial"/>
          <w:sz w:val="18"/>
          <w:szCs w:val="18"/>
          <w:b w:val="1"/>
          <w:bCs w:val="1"/>
          <w:i w:val="1"/>
          <w:iCs w:val="1"/>
          <w:color w:val="auto"/>
        </w:rPr>
        <w:t xml:space="preserve">GP/IDR Exchange. </w:t>
      </w:r>
      <w:r>
        <w:rPr>
          <w:rFonts w:ascii="Arial" w:cs="Arial" w:eastAsia="Arial" w:hAnsi="Arial"/>
          <w:sz w:val="18"/>
          <w:szCs w:val="18"/>
          <w:color w:val="auto"/>
        </w:rPr>
        <w:t>On March 22, 2019, we cancelled our IDRs and converted our 2% economic GP interest to a non-economic GP interest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for 8,750,000 SMLP common units which were issued to SMP Holdings (the “Equity Restructuring”). These units had a fair value of $84.5 million as of the transaction date (March 22, 2019). As a result of the Equity Restructuring, the general partner units and IDRs were eliminated, are no longer outstanding, and no longer participate in distributions of cash from SMLP. ECP continues to control the non-economic GP interest in SMLP.</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At-the-market Program. </w:t>
      </w:r>
      <w:r>
        <w:rPr>
          <w:rFonts w:ascii="Arial" w:cs="Arial" w:eastAsia="Arial" w:hAnsi="Arial"/>
          <w:sz w:val="18"/>
          <w:szCs w:val="18"/>
          <w:color w:val="auto"/>
        </w:rPr>
        <w:t>In 2017, we executed an equity distribution agreement and filed a prospectus and a prospectus supplement with the</w:t>
      </w:r>
    </w:p>
    <w:p>
      <w:pPr>
        <w:spacing w:after="0" w:line="44"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color w:val="auto"/>
        </w:rPr>
        <w:t>SEC for the issuance and sale from time to time of SMLP common units having an aggregate offering price of up to $150.0 million (the "ATM Program"). These sales will be made (i) pursuant to the terms of the equity distribution agreement between us and the sales agents named therein and (ii) by means of ordinary brokers' transactions at market prices, in block transactions or as otherwise agreed between us and the sales agents. Sales of our common units may be made in negotiated transactions or transactions that are deemed to be at-the-market offerings as defined by SEC rules</w:t>
      </w:r>
      <w:r>
        <w:rPr>
          <w:rFonts w:ascii="Arial" w:cs="Arial" w:eastAsia="Arial" w:hAnsi="Arial"/>
          <w:sz w:val="18"/>
          <w:szCs w:val="18"/>
          <w:b w:val="1"/>
          <w:bCs w:val="1"/>
          <w:i w:val="1"/>
          <w:iCs w:val="1"/>
          <w:color w:val="auto"/>
        </w:rPr>
        <w:t>.</w:t>
      </w:r>
    </w:p>
    <w:p>
      <w:pPr>
        <w:spacing w:after="0" w:line="5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the three months ended March 31, 2019, there were no transactions under the ATM Program. Following the effectiveness of the ATM Program registration statement and after taking into account the aggregate sales price of common units sold under the ATM Program through March 31, 2019, we have the capacity to issue additional common units under the ATM Program up to an aggregate $132.3 million.</w:t>
      </w:r>
    </w:p>
    <w:p>
      <w:pPr>
        <w:spacing w:after="0" w:line="6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In 2017, we issued 300,000 Series A Fixed -to-Floating Rate Cumulative Redeemable Perpetual Preferred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A Preferred Units”) representing limited partner interests in the Partnership at a price to the public of $1,000 per unit as described in the 2018 Annual Report.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Distributions Paid and Declared. </w:t>
      </w:r>
      <w:r>
        <w:rPr>
          <w:rFonts w:ascii="Arial" w:cs="Arial" w:eastAsia="Arial" w:hAnsi="Arial"/>
          <w:sz w:val="18"/>
          <w:szCs w:val="18"/>
          <w:color w:val="auto"/>
        </w:rPr>
        <w:t>We paid the following per-unit distributions during the three months ended March 31:</w:t>
      </w:r>
    </w:p>
    <w:p>
      <w:pPr>
        <w:spacing w:after="0" w:line="219"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10160</wp:posOffset>
            </wp:positionV>
            <wp:extent cx="22726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1" w:lineRule="exact"/>
        <w:rPr>
          <w:sz w:val="20"/>
          <w:szCs w:val="20"/>
          <w:color w:val="auto"/>
        </w:rPr>
      </w:pPr>
    </w:p>
    <w:p>
      <w:pPr>
        <w:ind w:left="8460"/>
        <w:spacing w:after="0"/>
        <w:tabs>
          <w:tab w:leader="none" w:pos="103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8" w:lineRule="exact"/>
        <w:rPr>
          <w:sz w:val="20"/>
          <w:szCs w:val="20"/>
          <w:color w:val="auto"/>
        </w:rPr>
      </w:pPr>
    </w:p>
    <w:p>
      <w:pPr>
        <w:spacing w:after="0"/>
        <w:tabs>
          <w:tab w:leader="none" w:pos="7820" w:val="left"/>
          <w:tab w:leader="none" w:pos="8940" w:val="left"/>
          <w:tab w:leader="none" w:pos="9680" w:val="left"/>
          <w:tab w:leader="none" w:pos="10820" w:val="left"/>
        </w:tabs>
        <w:rPr>
          <w:sz w:val="20"/>
          <w:szCs w:val="20"/>
          <w:color w:val="auto"/>
        </w:rPr>
      </w:pPr>
      <w:r>
        <w:rPr>
          <w:rFonts w:ascii="Arial" w:cs="Arial" w:eastAsia="Arial" w:hAnsi="Arial"/>
          <w:sz w:val="18"/>
          <w:szCs w:val="18"/>
          <w:color w:val="auto"/>
        </w:rPr>
        <w:t>Per-unit distributions to unitholders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0.575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0.575</w:t>
      </w:r>
    </w:p>
    <w:p>
      <w:pPr>
        <w:spacing w:after="0" w:line="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25, 2019, the Board of Directors of our General Partner declared a distribution of $0.2875 per unit for the quarterly period ended March 31, 2019. This distribution, which totaled $23.8 million, will be paid on May 15, 2019 to unitholders of record at the close of business on May 8, 2019.</w:t>
      </w:r>
    </w:p>
    <w:p>
      <w:pPr>
        <w:spacing w:after="0" w:line="49" w:lineRule="exact"/>
        <w:rPr>
          <w:sz w:val="20"/>
          <w:szCs w:val="20"/>
          <w:color w:val="auto"/>
        </w:rPr>
      </w:pPr>
    </w:p>
    <w:p>
      <w:pPr>
        <w:jc w:val="both"/>
        <w:ind w:right="40"/>
        <w:spacing w:after="0" w:line="292" w:lineRule="auto"/>
        <w:rPr>
          <w:sz w:val="20"/>
          <w:szCs w:val="20"/>
          <w:color w:val="auto"/>
        </w:rPr>
      </w:pPr>
      <w:r>
        <w:rPr>
          <w:rFonts w:ascii="Arial" w:cs="Arial" w:eastAsia="Arial" w:hAnsi="Arial"/>
          <w:sz w:val="18"/>
          <w:szCs w:val="18"/>
          <w:b w:val="1"/>
          <w:bCs w:val="1"/>
          <w:i w:val="1"/>
          <w:iCs w:val="1"/>
          <w:color w:val="auto"/>
        </w:rPr>
        <w:t xml:space="preserve">Incentive Distribution Rights. </w:t>
      </w:r>
      <w:r>
        <w:rPr>
          <w:rFonts w:ascii="Arial" w:cs="Arial" w:eastAsia="Arial" w:hAnsi="Arial"/>
          <w:sz w:val="18"/>
          <w:szCs w:val="18"/>
          <w:color w:val="auto"/>
        </w:rPr>
        <w:t>In March 2019, as a result of the Equity Restructuring, we cancelled our IDRs and converted our 2% economic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GP interest to a non-economic GP interest in exchange for 8,750,000 newly issued SMLP common units, which were issued to SMP Holdings.</w:t>
      </w:r>
    </w:p>
    <w:p>
      <w:pPr>
        <w:spacing w:after="0" w:line="23"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Immediately following the Equity Restructuring, SMP Holdings directly owned a 41.8% limited partner interest in SMLP and an affiliate of Energy Capital Partners II, LLC directly owned a 7.2% limited partner interest in SMLP.</w:t>
      </w:r>
    </w:p>
    <w:p>
      <w:pPr>
        <w:spacing w:after="0" w:line="37"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For the three months ended March 31, 2018, our general partner held IDRs that entitled it to receive increasing percentage allocations, up to a maximum of 50%, of the cash we distributed from operating surplus in excess of $0.46 per unit per quarter.</w:t>
      </w:r>
    </w:p>
    <w:p>
      <w:pPr>
        <w:spacing w:after="0" w:line="51" w:lineRule="exact"/>
        <w:rPr>
          <w:sz w:val="20"/>
          <w:szCs w:val="20"/>
          <w:color w:val="auto"/>
        </w:rPr>
      </w:pPr>
    </w:p>
    <w:p>
      <w:pPr>
        <w:ind w:right="220"/>
        <w:spacing w:after="0" w:line="276" w:lineRule="auto"/>
        <w:rPr>
          <w:sz w:val="20"/>
          <w:szCs w:val="20"/>
          <w:color w:val="auto"/>
        </w:rPr>
      </w:pPr>
      <w:r>
        <w:rPr>
          <w:rFonts w:ascii="Arial" w:cs="Arial" w:eastAsia="Arial" w:hAnsi="Arial"/>
          <w:sz w:val="18"/>
          <w:szCs w:val="18"/>
          <w:color w:val="auto"/>
        </w:rPr>
        <w:t>Our payment of IDRs as reported in distributions to unitholders – general partner in the statement of partners' capital during the three months ended March 31 follow.</w:t>
      </w:r>
    </w:p>
    <w:p>
      <w:pPr>
        <w:spacing w:after="0" w:line="139"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10160</wp:posOffset>
            </wp:positionV>
            <wp:extent cx="227266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1" w:lineRule="exact"/>
        <w:rPr>
          <w:sz w:val="20"/>
          <w:szCs w:val="20"/>
          <w:color w:val="auto"/>
        </w:rPr>
      </w:pPr>
    </w:p>
    <w:p>
      <w:pPr>
        <w:ind w:left="8460"/>
        <w:spacing w:after="0"/>
        <w:tabs>
          <w:tab w:leader="none" w:pos="103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1905</wp:posOffset>
            </wp:positionV>
            <wp:extent cx="22726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5"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 w:lineRule="exact"/>
        <w:rPr>
          <w:sz w:val="20"/>
          <w:szCs w:val="20"/>
          <w:color w:val="auto"/>
        </w:rPr>
      </w:pPr>
    </w:p>
    <w:p>
      <w:pPr>
        <w:spacing w:after="0"/>
        <w:tabs>
          <w:tab w:leader="none" w:pos="7820" w:val="left"/>
          <w:tab w:leader="none" w:pos="8940" w:val="left"/>
          <w:tab w:leader="none" w:pos="9680" w:val="left"/>
          <w:tab w:leader="none" w:pos="10820" w:val="left"/>
        </w:tabs>
        <w:rPr>
          <w:sz w:val="20"/>
          <w:szCs w:val="20"/>
          <w:color w:val="auto"/>
        </w:rPr>
      </w:pPr>
      <w:r>
        <w:rPr>
          <w:rFonts w:ascii="Arial" w:cs="Arial" w:eastAsia="Arial" w:hAnsi="Arial"/>
          <w:sz w:val="18"/>
          <w:szCs w:val="18"/>
          <w:color w:val="auto"/>
        </w:rPr>
        <w:t>IDR payments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2,139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2,128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3" w:name="page24"/>
    <w:bookmarkEnd w:id="23"/>
    <w:p>
      <w:pPr>
        <w:ind w:right="140"/>
        <w:spacing w:after="0" w:line="255" w:lineRule="auto"/>
        <w:rPr>
          <w:sz w:val="20"/>
          <w:szCs w:val="20"/>
          <w:color w:val="auto"/>
        </w:rPr>
      </w:pPr>
      <w:r>
        <w:rPr>
          <w:rFonts w:ascii="Arial" w:cs="Arial" w:eastAsia="Arial" w:hAnsi="Arial"/>
          <w:sz w:val="18"/>
          <w:szCs w:val="18"/>
          <w:color w:val="auto"/>
        </w:rPr>
        <w:t>For the purposes of calculating net income attributable to General Partner in the statements of operations and partners' capital, the financial impact of IDRs was recognized in respect of the quarter for which the distributions were declared. For the purposes of calculating distributions to unitholders in the statements of partners' capital and cash flows, IDR payments were recognized in the quarter in which they are paid.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PER UNIT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580" w:type="dxa"/>
            <w:vAlign w:val="bottom"/>
            <w:gridSpan w:val="5"/>
          </w:tcPr>
          <w:p>
            <w:pPr>
              <w:jc w:val="right"/>
              <w:ind w:right="390"/>
              <w:spacing w:after="0"/>
              <w:rPr>
                <w:sz w:val="20"/>
                <w:szCs w:val="20"/>
                <w:color w:val="auto"/>
              </w:rPr>
            </w:pPr>
            <w:r>
              <w:rPr>
                <w:rFonts w:ascii="Arial" w:cs="Arial" w:eastAsia="Arial" w:hAnsi="Arial"/>
                <w:sz w:val="14"/>
                <w:szCs w:val="14"/>
                <w:b w:val="1"/>
                <w:bCs w:val="1"/>
                <w:color w:val="auto"/>
              </w:rPr>
              <w:t>(In thousands, except per-unit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 for basic and diluted EPU:</w:t>
            </w:r>
          </w:p>
        </w:tc>
        <w:tc>
          <w:tcPr>
            <w:tcW w:w="1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Allocation of net loss among limited partner interests:</w:t>
            </w: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loss attributable to limited partners</w:t>
            </w:r>
          </w:p>
        </w:tc>
        <w:tc>
          <w:tcPr>
            <w:tcW w:w="2220" w:type="dxa"/>
            <w:vAlign w:val="bottom"/>
            <w:gridSpan w:val="2"/>
            <w:shd w:val="clear" w:color="auto" w:fill="CFF0FC"/>
          </w:tcPr>
          <w:p>
            <w:pPr>
              <w:jc w:val="right"/>
              <w:ind w:right="784"/>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(36,926)</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Less net income attributable to Series A Preferred Units</w:t>
            </w:r>
          </w:p>
        </w:tc>
        <w:tc>
          <w:tcPr>
            <w:tcW w:w="126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7,125</w:t>
            </w:r>
          </w:p>
        </w:tc>
        <w:tc>
          <w:tcPr>
            <w:tcW w:w="18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common limited partners</w:t>
            </w:r>
          </w:p>
        </w:tc>
        <w:tc>
          <w:tcPr>
            <w:tcW w:w="1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78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(44,051)</w:t>
            </w:r>
          </w:p>
        </w:tc>
        <w:tc>
          <w:tcPr>
            <w:tcW w:w="1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(13,113)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 for basic and diluted EPU:</w:t>
            </w:r>
          </w:p>
        </w:tc>
        <w:tc>
          <w:tcPr>
            <w:tcW w:w="1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56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Weighted-average common units outstanding – basic and diluted</w:t>
            </w:r>
          </w:p>
        </w:tc>
        <w:tc>
          <w:tcPr>
            <w:tcW w:w="126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75,793</w:t>
            </w:r>
          </w:p>
        </w:tc>
        <w:tc>
          <w:tcPr>
            <w:tcW w:w="18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73,134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6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Loss per limited partner unit:</w:t>
            </w:r>
          </w:p>
        </w:tc>
        <w:tc>
          <w:tcPr>
            <w:tcW w:w="1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unit – basic</w:t>
            </w:r>
          </w:p>
        </w:tc>
        <w:tc>
          <w:tcPr>
            <w:tcW w:w="2220" w:type="dxa"/>
            <w:vAlign w:val="bottom"/>
            <w:gridSpan w:val="2"/>
            <w:shd w:val="clear" w:color="auto" w:fill="CFF0FC"/>
          </w:tcPr>
          <w:p>
            <w:pPr>
              <w:jc w:val="right"/>
              <w:ind w:right="784"/>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794"/>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Common unit – diluted</w:t>
            </w:r>
          </w:p>
        </w:tc>
        <w:tc>
          <w:tcPr>
            <w:tcW w:w="2220" w:type="dxa"/>
            <w:vAlign w:val="bottom"/>
            <w:gridSpan w:val="2"/>
          </w:tcPr>
          <w:p>
            <w:pPr>
              <w:jc w:val="right"/>
              <w:ind w:right="784"/>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(0.58)</w:t>
            </w:r>
          </w:p>
        </w:tc>
        <w:tc>
          <w:tcPr>
            <w:tcW w:w="180" w:type="dxa"/>
            <w:vAlign w:val="bottom"/>
          </w:tcPr>
          <w:p>
            <w:pPr>
              <w:spacing w:after="0"/>
              <w:rPr>
                <w:sz w:val="18"/>
                <w:szCs w:val="18"/>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560" w:type="dxa"/>
            <w:vAlign w:val="bottom"/>
          </w:tcPr>
          <w:p>
            <w:pPr>
              <w:spacing w:after="0" w:line="194" w:lineRule="exact"/>
              <w:rPr>
                <w:sz w:val="20"/>
                <w:szCs w:val="20"/>
                <w:color w:val="auto"/>
              </w:rPr>
            </w:pPr>
            <w:r>
              <w:rPr>
                <w:rFonts w:ascii="Arial" w:cs="Arial" w:eastAsia="Arial" w:hAnsi="Arial"/>
                <w:sz w:val="18"/>
                <w:szCs w:val="18"/>
                <w:color w:val="auto"/>
              </w:rPr>
              <w:t>Nonvested anti-dilutive phantom units excluded from the</w:t>
            </w: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560" w:type="dxa"/>
            <w:vAlign w:val="bottom"/>
          </w:tcPr>
          <w:p>
            <w:pPr>
              <w:ind w:left="180"/>
              <w:spacing w:after="0"/>
              <w:rPr>
                <w:sz w:val="20"/>
                <w:szCs w:val="20"/>
                <w:color w:val="auto"/>
              </w:rPr>
            </w:pPr>
            <w:r>
              <w:rPr>
                <w:rFonts w:ascii="Arial" w:cs="Arial" w:eastAsia="Arial" w:hAnsi="Arial"/>
                <w:sz w:val="18"/>
                <w:szCs w:val="18"/>
                <w:color w:val="auto"/>
              </w:rPr>
              <w:t>calculation of diluted EPU</w:t>
            </w:r>
          </w:p>
        </w:tc>
        <w:tc>
          <w:tcPr>
            <w:tcW w:w="1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UNIT-BASED AND NONCASH COMPENSATION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SMLP Long-Term Incentive Plan. </w:t>
      </w:r>
      <w:r>
        <w:rPr>
          <w:rFonts w:ascii="Arial" w:cs="Arial" w:eastAsia="Arial" w:hAnsi="Arial"/>
          <w:sz w:val="18"/>
          <w:szCs w:val="18"/>
          <w:color w:val="auto"/>
        </w:rPr>
        <w:t>The SMLP LTIP provides for equity awards to eligible officers, employees, consultants and directors of our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and its affiliates. Items to note:</w:t>
      </w:r>
    </w:p>
    <w:p>
      <w:pPr>
        <w:spacing w:after="0" w:line="82" w:lineRule="exact"/>
        <w:rPr>
          <w:sz w:val="20"/>
          <w:szCs w:val="20"/>
          <w:color w:val="auto"/>
        </w:rPr>
      </w:pPr>
    </w:p>
    <w:p>
      <w:pPr>
        <w:ind w:left="800" w:right="160" w:hanging="400"/>
        <w:spacing w:after="0" w:line="268" w:lineRule="auto"/>
        <w:tabs>
          <w:tab w:leader="none" w:pos="8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In March 2019, we granted 639,522 phantom units and associated distribution equivalent rights to employees in connection with our annual incentive compensation award cycle. These awards had a grant date fair value of $9.78 and vest ratably over a three-year </w:t>
      </w:r>
      <w:r>
        <w:rPr>
          <w:rFonts w:ascii="Times New Roman" w:cs="Times New Roman" w:eastAsia="Times New Roman" w:hAnsi="Times New Roman"/>
          <w:sz w:val="18"/>
          <w:szCs w:val="18"/>
          <w:color w:val="auto"/>
        </w:rPr>
        <w:t>period.</w:t>
      </w:r>
    </w:p>
    <w:p>
      <w:pPr>
        <w:spacing w:after="0" w:line="61"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three months ended March 31, 2019, 559,364 phantom units vested.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As of March 31, 2019, approximately 2.6 </w:t>
      </w:r>
      <w:r>
        <w:rPr>
          <w:rFonts w:ascii="Times New Roman" w:cs="Times New Roman" w:eastAsia="Times New Roman" w:hAnsi="Times New Roman"/>
          <w:sz w:val="18"/>
          <w:szCs w:val="18"/>
          <w:color w:val="auto"/>
        </w:rPr>
        <w:t>million</w:t>
      </w:r>
      <w:r>
        <w:rPr>
          <w:rFonts w:ascii="Arial" w:cs="Arial" w:eastAsia="Arial" w:hAnsi="Arial"/>
          <w:sz w:val="18"/>
          <w:szCs w:val="18"/>
          <w:color w:val="auto"/>
        </w:rPr>
        <w:t xml:space="preserve"> common units remained available for future issuance under the SMLP LTIP.</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15. RELATED-PARTY TRANSACTIONS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See Notes 12 and 17 of the 2018 Annual Report.</w:t>
      </w:r>
    </w:p>
    <w:p>
      <w:pPr>
        <w:spacing w:after="0" w:line="10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i w:val="1"/>
          <w:iCs w:val="1"/>
          <w:color w:val="auto"/>
        </w:rPr>
        <w:t xml:space="preserve">Reimbursement of Expenses from General Partner. </w:t>
      </w:r>
      <w:r>
        <w:rPr>
          <w:rFonts w:ascii="Arial" w:cs="Arial" w:eastAsia="Arial" w:hAnsi="Arial"/>
          <w:sz w:val="18"/>
          <w:szCs w:val="18"/>
          <w:color w:val="auto"/>
        </w:rPr>
        <w:t>Our General Partner and its affiliates do not receive a management fee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 connection with the management of our business, but will be reimbursed for expenses incurred on our behalf. Under our Partnership Agreement, we reimburse our General Partner and its affiliates for certain expenses incurred on our behalf, including, without limitation, salary, bonus, incentive compensation and other amounts paid to our General Partner's employees and executive officers who perform services necessary to run our business. Our Partnership Agreement provides that our General Partner will determine in good faith the expenses that are allocable to us. The "Due to affiliate" line item on the consolidated balance sheet represents the payables to our General Partner for expenses incurred by it and paid on our behalf.</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Expenses incurred by the General Partner and reimbursed by us under our Partnership Agreement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40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900" w:type="dxa"/>
            <w:vAlign w:val="bottom"/>
            <w:tcBorders>
              <w:bottom w:val="single" w:sz="8" w:color="auto"/>
            </w:tcBorders>
            <w:gridSpan w:val="3"/>
          </w:tcPr>
          <w:p>
            <w:pPr>
              <w:jc w:val="center"/>
              <w:ind w:left="468"/>
              <w:spacing w:after="0"/>
              <w:rPr>
                <w:sz w:val="20"/>
                <w:szCs w:val="20"/>
                <w:color w:val="auto"/>
              </w:rPr>
            </w:pPr>
            <w:r>
              <w:rPr>
                <w:rFonts w:ascii="Arial" w:cs="Arial" w:eastAsia="Arial" w:hAnsi="Arial"/>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r>
      <w:tr>
        <w:trPr>
          <w:trHeight w:val="169"/>
        </w:trPr>
        <w:tc>
          <w:tcPr>
            <w:tcW w:w="54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4"/>
                <w:szCs w:val="14"/>
                <w:color w:val="auto"/>
              </w:rPr>
            </w:pPr>
          </w:p>
        </w:tc>
      </w:tr>
      <w:tr>
        <w:trPr>
          <w:trHeight w:val="210"/>
        </w:trPr>
        <w:tc>
          <w:tcPr>
            <w:tcW w:w="54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920" w:type="dxa"/>
            <w:vAlign w:val="bottom"/>
            <w:gridSpan w:val="2"/>
          </w:tcPr>
          <w:p>
            <w:pPr>
              <w:jc w:val="center"/>
              <w:ind w:right="359"/>
              <w:spacing w:after="0"/>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8"/>
                <w:szCs w:val="18"/>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 expense</w:t>
            </w:r>
          </w:p>
        </w:tc>
        <w:tc>
          <w:tcPr>
            <w:tcW w:w="342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7,885</w:t>
            </w:r>
          </w:p>
        </w:tc>
        <w:tc>
          <w:tcPr>
            <w:tcW w:w="118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7,623</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24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10,830</w:t>
            </w:r>
          </w:p>
        </w:tc>
        <w:tc>
          <w:tcPr>
            <w:tcW w:w="118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8,117</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 COMMITMENTS AND CONTINGENCIES</w:t>
      </w:r>
    </w:p>
    <w:p>
      <w:pPr>
        <w:spacing w:after="0" w:line="10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account for leases in accordance with Topic 842, which we adopted on January 1, 2019, using the modified retrospective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modified retrospective method, the comparative information is not adjusted and is reported under the accounting standards in effect for those periods. See Note 2 for further discussion of the adoption.</w:t>
      </w:r>
    </w:p>
    <w:p>
      <w:pPr>
        <w:spacing w:after="0" w:line="5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We and Summit Investments lease certain office space and equipment under operating leases. We lease office space for our corporate headquarters as well as for offices in and around our gathering systems for terms of between 3 and 10 years. We lease the office space to limit exposure to risks related to ownership, such as fluctuations in real estate prices. In addition, we lease equipment primarily to support our operations in response to the needs of our gathering systems for terms of between 3 and 4 years. We and Summit Investments also lease vehicles under finance leases to support our operations in response to the needs of our gathering systems for a term of 3 years. We only lease from reputable companies and our leased assets are not specialized in our industry.</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leases are subject to annual changes relating to the Consumer Price Index (“CPI”). While lease liabilities are not remeasured as a result of changes to the CPI, changes to the CPI are treated as variable lease payments and recognized in the period in which the obligation for those payments was incurred.</w:t>
      </w:r>
    </w:p>
    <w:p>
      <w:pPr>
        <w:spacing w:after="0" w:line="56"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We have options to extend the lease term of certain office space in Texas, Colorado and West Virginia. The beginning of the noncancelable lease period for these leases range from 2014 to 2018 and the lease period ends between 2019 and 2021. These lease agreements contain between one and three options to renew the lease for a period of between two and five years. As of March 31, 2019, the exercise of the renewal options for these leases are not reasonably certain and, as a result, the payments associated with these renewals are not included in the measurement of the lease liability and ROU asset.</w:t>
      </w:r>
    </w:p>
    <w:p>
      <w:pPr>
        <w:spacing w:after="0" w:line="64"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We also have options to extend the lease term of certain compression equipment used at the Summit Utica gathering system. The beginning of the noncancelable lease period for these leases is 2017 and the lease period ends in 2020. Upon expiration of the noncancelable lease period, we have the option to renew the leases on a month-to-month basis; we therefore have not included any amounts attributable to renewals in the measurement.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Our leases do not contain residual value guarantees.</w:t>
      </w:r>
    </w:p>
    <w:p>
      <w:pPr>
        <w:spacing w:after="0" w:line="104"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color w:val="auto"/>
        </w:rPr>
        <w:t>In accordance with the provisions in our Revolving Credit Facility, our aggregate finance lease obligations cannot exceed the greater of $50 million or 5.5% of consolidated total assets in any period of twelve consecutive calendar months during the life of such leases.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2" w:right="239" w:bottom="1440" w:gutter="0" w:footer="0" w:header="0"/>
        </w:sectPr>
      </w:pPr>
    </w:p>
    <w:bookmarkStart w:id="25" w:name="page26"/>
    <w:bookmarkEnd w:id="25"/>
    <w:p>
      <w:pPr>
        <w:ind w:right="20"/>
        <w:spacing w:after="0" w:line="239" w:lineRule="auto"/>
        <w:rPr>
          <w:sz w:val="20"/>
          <w:szCs w:val="20"/>
          <w:color w:val="auto"/>
        </w:rPr>
      </w:pPr>
      <w:r>
        <w:rPr>
          <w:rFonts w:ascii="Arial" w:cs="Arial" w:eastAsia="Arial" w:hAnsi="Arial"/>
          <w:sz w:val="18"/>
          <w:szCs w:val="18"/>
          <w:color w:val="auto"/>
        </w:rPr>
        <w:t>During the three months ended March 31, 2019, we entered into an agreement with a third party vendor to construct a transmission line to deliver electric power to the new 60 MMcf/d processing plant under development in the DJ Basin. The project is expected to cost approximately $7.8 million and we have made an up-front payment of $3.0 million which is included in the Property, plant and equipment, net caption on the unaudited condensed consolidated balance sheet. We have an unexercised option to increase the power needs of the transmission line up through June 30, 2019 for an additional cost. We will be required to provide an irrevocable letter of credit payable to the vendor with an initial term of one year totaling $4.8 million no later than June 30, 2019. The letter of credit will automatically renew for successive twelve month periods following the initial term, subject to certain adjustments. Once construction is complete, the letter of credit will be adjusted to reflect the final construction cost. We determined the contract contained a lease based on the right to use the constructed transmission line to power the processing plant in the DJ Basin. The project is expected to be completed and the commencement date of the ROU asset will be on or before July 1, 2020.</w:t>
      </w:r>
    </w:p>
    <w:p>
      <w:pPr>
        <w:spacing w:after="0" w:line="73"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Our significant assumptions or judgments include the determination of whether a contract contains a lease and the discount rate used in our lease liabilities.</w:t>
      </w:r>
    </w:p>
    <w:p>
      <w:pPr>
        <w:spacing w:after="0" w:line="37"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The rate implicit in our lease contracts is not readily determinable. In determining the discount rate used in our lease liabilities, we analyzed certain factors in our incremental borrowing rate, including collateral assumptions and the term used. Our incremental borrowing rate on the Revolving Credit Facility was 5.03% at December 31, 2018, which reflects the fixed rate at which we could borrow a similar amount, for a similar term and with similar collateral as in the lease contracts at the commencement date.</w:t>
      </w:r>
    </w:p>
    <w:p>
      <w:pPr>
        <w:spacing w:after="0" w:line="6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adopted the following practical expedients in Topic 842 for all asset classes, which included (i) not being required to reassess whether any expired or existing contracts are or contain leases; (ii) not being required to reassess the lease classification for any expired or existing leases (that is, all existing leases that were classified as operating leases in accordance with Topic 840 will be classified as operating leases, and all existing leases that were classified as capital leases in accordance with Topic 840 will be classified as finance leases); (iii) not being required to reassess initial direct costs for any existing leases; (iv) not recognizing ROU assets and lease liabilities that arise from short-term leases of twelve months or less for any class of underlying asset; (v) not allocating consideration in a contract between lease and nonlease (e.g., maintenance services) components for our leased office space and equipment; and (vi) not evaluating existing or expired land easements that were not previously accounted for as leases under Topic 840.</w:t>
      </w:r>
    </w:p>
    <w:p>
      <w:pPr>
        <w:spacing w:after="0" w:line="73"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ROU assets (included in the Property, plant and equipment, net caption on our unaudited condensed consolidated balance sheet) and lease liabilities (included in the Other current liabilities and Other noncurrent liabilities captions on our unaudited condensed consolidated balance sheet) follow: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20" w:type="dxa"/>
            <w:vAlign w:val="bottom"/>
          </w:tcPr>
          <w:p>
            <w:pPr>
              <w:jc w:val="center"/>
              <w:ind w:right="47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49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20" w:type="dxa"/>
            <w:vAlign w:val="bottom"/>
          </w:tcPr>
          <w:p>
            <w:pPr>
              <w:jc w:val="center"/>
              <w:ind w:right="47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398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ROU assets</w:t>
            </w:r>
          </w:p>
        </w:tc>
        <w:tc>
          <w:tcPr>
            <w:tcW w:w="4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5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54"/>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478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3,721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ind w:right="54"/>
              <w:spacing w:after="0"/>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current</w:t>
            </w:r>
          </w:p>
        </w:tc>
        <w:tc>
          <w:tcPr>
            <w:tcW w:w="4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5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54"/>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478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ind w:right="54"/>
              <w:spacing w:after="0"/>
              <w:rPr>
                <w:sz w:val="20"/>
                <w:szCs w:val="20"/>
                <w:color w:val="auto"/>
              </w:rPr>
            </w:pPr>
            <w:r>
              <w:rPr>
                <w:rFonts w:ascii="Arial" w:cs="Arial" w:eastAsia="Arial" w:hAnsi="Arial"/>
                <w:sz w:val="18"/>
                <w:szCs w:val="18"/>
                <w:color w:val="auto"/>
              </w:rPr>
              <w:t>4,227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noncurrent</w:t>
            </w:r>
          </w:p>
        </w:tc>
        <w:tc>
          <w:tcPr>
            <w:tcW w:w="47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52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220" w:type="dxa"/>
            <w:vAlign w:val="bottom"/>
          </w:tcPr>
          <w:p>
            <w:pPr>
              <w:jc w:val="right"/>
              <w:ind w:right="54"/>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478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22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2220" w:type="dxa"/>
            <w:vAlign w:val="bottom"/>
          </w:tcPr>
          <w:p>
            <w:pPr>
              <w:jc w:val="right"/>
              <w:ind w:right="54"/>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40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780" w:type="dxa"/>
            <w:vAlign w:val="bottom"/>
          </w:tcPr>
          <w:p>
            <w:pPr>
              <w:jc w:val="right"/>
              <w:ind w:right="287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478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Lease cost and Other information follow: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tcPr>
          <w:p>
            <w:pPr>
              <w:jc w:val="center"/>
              <w:ind w:right="43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7"/>
        </w:trPr>
        <w:tc>
          <w:tcPr>
            <w:tcW w:w="87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jc w:val="center"/>
              <w:ind w:right="434"/>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196"/>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Lease cost</w:t>
            </w:r>
          </w:p>
        </w:tc>
        <w:tc>
          <w:tcPr>
            <w:tcW w:w="320" w:type="dxa"/>
            <w:vAlign w:val="bottom"/>
          </w:tcPr>
          <w:p>
            <w:pPr>
              <w:spacing w:after="0"/>
              <w:rPr>
                <w:sz w:val="17"/>
                <w:szCs w:val="17"/>
                <w:color w:val="auto"/>
              </w:rPr>
            </w:pPr>
          </w:p>
        </w:tc>
        <w:tc>
          <w:tcPr>
            <w:tcW w:w="2380" w:type="dxa"/>
            <w:vAlign w:val="bottom"/>
          </w:tcPr>
          <w:p>
            <w:pPr>
              <w:jc w:val="center"/>
              <w:ind w:right="41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9"/>
        </w:trPr>
        <w:tc>
          <w:tcPr>
            <w:tcW w:w="87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3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8"/>
                <w:szCs w:val="18"/>
                <w:color w:val="auto"/>
              </w:rPr>
              <w:t>Amortization of ROU assets (included in depreciation and amortization)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380" w:type="dxa"/>
            <w:vAlign w:val="bottom"/>
          </w:tcPr>
          <w:p>
            <w:pPr>
              <w:jc w:val="right"/>
              <w:ind w:right="94"/>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8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on lease liabilities (included in interest expense)</w:t>
            </w:r>
          </w:p>
        </w:tc>
        <w:tc>
          <w:tcPr>
            <w:tcW w:w="320" w:type="dxa"/>
            <w:vAlign w:val="bottom"/>
            <w:shd w:val="clear" w:color="auto" w:fill="CFF0FC"/>
          </w:tcPr>
          <w:p>
            <w:pPr>
              <w:spacing w:after="0"/>
              <w:rPr>
                <w:sz w:val="18"/>
                <w:szCs w:val="18"/>
                <w:color w:val="auto"/>
              </w:rPr>
            </w:pPr>
          </w:p>
        </w:tc>
        <w:tc>
          <w:tcPr>
            <w:tcW w:w="23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cost (included in general and administrative expense)</w:t>
            </w:r>
          </w:p>
        </w:tc>
        <w:tc>
          <w:tcPr>
            <w:tcW w:w="3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0"/>
        </w:trPr>
        <w:tc>
          <w:tcPr>
            <w:tcW w:w="87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3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Other information</w:t>
            </w:r>
          </w:p>
        </w:tc>
        <w:tc>
          <w:tcPr>
            <w:tcW w:w="3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20" w:type="dxa"/>
            <w:vAlign w:val="bottom"/>
            <w:shd w:val="clear" w:color="auto" w:fill="CFF0FC"/>
          </w:tcPr>
          <w:p>
            <w:pPr>
              <w:spacing w:after="0"/>
              <w:rPr>
                <w:sz w:val="18"/>
                <w:szCs w:val="18"/>
                <w:color w:val="auto"/>
              </w:rPr>
            </w:pPr>
          </w:p>
        </w:tc>
        <w:tc>
          <w:tcPr>
            <w:tcW w:w="2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2380" w:type="dxa"/>
            <w:vAlign w:val="bottom"/>
          </w:tcPr>
          <w:p>
            <w:pPr>
              <w:jc w:val="right"/>
              <w:ind w:right="94"/>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8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320" w:type="dxa"/>
            <w:vAlign w:val="bottom"/>
            <w:shd w:val="clear" w:color="auto" w:fill="CFF0FC"/>
          </w:tcPr>
          <w:p>
            <w:pPr>
              <w:spacing w:after="0"/>
              <w:rPr>
                <w:sz w:val="18"/>
                <w:szCs w:val="18"/>
                <w:color w:val="auto"/>
              </w:rPr>
            </w:pPr>
          </w:p>
        </w:tc>
        <w:tc>
          <w:tcPr>
            <w:tcW w:w="23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720" w:type="dxa"/>
            <w:vAlign w:val="bottom"/>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320" w:type="dxa"/>
            <w:vAlign w:val="bottom"/>
          </w:tcPr>
          <w:p>
            <w:pPr>
              <w:spacing w:after="0"/>
              <w:rPr>
                <w:sz w:val="18"/>
                <w:szCs w:val="18"/>
                <w:color w:val="auto"/>
              </w:rPr>
            </w:pPr>
          </w:p>
        </w:tc>
        <w:tc>
          <w:tcPr>
            <w:tcW w:w="2380" w:type="dxa"/>
            <w:vAlign w:val="bottom"/>
          </w:tcPr>
          <w:p>
            <w:pPr>
              <w:jc w:val="right"/>
              <w:ind w:right="94"/>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193"/>
        </w:trPr>
        <w:tc>
          <w:tcPr>
            <w:tcW w:w="87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ROU assets obtained in exchange for new finance lease</w:t>
            </w:r>
          </w:p>
        </w:tc>
        <w:tc>
          <w:tcPr>
            <w:tcW w:w="32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liabilities</w:t>
            </w:r>
          </w:p>
        </w:tc>
        <w:tc>
          <w:tcPr>
            <w:tcW w:w="320" w:type="dxa"/>
            <w:vAlign w:val="bottom"/>
            <w:shd w:val="clear" w:color="auto" w:fill="CFF0FC"/>
          </w:tcPr>
          <w:p>
            <w:pPr>
              <w:spacing w:after="0"/>
              <w:rPr>
                <w:sz w:val="19"/>
                <w:szCs w:val="19"/>
                <w:color w:val="auto"/>
              </w:rPr>
            </w:pPr>
          </w:p>
        </w:tc>
        <w:tc>
          <w:tcPr>
            <w:tcW w:w="23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Weighted-average remaining lease term (years) - operating leases</w:t>
            </w:r>
          </w:p>
        </w:tc>
        <w:tc>
          <w:tcPr>
            <w:tcW w:w="320" w:type="dxa"/>
            <w:vAlign w:val="bottom"/>
          </w:tcPr>
          <w:p>
            <w:pPr>
              <w:spacing w:after="0"/>
              <w:rPr>
                <w:sz w:val="18"/>
                <w:szCs w:val="18"/>
                <w:color w:val="auto"/>
              </w:rPr>
            </w:pPr>
          </w:p>
        </w:tc>
        <w:tc>
          <w:tcPr>
            <w:tcW w:w="238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 - finance leases</w:t>
            </w:r>
          </w:p>
        </w:tc>
        <w:tc>
          <w:tcPr>
            <w:tcW w:w="320" w:type="dxa"/>
            <w:vAlign w:val="bottom"/>
            <w:shd w:val="clear" w:color="auto" w:fill="CFF0FC"/>
          </w:tcPr>
          <w:p>
            <w:pPr>
              <w:spacing w:after="0"/>
              <w:rPr>
                <w:sz w:val="18"/>
                <w:szCs w:val="18"/>
                <w:color w:val="auto"/>
              </w:rPr>
            </w:pPr>
          </w:p>
        </w:tc>
        <w:tc>
          <w:tcPr>
            <w:tcW w:w="238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320" w:type="dxa"/>
            <w:vAlign w:val="bottom"/>
          </w:tcPr>
          <w:p>
            <w:pPr>
              <w:spacing w:after="0"/>
              <w:rPr>
                <w:sz w:val="18"/>
                <w:szCs w:val="18"/>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finance leases</w:t>
            </w:r>
          </w:p>
        </w:tc>
        <w:tc>
          <w:tcPr>
            <w:tcW w:w="320" w:type="dxa"/>
            <w:vAlign w:val="bottom"/>
            <w:shd w:val="clear" w:color="auto" w:fill="CFF0FC"/>
          </w:tcPr>
          <w:p>
            <w:pPr>
              <w:spacing w:after="0"/>
              <w:rPr>
                <w:sz w:val="18"/>
                <w:szCs w:val="18"/>
                <w:color w:val="auto"/>
              </w:rPr>
            </w:pPr>
          </w:p>
        </w:tc>
        <w:tc>
          <w:tcPr>
            <w:tcW w:w="2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color w:val="auto"/>
        </w:rPr>
        <w:t>We recognize total lease expense incurred or allocated to us in general and administrative expenses. Lease expense related to operating leases, including lease expense incurred on our behalf and allocated to us, was as follows:</w:t>
      </w:r>
    </w:p>
    <w:p>
      <w:pPr>
        <w:spacing w:after="0" w:line="139"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10160</wp:posOffset>
            </wp:positionV>
            <wp:extent cx="227266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1" w:lineRule="exact"/>
        <w:rPr>
          <w:sz w:val="20"/>
          <w:szCs w:val="20"/>
          <w:color w:val="auto"/>
        </w:rPr>
      </w:pPr>
    </w:p>
    <w:p>
      <w:pPr>
        <w:ind w:left="8460"/>
        <w:spacing w:after="0"/>
        <w:tabs>
          <w:tab w:leader="none" w:pos="103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4979035</wp:posOffset>
            </wp:positionH>
            <wp:positionV relativeFrom="paragraph">
              <wp:posOffset>1905</wp:posOffset>
            </wp:positionV>
            <wp:extent cx="22726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5"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 w:lineRule="exact"/>
        <w:rPr>
          <w:sz w:val="20"/>
          <w:szCs w:val="20"/>
          <w:color w:val="auto"/>
        </w:rPr>
      </w:pPr>
    </w:p>
    <w:p>
      <w:pPr>
        <w:spacing w:after="0"/>
        <w:tabs>
          <w:tab w:leader="none" w:pos="7820" w:val="left"/>
          <w:tab w:leader="none" w:pos="9080" w:val="left"/>
          <w:tab w:leader="none" w:pos="9680" w:val="left"/>
          <w:tab w:leader="none" w:pos="10820" w:val="left"/>
        </w:tabs>
        <w:rPr>
          <w:sz w:val="20"/>
          <w:szCs w:val="20"/>
          <w:color w:val="auto"/>
        </w:rPr>
      </w:pPr>
      <w:r>
        <w:rPr>
          <w:rFonts w:ascii="Arial" w:cs="Arial" w:eastAsia="Arial" w:hAnsi="Arial"/>
          <w:sz w:val="18"/>
          <w:szCs w:val="18"/>
          <w:color w:val="auto"/>
        </w:rPr>
        <w:t>Lease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944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1,022</w:t>
      </w:r>
    </w:p>
    <w:p>
      <w:pPr>
        <w:spacing w:after="0" w:line="95"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Future minimum lease payments due under noncancelable leases for the remainder of 2019 and each of the five succeeding fiscal years,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3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2019</w:t>
            </w: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3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3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440" w:type="dxa"/>
            <w:vAlign w:val="bottom"/>
          </w:tcPr>
          <w:p>
            <w:pPr>
              <w:spacing w:after="0"/>
              <w:rPr>
                <w:sz w:val="16"/>
                <w:szCs w:val="16"/>
                <w:color w:val="auto"/>
              </w:rPr>
            </w:pP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37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3,193</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2020</w:t>
            </w: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1,077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3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555</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2022</w:t>
            </w: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2024</w:t>
            </w:r>
          </w:p>
        </w:tc>
        <w:tc>
          <w:tcPr>
            <w:tcW w:w="3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4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36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34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6,329</w:t>
            </w:r>
          </w:p>
        </w:tc>
        <w:tc>
          <w:tcPr>
            <w:tcW w:w="18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2,797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480" w:type="dxa"/>
            <w:vAlign w:val="bottom"/>
            <w:vMerge w:val="restart"/>
          </w:tcPr>
          <w:p>
            <w:pPr>
              <w:jc w:val="right"/>
              <w:ind w:right="1930"/>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3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36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Future minimum lease payments due under noncancelable operating leases (under ASC 840) at December 31, 2018,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9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9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0"/>
        </w:trPr>
        <w:tc>
          <w:tcPr>
            <w:tcW w:w="9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940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2023</w:t>
            </w: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0"/>
        </w:trPr>
        <w:tc>
          <w:tcPr>
            <w:tcW w:w="940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0"/>
        </w:trPr>
        <w:tc>
          <w:tcPr>
            <w:tcW w:w="9400" w:type="dxa"/>
            <w:vAlign w:val="bottom"/>
            <w:vMerge w:val="restart"/>
          </w:tcPr>
          <w:p>
            <w:pPr>
              <w:spacing w:after="0"/>
              <w:rPr>
                <w:sz w:val="20"/>
                <w:szCs w:val="20"/>
                <w:color w:val="auto"/>
              </w:rPr>
            </w:pPr>
            <w:r>
              <w:rPr>
                <w:rFonts w:ascii="Arial" w:cs="Arial" w:eastAsia="Arial" w:hAnsi="Arial"/>
                <w:sz w:val="18"/>
                <w:szCs w:val="18"/>
                <w:color w:val="auto"/>
              </w:rPr>
              <w:t>Future payments due under finance leases (under ASC 840) at December 31, 2018, were as follows:</w:t>
            </w: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9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9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0"/>
        </w:trPr>
        <w:tc>
          <w:tcPr>
            <w:tcW w:w="9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5"/>
        </w:trPr>
        <w:tc>
          <w:tcPr>
            <w:tcW w:w="9400" w:type="dxa"/>
            <w:vAlign w:val="bottom"/>
          </w:tcPr>
          <w:p>
            <w:pPr>
              <w:spacing w:after="0"/>
              <w:rPr>
                <w:sz w:val="20"/>
                <w:szCs w:val="20"/>
                <w:color w:val="auto"/>
              </w:rPr>
            </w:pPr>
            <w:r>
              <w:rPr>
                <w:rFonts w:ascii="Arial" w:cs="Arial" w:eastAsia="Arial" w:hAnsi="Arial"/>
                <w:sz w:val="18"/>
                <w:szCs w:val="18"/>
                <w:color w:val="auto"/>
              </w:rPr>
              <w:t>2019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6"/>
        </w:trPr>
        <w:tc>
          <w:tcPr>
            <w:tcW w:w="9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9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finance lease obligations</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2,549</w:t>
            </w:r>
          </w:p>
        </w:tc>
        <w:tc>
          <w:tcPr>
            <w:tcW w:w="0" w:type="dxa"/>
            <w:vAlign w:val="bottom"/>
          </w:tcPr>
          <w:p>
            <w:pPr>
              <w:spacing w:after="0"/>
              <w:rPr>
                <w:sz w:val="1"/>
                <w:szCs w:val="1"/>
                <w:color w:val="auto"/>
              </w:rPr>
            </w:pPr>
          </w:p>
        </w:tc>
      </w:tr>
      <w:tr>
        <w:trPr>
          <w:trHeight w:val="216"/>
        </w:trPr>
        <w:tc>
          <w:tcPr>
            <w:tcW w:w="9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Amounts representing interest</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0"/>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Net present value of finance lease obligations</w:t>
            </w: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9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 representing current portion (included in Other current liabilities)</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10"/>
        </w:trPr>
        <w:tc>
          <w:tcPr>
            <w:tcW w:w="9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Finance lease obligations, less current portion (included in Other noncurrent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0"/>
        </w:trPr>
        <w:tc>
          <w:tcPr>
            <w:tcW w:w="9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we believe that we are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we can provide no assurances that significant environmental remediation costs and liabilities will not be incurred by the Partnership in the future. We are currently not aware of any material contingent liabilities that exist with respect to environmental matters, except as noted below.</w:t>
      </w:r>
    </w:p>
    <w:p>
      <w:pPr>
        <w:spacing w:after="0" w:line="5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As described in the 2018 Annual Report, in 2015, Summit Investments learned of the rupture of a four-inch produced water gathering pipeline on the Meadowlark Midstream system near Williston, North Dakota. The incident, which was covered by Summit Investments' insurance policies, was subject to maximum coverage of $25.0 million from its pollution liability insurance policy and $200.0 million from its property and business interruption insurance policy. Summit Investments exhausted the $25.0 million pollution liability policy in 2015.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aggregate accrued environmental remediation liabilities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9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Total</w:t>
            </w:r>
          </w:p>
        </w:tc>
      </w:tr>
      <w:tr>
        <w:trPr>
          <w:trHeight w:val="210"/>
        </w:trPr>
        <w:tc>
          <w:tcPr>
            <w:tcW w:w="96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9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environmental remediation, January 1, 2019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5,636</w:t>
            </w:r>
          </w:p>
        </w:tc>
      </w:tr>
      <w:tr>
        <w:trPr>
          <w:trHeight w:val="216"/>
        </w:trPr>
        <w:tc>
          <w:tcPr>
            <w:tcW w:w="9660" w:type="dxa"/>
            <w:vAlign w:val="bottom"/>
          </w:tcPr>
          <w:p>
            <w:pPr>
              <w:ind w:left="140"/>
              <w:spacing w:after="0"/>
              <w:rPr>
                <w:sz w:val="20"/>
                <w:szCs w:val="20"/>
                <w:color w:val="auto"/>
              </w:rPr>
            </w:pPr>
            <w:r>
              <w:rPr>
                <w:rFonts w:ascii="Arial" w:cs="Arial" w:eastAsia="Arial" w:hAnsi="Arial"/>
                <w:sz w:val="18"/>
                <w:szCs w:val="18"/>
                <w:color w:val="auto"/>
              </w:rPr>
              <w:t>Payments made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(548)</w:t>
            </w:r>
          </w:p>
        </w:tc>
      </w:tr>
      <w:tr>
        <w:trPr>
          <w:trHeight w:val="216"/>
        </w:trPr>
        <w:tc>
          <w:tcPr>
            <w:tcW w:w="9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accruals</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167</w:t>
            </w:r>
          </w:p>
        </w:tc>
      </w:tr>
      <w:tr>
        <w:trPr>
          <w:trHeight w:val="210"/>
        </w:trPr>
        <w:tc>
          <w:tcPr>
            <w:tcW w:w="9660" w:type="dxa"/>
            <w:vAlign w:val="bottom"/>
          </w:tcPr>
          <w:p>
            <w:pPr>
              <w:spacing w:after="0"/>
              <w:rPr>
                <w:sz w:val="20"/>
                <w:szCs w:val="20"/>
                <w:color w:val="auto"/>
              </w:rPr>
            </w:pPr>
            <w:r>
              <w:rPr>
                <w:rFonts w:ascii="Arial" w:cs="Arial" w:eastAsia="Arial" w:hAnsi="Arial"/>
                <w:sz w:val="18"/>
                <w:szCs w:val="18"/>
                <w:b w:val="1"/>
                <w:bCs w:val="1"/>
                <w:color w:val="auto"/>
              </w:rPr>
              <w:t>Accrued environmental remediation, March 31, 2019</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5,255</w:t>
            </w:r>
          </w:p>
        </w:tc>
      </w:tr>
      <w:tr>
        <w:trPr>
          <w:trHeight w:val="20"/>
        </w:trPr>
        <w:tc>
          <w:tcPr>
            <w:tcW w:w="9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As of March 31, 2019, we have recognized (i) a current liability for remediation effort expenditures expected to be incurred within the next 12 months and (ii) a noncurrent liability for estimated remediation expenditures and fines expected to be incurred subsequent to March 31, 2020. Each of these amounts represent our best estimate for costs expected to be incurred. Neither of these amounts has been discounted to its present value.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8" w:name="page29"/>
    <w:bookmarkEnd w:id="28"/>
    <w:p>
      <w:pPr>
        <w:jc w:val="both"/>
        <w:ind w:right="240"/>
        <w:spacing w:after="0" w:line="255" w:lineRule="auto"/>
        <w:rPr>
          <w:sz w:val="20"/>
          <w:szCs w:val="20"/>
          <w:color w:val="auto"/>
        </w:rPr>
      </w:pPr>
      <w:r>
        <w:rPr>
          <w:rFonts w:ascii="Arial" w:cs="Arial" w:eastAsia="Arial" w:hAnsi="Arial"/>
          <w:sz w:val="18"/>
          <w:szCs w:val="18"/>
          <w:color w:val="auto"/>
        </w:rPr>
        <w:t>While we cannot predict the ultimate outcome of this matter with certainty for Summit Investments or Meadowlark Midstream, especially as it relates to any material liability as a result of any governmental proceeding related to the incident, we believe at this time that it is unlikely that SMLP or its General Partner will be subject to any material liability as a result of any governmental proceeding related to the rupture.</w:t>
      </w:r>
    </w:p>
    <w:p>
      <w:pPr>
        <w:spacing w:after="0" w:line="5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The Partnership is involved in various litigation and administrative proceedings arising in the normal course of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opinion of management, any liabilities that may result from these claims or those arising in the normal course of business would not individually or in the aggregate have a material adverse effect on the Partnership's financial position or results of operations.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DISPOSITIONS, ACQUISITIONS AND DROP DOWN TRANSACTIONS</w:t>
      </w:r>
    </w:p>
    <w:p>
      <w:pPr>
        <w:spacing w:after="0" w:line="106"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b w:val="1"/>
          <w:bCs w:val="1"/>
          <w:i w:val="1"/>
          <w:iCs w:val="1"/>
          <w:color w:val="auto"/>
        </w:rPr>
        <w:t xml:space="preserve">Tioga Midstream Disposition. </w:t>
      </w:r>
      <w:r>
        <w:rPr>
          <w:rFonts w:ascii="Arial" w:cs="Arial" w:eastAsia="Arial" w:hAnsi="Arial"/>
          <w:sz w:val="18"/>
          <w:szCs w:val="18"/>
          <w:color w:val="auto"/>
        </w:rPr>
        <w:t>In February 2019, Tioga Midstream, LLC, a subsidiary of SMLP, and certain affiliates of SMLP (collectively,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“Summit”) entered into two Purchase and Sale Agreements (the “Tioga PSAs”) with Hess Infrastructure Partners LP and Hess North Dakota Pipelines LLC (collectively, “Hess Infrastructure”), pursuant to which Summit agreed to sell the Tioga Midstream system to Hess Infrastructure for a combined cash purchase price of $90 million, subject to adjustments as provided in the Tioga PSAs (the “Tioga Midstream Sale”). On March 22, 2019, Summit closed the Tioga Midstream Sale and recorded a gain on sale of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6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 xml:space="preserve">2016 Drop Down. </w:t>
      </w:r>
      <w:r>
        <w:rPr>
          <w:rFonts w:ascii="Arial" w:cs="Arial" w:eastAsia="Arial" w:hAnsi="Arial"/>
          <w:sz w:val="18"/>
          <w:szCs w:val="18"/>
          <w:color w:val="auto"/>
        </w:rPr>
        <w:t>In 2016, SMLP acquired a controlling interest in OpCo, the entity which owns the 2016 Drop Down Assets. These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certain natural gas, crude oil and produced water gathering systems located in the Utica Shale, the Williston Basin and the DJ Basin, as well as ownership interests in Ohio Gathering.</w:t>
      </w:r>
    </w:p>
    <w:p>
      <w:pPr>
        <w:spacing w:after="0" w:line="49"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net consideration paid and recognized in connection with the 2016 Drop Down (i) consisted of a cash payment to SMP Holdings of $360.0 million funded with borrowings under our Revolving Credit Facility and a $0.6 million working capital adjustment received in June 2016 (the “Initial Payment”) and (ii) includes the Deferred Purchase Price Obligation payment due in 2020.</w:t>
      </w:r>
    </w:p>
    <w:p>
      <w:pPr>
        <w:spacing w:after="0" w:line="4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March 2019, the Partnership amended the Contribution Agreement related to the 2016 Drop Down and fixed the Remaining Consideration at $303.5 million, with such amount to be paid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74"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present value of the Deferred Purchase Price Obligation is reflected as a liability on our balance sheet until paid. As of March 31, 2019, the Remaining Consideration which reflects the net present value of the $403.5 million Deferred Purchase Price Obligation as of March 31, 2019, was $388.4 million on the unaudited condensed consolidated balance sheet using a discount rate of 5.25%. We have presented $100 million of the Deferred Purchase Price Obligation as a current liability based on the cash payment mentioned herein which was made on April 1, 2019.</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06"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We have evaluated subsequent events for recognition or disclosure in the unaudited condensed consolidated financial statements and no events have occurred that require recognition or disclosure.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1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MD&amp;A is intended to inform the reader about matters affecting the financial condition and results of operations of SMLP and its subsidiaries for the period since December 31, 2018.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2018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This MD&amp;A comprises the following sections:</w:t>
      </w:r>
    </w:p>
    <w:p>
      <w:pPr>
        <w:spacing w:after="0" w:line="104" w:lineRule="exact"/>
        <w:rPr>
          <w:sz w:val="20"/>
          <w:szCs w:val="20"/>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Overview</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Trends and Outlook</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How We Evaluate Our Operations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Operations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Liquidity and Capital Resources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Critical Accounting Estimates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Forward-Looking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Overview</w:t>
      </w:r>
    </w:p>
    <w:p>
      <w:pPr>
        <w:spacing w:after="0" w:line="11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We are a growth-oriented limited partnership focused on developing, owning and operating midstream energy infrastructure assets that are strategically located in the core producing areas of unconventional resource basins, primarily shale formations, in the continental United States.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midstream energy infrastructure assets into two categories:</w:t>
      </w:r>
    </w:p>
    <w:p>
      <w:pPr>
        <w:spacing w:after="0" w:line="104" w:lineRule="exact"/>
        <w:rPr>
          <w:sz w:val="20"/>
          <w:szCs w:val="20"/>
          <w:color w:val="auto"/>
        </w:rPr>
      </w:pPr>
    </w:p>
    <w:p>
      <w:pPr>
        <w:ind w:left="800" w:right="60" w:hanging="400"/>
        <w:spacing w:after="0" w:line="245" w:lineRule="auto"/>
        <w:tabs>
          <w:tab w:leader="none" w:pos="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Core Focus Areas – production basins in which we expect our gathering systems to experience greater long-term growth, driven by 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63" w:lineRule="exact"/>
        <w:rPr>
          <w:rFonts w:ascii="Times New Roman" w:cs="Times New Roman" w:eastAsia="Times New Roman" w:hAnsi="Times New Roman"/>
          <w:sz w:val="18"/>
          <w:szCs w:val="18"/>
          <w:color w:val="auto"/>
        </w:rPr>
      </w:pPr>
    </w:p>
    <w:p>
      <w:pPr>
        <w:ind w:left="800" w:right="140" w:hanging="400"/>
        <w:spacing w:after="0" w:line="260" w:lineRule="auto"/>
        <w:tabs>
          <w:tab w:leader="none" w:pos="80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color w:val="auto"/>
        </w:rPr>
        <w:t>Legacy Areas – production basins in which we expect our gathering systems to experience relatively lower long-term 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moderate our near-term capital expenditures in these Legacy Areas. Our Piceance Basin, Barnett Shale and Marcellus Shale reportable segments (as described below) comprise our Legacy Areas.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We are the owner-operator of or have significant ownership interests in the following gathering systems, which comprise our Core Focus Areas:</w:t>
      </w:r>
    </w:p>
    <w:p>
      <w:pPr>
        <w:spacing w:after="0" w:line="104" w:lineRule="exact"/>
        <w:rPr>
          <w:sz w:val="20"/>
          <w:szCs w:val="20"/>
          <w:color w:val="auto"/>
        </w:rPr>
      </w:pPr>
    </w:p>
    <w:p>
      <w:pPr>
        <w:ind w:left="800" w:right="100" w:hanging="400"/>
        <w:spacing w:after="0" w:line="275" w:lineRule="auto"/>
        <w:tabs>
          <w:tab w:leader="none" w:pos="8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37" w:lineRule="exact"/>
        <w:rPr>
          <w:rFonts w:ascii="Times New Roman" w:cs="Times New Roman" w:eastAsia="Times New Roman" w:hAnsi="Times New Roman"/>
          <w:sz w:val="18"/>
          <w:szCs w:val="18"/>
          <w:color w:val="auto"/>
        </w:rPr>
      </w:pPr>
    </w:p>
    <w:p>
      <w:pPr>
        <w:ind w:left="800" w:right="440" w:hanging="400"/>
        <w:spacing w:after="0" w:line="275" w:lineRule="auto"/>
        <w:tabs>
          <w:tab w:leader="none" w:pos="8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37" w:lineRule="exact"/>
        <w:rPr>
          <w:rFonts w:ascii="Times New Roman" w:cs="Times New Roman" w:eastAsia="Times New Roman" w:hAnsi="Times New Roman"/>
          <w:sz w:val="18"/>
          <w:szCs w:val="18"/>
          <w:color w:val="auto"/>
        </w:rPr>
      </w:pPr>
    </w:p>
    <w:p>
      <w:pPr>
        <w:ind w:left="800" w:right="320" w:hanging="400"/>
        <w:spacing w:after="0" w:line="275" w:lineRule="auto"/>
        <w:tabs>
          <w:tab w:leader="none" w:pos="8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Polar and Divide, crude oil and produced water gathering system and transmission pipeline operating in the Williston Basin, which includes the Bakken and Three Forks shale formations in northwestern North Dakota;</w:t>
      </w:r>
    </w:p>
    <w:p>
      <w:pPr>
        <w:spacing w:after="0" w:line="37" w:lineRule="exact"/>
        <w:rPr>
          <w:rFonts w:ascii="Times New Roman" w:cs="Times New Roman" w:eastAsia="Times New Roman" w:hAnsi="Times New Roman"/>
          <w:sz w:val="18"/>
          <w:szCs w:val="18"/>
          <w:color w:val="auto"/>
        </w:rPr>
      </w:pPr>
    </w:p>
    <w:p>
      <w:pPr>
        <w:ind w:left="800" w:right="120" w:hanging="400"/>
        <w:spacing w:after="0" w:line="275" w:lineRule="auto"/>
        <w:tabs>
          <w:tab w:leader="none" w:pos="8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37" w:lineRule="exact"/>
        <w:rPr>
          <w:rFonts w:ascii="Times New Roman" w:cs="Times New Roman" w:eastAsia="Times New Roman" w:hAnsi="Times New Roman"/>
          <w:sz w:val="18"/>
          <w:szCs w:val="18"/>
          <w:color w:val="auto"/>
        </w:rPr>
      </w:pPr>
    </w:p>
    <w:p>
      <w:pPr>
        <w:ind w:left="800" w:right="320" w:hanging="400"/>
        <w:spacing w:after="0" w:line="275" w:lineRule="auto"/>
        <w:tabs>
          <w:tab w:leader="none" w:pos="8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w:t>
      </w:r>
    </w:p>
    <w:p>
      <w:pPr>
        <w:spacing w:after="0" w:line="37" w:lineRule="exact"/>
        <w:rPr>
          <w:rFonts w:ascii="Times New Roman" w:cs="Times New Roman" w:eastAsia="Times New Roman" w:hAnsi="Times New Roman"/>
          <w:sz w:val="18"/>
          <w:szCs w:val="18"/>
          <w:color w:val="auto"/>
        </w:rPr>
      </w:pPr>
    </w:p>
    <w:p>
      <w:pPr>
        <w:ind w:left="800" w:right="580" w:hanging="400"/>
        <w:spacing w:after="0" w:line="275" w:lineRule="auto"/>
        <w:tabs>
          <w:tab w:leader="none" w:pos="80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w:t>
      </w:r>
    </w:p>
    <w:p>
      <w:pPr>
        <w:spacing w:after="0" w:line="38"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Additionally, until March 22, 2019, we owned Tioga Midstream, a crude oil, produced water and associated natural gas gathering systems operating in the Williston Basin, which includes the Bakken and Three Forks shale formations in northwestern North Dakota. Refer to Note 17 for details on the sale of Tioga Midstream.</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We are the owner-operator of the following gathering systems, which comprise our Legacy Areas:</w:t>
      </w:r>
    </w:p>
    <w:p>
      <w:pPr>
        <w:spacing w:after="0" w:line="104" w:lineRule="exact"/>
        <w:rPr>
          <w:sz w:val="20"/>
          <w:szCs w:val="20"/>
          <w:color w:val="auto"/>
        </w:rPr>
      </w:pPr>
    </w:p>
    <w:p>
      <w:pPr>
        <w:ind w:left="800" w:right="740" w:hanging="400"/>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 and eastern Utah;</w:t>
      </w:r>
    </w:p>
    <w:p>
      <w:pPr>
        <w:spacing w:after="0" w:line="37" w:lineRule="exact"/>
        <w:rPr>
          <w:rFonts w:ascii="Times New Roman" w:cs="Times New Roman" w:eastAsia="Times New Roman" w:hAnsi="Times New Roman"/>
          <w:sz w:val="18"/>
          <w:szCs w:val="18"/>
          <w:color w:val="auto"/>
        </w:rPr>
      </w:pPr>
    </w:p>
    <w:p>
      <w:pPr>
        <w:ind w:left="800" w:right="380" w:hanging="400"/>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37" w:lineRule="exact"/>
        <w:rPr>
          <w:rFonts w:ascii="Times New Roman" w:cs="Times New Roman" w:eastAsia="Times New Roman" w:hAnsi="Times New Roman"/>
          <w:sz w:val="18"/>
          <w:szCs w:val="18"/>
          <w:color w:val="auto"/>
        </w:rPr>
      </w:pPr>
    </w:p>
    <w:p>
      <w:pPr>
        <w:ind w:left="800" w:right="440" w:hanging="400"/>
        <w:spacing w:after="0" w:line="275" w:lineRule="auto"/>
        <w:tabs>
          <w:tab w:leader="none" w:pos="80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organization and systems, see Notes 1 and 4 to the unaudited condensed consolidated financial statements.</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financial results are driven primarily by volume throughput and expense management. We generate the majority of our revenues from the gathering, treating and processing services that we provide to our customers. A majority of the volumes that we gather, treat and/or process have a fixed-fee rate structure which enhances the stability of our cash flows by providing a revenue stream that is not subject to direct commodity price risk. We also earn revenues from the following activities that directly expose us to fluctuations in commodity prices: (i) the sale of physical natural gas and/or NGLs purchased under percentage-of-proceeds arrangements with certain of our customers on the Bison Midstream and Grand River systems, (ii) natural gas and crude oil marketing transactions comprised of buy and sell arrangements in and around our gathering systems, (iii) the sale of natural gas we retain from certain DFW Midstream customers and (iv) the sale of condensate we retain from our gathering services at Grand River. During the three months ended March 31, 2019, these additional activities accounted for approximately 29% of total revenues including marketing transactions, and approximately 11% of total revenues excluding marketing transactions.</w:t>
      </w:r>
    </w:p>
    <w:p>
      <w:pPr>
        <w:spacing w:after="0" w:line="7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1" w:name="page32"/>
    <w:bookmarkEnd w:id="31"/>
    <w:p>
      <w:pPr>
        <w:ind w:right="20"/>
        <w:spacing w:after="0" w:line="276"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Months Ended March 31, 2019 and 2018" section herein.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320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Three months ended March 31,</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100" w:type="dxa"/>
            <w:vAlign w:val="bottom"/>
            <w:gridSpan w:val="2"/>
          </w:tcPr>
          <w:p>
            <w:pPr>
              <w:jc w:val="right"/>
              <w:ind w:right="694"/>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(36,914)</w:t>
            </w:r>
          </w:p>
        </w:tc>
        <w:tc>
          <w:tcPr>
            <w:tcW w:w="1240" w:type="dxa"/>
            <w:vAlign w:val="bottom"/>
            <w:shd w:val="clear" w:color="auto" w:fill="CFF0FC"/>
          </w:tcPr>
          <w:p>
            <w:pPr>
              <w:jc w:val="right"/>
              <w:ind w:right="934"/>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Utica Shale</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6,193</w:t>
            </w:r>
          </w:p>
        </w:tc>
        <w:tc>
          <w:tcPr>
            <w:tcW w:w="1240" w:type="dxa"/>
            <w:vAlign w:val="bottom"/>
            <w:shd w:val="clear" w:color="auto" w:fill="CFF0FC"/>
          </w:tcPr>
          <w:p>
            <w:pPr>
              <w:jc w:val="right"/>
              <w:ind w:right="934"/>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Ohio Gathering</w:t>
            </w:r>
          </w:p>
        </w:tc>
        <w:tc>
          <w:tcPr>
            <w:tcW w:w="110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9,210</w:t>
            </w:r>
          </w:p>
        </w:tc>
        <w:tc>
          <w:tcPr>
            <w:tcW w:w="1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Williston Basin</w:t>
            </w:r>
          </w:p>
        </w:tc>
        <w:tc>
          <w:tcPr>
            <w:tcW w:w="1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18,734</w:t>
            </w:r>
          </w:p>
        </w:tc>
        <w:tc>
          <w:tcPr>
            <w:tcW w:w="1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DJ Basin</w:t>
            </w:r>
          </w:p>
        </w:tc>
        <w:tc>
          <w:tcPr>
            <w:tcW w:w="110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2,673</w:t>
            </w:r>
          </w:p>
        </w:tc>
        <w:tc>
          <w:tcPr>
            <w:tcW w:w="1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Permian Basin</w:t>
            </w:r>
          </w:p>
        </w:tc>
        <w:tc>
          <w:tcPr>
            <w:tcW w:w="1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(550)</w:t>
            </w:r>
          </w:p>
        </w:tc>
        <w:tc>
          <w:tcPr>
            <w:tcW w:w="1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Piceance Basin</w:t>
            </w:r>
          </w:p>
        </w:tc>
        <w:tc>
          <w:tcPr>
            <w:tcW w:w="110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25,999</w:t>
            </w:r>
          </w:p>
        </w:tc>
        <w:tc>
          <w:tcPr>
            <w:tcW w:w="1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Barnett Shale</w:t>
            </w:r>
          </w:p>
        </w:tc>
        <w:tc>
          <w:tcPr>
            <w:tcW w:w="1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11,374</w:t>
            </w:r>
          </w:p>
        </w:tc>
        <w:tc>
          <w:tcPr>
            <w:tcW w:w="1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Marcellus Shale</w:t>
            </w:r>
          </w:p>
        </w:tc>
        <w:tc>
          <w:tcPr>
            <w:tcW w:w="1100" w:type="dxa"/>
            <w:vAlign w:val="bottom"/>
          </w:tcPr>
          <w:p>
            <w:pPr>
              <w:spacing w:after="0"/>
              <w:rPr>
                <w:sz w:val="18"/>
                <w:szCs w:val="18"/>
                <w:color w:val="auto"/>
              </w:rPr>
            </w:pP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5,142</w:t>
            </w:r>
          </w:p>
        </w:tc>
        <w:tc>
          <w:tcPr>
            <w:tcW w:w="12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6,676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1"/>
              <w:spacing w:after="0"/>
              <w:rPr>
                <w:sz w:val="20"/>
                <w:szCs w:val="20"/>
                <w:color w:val="auto"/>
              </w:rPr>
            </w:pPr>
            <w:r>
              <w:rPr>
                <w:rFonts w:ascii="Arial" w:cs="Arial" w:eastAsia="Arial" w:hAnsi="Arial"/>
                <w:sz w:val="18"/>
                <w:szCs w:val="18"/>
                <w:color w:val="auto"/>
              </w:rPr>
              <w:t>52,711</w:t>
            </w:r>
          </w:p>
        </w:tc>
        <w:tc>
          <w:tcPr>
            <w:tcW w:w="1240" w:type="dxa"/>
            <w:vAlign w:val="bottom"/>
          </w:tcPr>
          <w:p>
            <w:pPr>
              <w:jc w:val="right"/>
              <w:ind w:right="934"/>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51,210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(1)</w:t>
            </w:r>
          </w:p>
        </w:tc>
        <w:tc>
          <w:tcPr>
            <w:tcW w:w="11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60,848</w:t>
            </w:r>
          </w:p>
        </w:tc>
        <w:tc>
          <w:tcPr>
            <w:tcW w:w="124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40,778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1100" w:type="dxa"/>
            <w:vAlign w:val="bottom"/>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111"/>
              <w:spacing w:after="0"/>
              <w:rPr>
                <w:sz w:val="20"/>
                <w:szCs w:val="20"/>
                <w:color w:val="auto"/>
              </w:rPr>
            </w:pPr>
            <w:r>
              <w:rPr>
                <w:rFonts w:ascii="Arial" w:cs="Arial" w:eastAsia="Arial" w:hAnsi="Arial"/>
                <w:sz w:val="18"/>
                <w:szCs w:val="18"/>
                <w:color w:val="auto"/>
              </w:rPr>
              <w:t>45,281</w:t>
            </w:r>
          </w:p>
        </w:tc>
        <w:tc>
          <w:tcPr>
            <w:tcW w:w="1240" w:type="dxa"/>
            <w:vAlign w:val="bottom"/>
            <w:shd w:val="clear" w:color="auto" w:fill="CFF0FC"/>
          </w:tcPr>
          <w:p>
            <w:pPr>
              <w:jc w:val="right"/>
              <w:ind w:right="934"/>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45,053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40" w:type="dxa"/>
            <w:vAlign w:val="bottom"/>
          </w:tcPr>
          <w:p>
            <w:pPr>
              <w:spacing w:after="0" w:line="194" w:lineRule="exact"/>
              <w:rPr>
                <w:sz w:val="20"/>
                <w:szCs w:val="20"/>
                <w:color w:val="auto"/>
              </w:rPr>
            </w:pPr>
            <w:r>
              <w:rPr>
                <w:rFonts w:ascii="Arial" w:cs="Arial" w:eastAsia="Arial" w:hAnsi="Arial"/>
                <w:sz w:val="18"/>
                <w:szCs w:val="18"/>
                <w:color w:val="auto"/>
              </w:rPr>
              <w:t>Net (repayments) borrowings under Revolving Credit</w:t>
            </w:r>
          </w:p>
        </w:tc>
        <w:tc>
          <w:tcPr>
            <w:tcW w:w="1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Facility</w:t>
            </w:r>
          </w:p>
        </w:tc>
        <w:tc>
          <w:tcPr>
            <w:tcW w:w="110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(32,000)</w:t>
            </w:r>
          </w:p>
        </w:tc>
        <w:tc>
          <w:tcPr>
            <w:tcW w:w="124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right="580" w:firstLine="8"/>
        <w:spacing w:after="0" w:line="276" w:lineRule="auto"/>
        <w:tabs>
          <w:tab w:leader="none" w:pos="2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"Liquidity and Capital Resources" herein and Note 4 to the unaudited condensed consolidated financial statements for additional information on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523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months ended March 31, 2019. </w:t>
      </w:r>
      <w:r>
        <w:rPr>
          <w:rFonts w:ascii="Arial" w:cs="Arial" w:eastAsia="Arial" w:hAnsi="Arial"/>
          <w:sz w:val="18"/>
          <w:szCs w:val="18"/>
          <w:color w:val="auto"/>
        </w:rPr>
        <w:t>The following items are reflected in our financial results:</w:t>
      </w:r>
    </w:p>
    <w:p>
      <w:pPr>
        <w:spacing w:after="0" w:line="117" w:lineRule="exact"/>
        <w:rPr>
          <w:sz w:val="20"/>
          <w:szCs w:val="20"/>
          <w:color w:val="auto"/>
        </w:rPr>
      </w:pPr>
    </w:p>
    <w:p>
      <w:pPr>
        <w:ind w:left="800" w:right="260" w:hanging="400"/>
        <w:spacing w:after="0" w:line="243" w:lineRule="auto"/>
        <w:tabs>
          <w:tab w:leader="none" w:pos="8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2019, we sold the Tioga Midstream system to affiliates of Hess Infrastructure Partners LP for a combined cash purchase price of approximately $90 million and recorded a gain on sale of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65" w:lineRule="exact"/>
        <w:rPr>
          <w:rFonts w:ascii="Times New Roman" w:cs="Times New Roman" w:eastAsia="Times New Roman" w:hAnsi="Times New Roman"/>
          <w:sz w:val="18"/>
          <w:szCs w:val="18"/>
          <w:color w:val="auto"/>
        </w:rPr>
      </w:pPr>
    </w:p>
    <w:p>
      <w:pPr>
        <w:ind w:left="800" w:hanging="400"/>
        <w:spacing w:after="0" w:line="241" w:lineRule="auto"/>
        <w:tabs>
          <w:tab w:leader="none" w:pos="80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In February 2019, we signed an amendment to the Contribution Agreement (the “Amendment”) related to the 2016 Drop Down pursuant to which, on April 1, 2019, the Partnership made a cash payment of $100 million to SMP Holdings in partial settlement of the Deferred Purchase Price Obligation. Following the payment, the Remaining Consideration was fixed at $303.5 million, with such amount being payable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70" w:lineRule="exact"/>
        <w:rPr>
          <w:rFonts w:ascii="Times New Roman" w:cs="Times New Roman" w:eastAsia="Times New Roman" w:hAnsi="Times New Roman"/>
          <w:sz w:val="18"/>
          <w:szCs w:val="18"/>
          <w:color w:val="auto"/>
        </w:rPr>
      </w:pPr>
    </w:p>
    <w:p>
      <w:pPr>
        <w:ind w:left="820" w:right="20"/>
        <w:spacing w:after="0" w:line="245" w:lineRule="auto"/>
        <w:rPr>
          <w:rFonts w:ascii="Times New Roman" w:cs="Times New Roman" w:eastAsia="Times New Roman" w:hAnsi="Times New Roman"/>
          <w:sz w:val="18"/>
          <w:szCs w:val="18"/>
          <w:color w:val="auto"/>
        </w:rPr>
      </w:pPr>
      <w:r>
        <w:rPr>
          <w:rFonts w:ascii="Arial" w:cs="Arial" w:eastAsia="Arial" w:hAnsi="Arial"/>
          <w:sz w:val="18"/>
          <w:szCs w:val="18"/>
          <w:color w:val="auto"/>
        </w:rPr>
        <w:t>The present value of the Deferred Purchase Price Obligation is reflected as a liability on our balance sheet until paid. As of March 31, 2019, the Remaining Consideration which reflects the net present value of the $403.5 million Deferred Purchase Price Obligation as of March 31, 2019, was $388.4 million on the unaudited condensed consolidated balance sheet using a discount rate of 5.25%. We have presented $100 million of the Deferred Purchase Price Obligation as a current liability based on the cash payment mentioned herein which was made on April 1, 2019.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2" w:name="page33"/>
    <w:bookmarkEnd w:id="32"/>
    <w:p>
      <w:pPr>
        <w:ind w:left="800" w:hanging="400"/>
        <w:spacing w:after="0" w:line="245"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On March 22, 2019, pursuant to an equity restructuring agreement with the General Partner and SMP Holdings, we cancelled our IDRs and converted our 2% economic GP interest into a non-economic GP interest in exchange for 8,750,000 SMLP common units, which were issued to SMP Holdings (the “Equity Restructuring”). As a result of the Equity Restructuring, the general partner units and IDRs were eliminated, are no longer outstanding, and no longer participate in distributions of cash from SMLP. ECP continues to control the non-economic GP interest in SMLP.</w:t>
      </w:r>
    </w:p>
    <w:p>
      <w:pPr>
        <w:spacing w:after="0" w:line="63" w:lineRule="exact"/>
        <w:rPr>
          <w:rFonts w:ascii="Times New Roman" w:cs="Times New Roman" w:eastAsia="Times New Roman" w:hAnsi="Times New Roman"/>
          <w:sz w:val="18"/>
          <w:szCs w:val="18"/>
          <w:color w:val="auto"/>
        </w:rPr>
      </w:pPr>
    </w:p>
    <w:p>
      <w:pPr>
        <w:ind w:left="800" w:right="60" w:hanging="400"/>
        <w:spacing w:after="0" w:line="241" w:lineRule="auto"/>
        <w:tabs>
          <w:tab w:leader="none" w:pos="80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 March 2019, certain events, facts and circumstances occurred which indicated that certain long-lived assets in the DJ Basin and Barnett Shale reporting segments could be impaired. Consequently, we performed a recoverability assessment of certain assets within these reporting segments. In the DJ Basin, we determined certain processing plant assets related to our existing 20 MMcf/d plant would no longer be operational due to our expansion plans for the Niobrara G&amp;P system and we recorded an impairment charge of $34.7 million related to these assets. In the Barnett Shale, we determined certain compressor station assets would be shut down and de-commissioned beginning in the second quarter of 2019 and we recorded an impairment charge of $10.2 million related to these assets.</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Trends and Outlook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04" w:lineRule="exact"/>
        <w:rPr>
          <w:sz w:val="20"/>
          <w:szCs w:val="20"/>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Natural gas, NGL and crude oil supply and demand dynamics;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from U.S. shale plays;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Capital markets activity and cost of capital;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Shifts in operating costs and inflation.</w:t>
      </w:r>
    </w:p>
    <w:p>
      <w:pPr>
        <w:spacing w:after="0" w:line="116" w:lineRule="exact"/>
        <w:rPr>
          <w:sz w:val="20"/>
          <w:szCs w:val="20"/>
          <w:color w:val="auto"/>
        </w:rPr>
      </w:pPr>
    </w:p>
    <w:p>
      <w:pPr>
        <w:jc w:val="both"/>
        <w:ind w:right="260"/>
        <w:spacing w:after="0" w:line="255" w:lineRule="auto"/>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2018 Annual Report.</w:t>
      </w: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How We Evaluate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conduct and report our operations in the midstream energy industry through eight reportable segments:</w:t>
      </w:r>
    </w:p>
    <w:p>
      <w:pPr>
        <w:spacing w:after="0" w:line="104" w:lineRule="exact"/>
        <w:rPr>
          <w:sz w:val="20"/>
          <w:szCs w:val="20"/>
          <w:color w:val="auto"/>
        </w:rPr>
      </w:pPr>
    </w:p>
    <w:p>
      <w:pPr>
        <w:ind w:left="800" w:hanging="400"/>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Utica Shale, which is served by Summit Utica;</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Ohio Gathering, which includes our ownership interest in OGC and OCC;</w:t>
      </w:r>
    </w:p>
    <w:p>
      <w:pPr>
        <w:spacing w:after="0" w:line="116" w:lineRule="exact"/>
        <w:rPr>
          <w:rFonts w:ascii="Times New Roman" w:cs="Times New Roman" w:eastAsia="Times New Roman" w:hAnsi="Times New Roman"/>
          <w:sz w:val="18"/>
          <w:szCs w:val="18"/>
          <w:color w:val="auto"/>
        </w:rPr>
      </w:pPr>
    </w:p>
    <w:p>
      <w:pPr>
        <w:ind w:left="800" w:right="320" w:hanging="400"/>
        <w:spacing w:after="0" w:line="275" w:lineRule="auto"/>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Williston Basin, which is served by Polar and Divide, Bison Midstream and Tioga Midstream (through March 22, 2019; refer to Note 17 for details on the sale of Tioga Midstream);</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DJ Basin, which is served by Niobrara G&amp;P;</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Permian Basin, which is served by Summit Permian;</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Piceance Basin, which is served by Grand River;</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Barnett Shale, which is served by DFW Midstream;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Marcellus Shale, which is served by Mountaineer Midstream.</w:t>
      </w:r>
    </w:p>
    <w:p>
      <w:pPr>
        <w:spacing w:after="0" w:line="11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 (see Note 4 to the unaudited condensed consolidated financial statements).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54" w:right="279" w:bottom="1440" w:gutter="0" w:footer="0" w:header="0"/>
        </w:sectPr>
      </w:pPr>
    </w:p>
    <w:bookmarkStart w:id="33" w:name="page34"/>
    <w:bookmarkEnd w:id="33"/>
    <w:p>
      <w:pPr>
        <w:jc w:val="both"/>
        <w:ind w:right="320"/>
        <w:spacing w:after="0" w:line="255" w:lineRule="auto"/>
        <w:rPr>
          <w:sz w:val="20"/>
          <w:szCs w:val="20"/>
          <w:color w:val="auto"/>
        </w:rPr>
      </w:pPr>
      <w:r>
        <w:rPr>
          <w:rFonts w:ascii="Arial" w:cs="Arial" w:eastAsia="Arial" w:hAnsi="Arial"/>
          <w:sz w:val="18"/>
          <w:szCs w:val="18"/>
          <w:color w:val="auto"/>
        </w:rPr>
        <w:t>Our management uses a variety of financial and operational metrics to analyze our consolidated and segment performance. We view these metrics as important factors in evaluating our profitability and determining the amounts of cash distributions to pay to our unitholders. These metrics include:</w:t>
      </w:r>
    </w:p>
    <w:p>
      <w:pPr>
        <w:spacing w:after="0" w:line="56" w:lineRule="exact"/>
        <w:rPr>
          <w:sz w:val="20"/>
          <w:szCs w:val="20"/>
          <w:color w:val="auto"/>
        </w:rPr>
      </w:pPr>
    </w:p>
    <w:p>
      <w:pPr>
        <w:ind w:left="800" w:hanging="400"/>
        <w:spacing w:after="0"/>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throughput volume;</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revenues;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operation and maintenance expenses;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segment adjusted EBITDA.</w:t>
      </w:r>
    </w:p>
    <w:p>
      <w:pPr>
        <w:spacing w:after="0" w:line="116" w:lineRule="exact"/>
        <w:rPr>
          <w:sz w:val="20"/>
          <w:szCs w:val="20"/>
          <w:color w:val="auto"/>
        </w:rPr>
      </w:pPr>
    </w:p>
    <w:p>
      <w:pPr>
        <w:ind w:right="1060"/>
        <w:spacing w:after="0" w:line="276"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months ended March 31, 2019.</w:t>
      </w:r>
    </w:p>
    <w:p>
      <w:pPr>
        <w:spacing w:after="0" w:line="3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unaudited condensed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For additional information on how these metrics help us manage our business, see the "How We Evaluate Our Operations" section of MD&amp;A included in the 2018 Annual Report. For information on impending accounting changes that are expected to materially impact our financial results reported in future periods, see Note 2 to the unaudited condensed consolidated financial statements.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Overview for the Three Months Ended March 31, 2019 and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and operating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316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Three months ended March 31,</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80" w:type="dxa"/>
            <w:vAlign w:val="bottom"/>
            <w:gridSpan w:val="3"/>
          </w:tcPr>
          <w:p>
            <w:pPr>
              <w:jc w:val="right"/>
              <w:ind w:right="656"/>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86,964</w:t>
            </w:r>
          </w:p>
        </w:tc>
        <w:tc>
          <w:tcPr>
            <w:tcW w:w="200" w:type="dxa"/>
            <w:vAlign w:val="bottom"/>
          </w:tcPr>
          <w:p>
            <w:pPr>
              <w:spacing w:after="0"/>
              <w:rPr>
                <w:sz w:val="18"/>
                <w:szCs w:val="18"/>
                <w:color w:val="auto"/>
              </w:rPr>
            </w:pP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84,361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37,928</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6,516</w:t>
            </w:r>
          </w:p>
        </w:tc>
        <w:tc>
          <w:tcPr>
            <w:tcW w:w="2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revenues</w:t>
            </w:r>
          </w:p>
        </w:tc>
        <w:tc>
          <w:tcPr>
            <w:tcW w:w="10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131,408</w:t>
            </w:r>
          </w:p>
        </w:tc>
        <w:tc>
          <w:tcPr>
            <w:tcW w:w="2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117,320</w:t>
            </w:r>
          </w:p>
        </w:tc>
        <w:tc>
          <w:tcPr>
            <w:tcW w:w="0" w:type="dxa"/>
            <w:vAlign w:val="bottom"/>
          </w:tcPr>
          <w:p>
            <w:pPr>
              <w:spacing w:after="0"/>
              <w:rPr>
                <w:sz w:val="1"/>
                <w:szCs w:val="1"/>
                <w:color w:val="auto"/>
              </w:rPr>
            </w:pPr>
          </w:p>
        </w:tc>
      </w:tr>
      <w:tr>
        <w:trPr>
          <w:trHeight w:val="210"/>
        </w:trPr>
        <w:tc>
          <w:tcPr>
            <w:tcW w:w="74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31,759</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08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24,222</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17,281</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27,727</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Gain on asset sales, net</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10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44,951</w:t>
            </w:r>
          </w:p>
        </w:tc>
        <w:tc>
          <w:tcPr>
            <w:tcW w:w="2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costs and expenses</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145,929</w:t>
            </w:r>
          </w:p>
        </w:tc>
        <w:tc>
          <w:tcPr>
            <w:tcW w:w="2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85,935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(17,527)</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Deferred Purchase Price Obligation</w:t>
            </w:r>
          </w:p>
        </w:tc>
        <w:tc>
          <w:tcPr>
            <w:tcW w:w="10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(4,427)</w:t>
            </w:r>
          </w:p>
        </w:tc>
        <w:tc>
          <w:tcPr>
            <w:tcW w:w="200" w:type="dxa"/>
            <w:vAlign w:val="bottom"/>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(21,658)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40" w:type="dxa"/>
            <w:vAlign w:val="bottom"/>
          </w:tcPr>
          <w:p>
            <w:pPr>
              <w:ind w:left="240"/>
              <w:spacing w:after="0" w:line="187" w:lineRule="exact"/>
              <w:rPr>
                <w:sz w:val="20"/>
                <w:szCs w:val="20"/>
                <w:color w:val="auto"/>
              </w:rPr>
            </w:pPr>
            <w:r>
              <w:rPr>
                <w:rFonts w:ascii="Arial" w:cs="Arial" w:eastAsia="Arial" w:hAnsi="Arial"/>
                <w:sz w:val="18"/>
                <w:szCs w:val="18"/>
                <w:color w:val="auto"/>
              </w:rPr>
              <w:t>Loss before income taxes and (loss) income</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tcPr>
          <w:p>
            <w:pPr>
              <w:ind w:left="440"/>
              <w:spacing w:after="0"/>
              <w:rPr>
                <w:sz w:val="20"/>
                <w:szCs w:val="20"/>
                <w:color w:val="auto"/>
              </w:rPr>
            </w:pPr>
            <w:r>
              <w:rPr>
                <w:rFonts w:ascii="Arial" w:cs="Arial" w:eastAsia="Arial" w:hAnsi="Arial"/>
                <w:sz w:val="18"/>
                <w:szCs w:val="18"/>
                <w:color w:val="auto"/>
              </w:rPr>
              <w:t>from equity method investees</w:t>
            </w: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(36,266)</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 benefit</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(Loss) income from equity method investees</w:t>
            </w: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20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loss</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(36,914)</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89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Volume throughput (1):</w:t>
            </w: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40" w:type="dxa"/>
            <w:vAlign w:val="bottom"/>
          </w:tcPr>
          <w:p>
            <w:pPr>
              <w:spacing w:after="0" w:line="194" w:lineRule="exact"/>
              <w:rPr>
                <w:sz w:val="20"/>
                <w:szCs w:val="20"/>
                <w:color w:val="auto"/>
              </w:rPr>
            </w:pPr>
            <w:r>
              <w:rPr>
                <w:rFonts w:ascii="Arial" w:cs="Arial" w:eastAsia="Arial" w:hAnsi="Arial"/>
                <w:sz w:val="18"/>
                <w:szCs w:val="18"/>
                <w:color w:val="auto"/>
              </w:rPr>
              <w:t>Aggregate average daily throughput - natural</w:t>
            </w: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gas (MMcf/d)</w:t>
            </w:r>
          </w:p>
        </w:tc>
        <w:tc>
          <w:tcPr>
            <w:tcW w:w="1080" w:type="dxa"/>
            <w:vAlign w:val="bottom"/>
          </w:tcPr>
          <w:p>
            <w:pPr>
              <w:spacing w:after="0"/>
              <w:rPr>
                <w:sz w:val="19"/>
                <w:szCs w:val="19"/>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1,462</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44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Aggregate average daily throughput - liquids</w:t>
            </w:r>
          </w:p>
        </w:tc>
        <w:tc>
          <w:tcPr>
            <w:tcW w:w="10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4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(Mbbl/d)</w:t>
            </w: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103.0</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32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5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Exclusive of volume throughput for Ohio Gathering. For additional information, see the "Ohio Gathering" section herein.</w:t>
      </w:r>
    </w:p>
    <w:p>
      <w:pPr>
        <w:spacing w:after="0" w:line="21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4" w:name="page35"/>
    <w:bookmarkEnd w:id="34"/>
    <w:p>
      <w:pPr>
        <w:ind w:right="440"/>
        <w:spacing w:after="0" w:line="276" w:lineRule="auto"/>
        <w:rPr>
          <w:sz w:val="20"/>
          <w:szCs w:val="20"/>
          <w:color w:val="auto"/>
        </w:rPr>
      </w:pPr>
      <w:r>
        <w:rPr>
          <w:rFonts w:ascii="Arial" w:cs="Arial" w:eastAsia="Arial" w:hAnsi="Arial"/>
          <w:sz w:val="18"/>
          <w:szCs w:val="18"/>
          <w:b w:val="1"/>
          <w:bCs w:val="1"/>
          <w:i w:val="1"/>
          <w:iCs w:val="1"/>
          <w:color w:val="auto"/>
        </w:rPr>
        <w:t xml:space="preserve">Volumes – Gas. </w:t>
      </w:r>
      <w:r>
        <w:rPr>
          <w:rFonts w:ascii="Arial" w:cs="Arial" w:eastAsia="Arial" w:hAnsi="Arial"/>
          <w:sz w:val="18"/>
          <w:szCs w:val="18"/>
          <w:color w:val="auto"/>
        </w:rPr>
        <w:t>Natural gas throughput volumes decreased 275 MMcf/d compared to the three months ended March 31, 2018,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w:t>
      </w:r>
    </w:p>
    <w:p>
      <w:pPr>
        <w:spacing w:after="0" w:line="37" w:lineRule="exact"/>
        <w:rPr>
          <w:sz w:val="20"/>
          <w:szCs w:val="20"/>
          <w:color w:val="auto"/>
        </w:rPr>
      </w:pPr>
    </w:p>
    <w:p>
      <w:pPr>
        <w:ind w:left="800" w:hanging="400"/>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143 MMcf/d for the Marcellus Shale segment.</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79 MMcf/d for the Piceance Basin segment.</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a volume throughput decrease of 70 MMcf/d for the Utica Shale segment.</w:t>
      </w:r>
    </w:p>
    <w:p>
      <w:pPr>
        <w:spacing w:after="0" w:line="11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 xml:space="preserve">Volumes – Liquids. </w:t>
      </w:r>
      <w:r>
        <w:rPr>
          <w:rFonts w:ascii="Arial" w:cs="Arial" w:eastAsia="Arial" w:hAnsi="Arial"/>
          <w:sz w:val="18"/>
          <w:szCs w:val="18"/>
          <w:color w:val="auto"/>
        </w:rPr>
        <w:t>Crude oil and produced water throughput volumes in the Williston Basin segment increased 18.0 Mbbl/d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2018, primarily reflecting well completion activity behind our Polar and Divide system in 2018 as well as the addition of new customers in 2018.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volumes, see the "Segment Overview for the Three Months Ended March 31, 2019 and 2018" section herein.</w:t>
      </w:r>
    </w:p>
    <w:p>
      <w:pPr>
        <w:spacing w:after="0" w:line="104"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increased $14.1 million compared to the three months ended March 31, 2018 primarily comprised of a $2.6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gathering services and related fees and an $11.8 million increase in natural gas, NGLs and condensate sales.</w:t>
      </w:r>
    </w:p>
    <w:p>
      <w:pPr>
        <w:spacing w:after="0" w:line="23"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increased $2.6 million compared to the three months ended March 31, 2018, primarily reflecting:</w:t>
      </w:r>
    </w:p>
    <w:p>
      <w:pPr>
        <w:spacing w:after="0" w:line="37" w:lineRule="exact"/>
        <w:rPr>
          <w:sz w:val="20"/>
          <w:szCs w:val="20"/>
          <w:color w:val="auto"/>
        </w:rPr>
      </w:pPr>
    </w:p>
    <w:p>
      <w:pPr>
        <w:ind w:left="800" w:right="100" w:hanging="400"/>
        <w:spacing w:after="0" w:line="255"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an $8.0 million increase in gathering services and related fees in the Williston Basin primarily reflecting (i) $5.6 million in higher MVC shortfall revenue attributable to the timing of revenue recognition and (ii) a $2.4 million increase relating to higher liquids volume throughput in the Williston Basin due to increased drilling activity.</w:t>
      </w:r>
    </w:p>
    <w:p>
      <w:pPr>
        <w:spacing w:after="0" w:line="55" w:lineRule="exact"/>
        <w:rPr>
          <w:rFonts w:ascii="Times New Roman" w:cs="Times New Roman" w:eastAsia="Times New Roman" w:hAnsi="Times New Roman"/>
          <w:sz w:val="18"/>
          <w:szCs w:val="18"/>
          <w:color w:val="auto"/>
        </w:rPr>
      </w:pPr>
    </w:p>
    <w:p>
      <w:pPr>
        <w:ind w:left="800" w:right="200" w:hanging="400"/>
        <w:spacing w:after="0" w:line="275"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$1.5 million increase in gathering services and related fees in the DJ Basin relating to higher volume throughput due to increased drilling activity.</w:t>
      </w:r>
    </w:p>
    <w:p>
      <w:pPr>
        <w:spacing w:after="0" w:line="37" w:lineRule="exact"/>
        <w:rPr>
          <w:rFonts w:ascii="Times New Roman" w:cs="Times New Roman" w:eastAsia="Times New Roman" w:hAnsi="Times New Roman"/>
          <w:sz w:val="18"/>
          <w:szCs w:val="18"/>
          <w:color w:val="auto"/>
        </w:rPr>
      </w:pPr>
    </w:p>
    <w:p>
      <w:pPr>
        <w:ind w:left="800" w:right="140" w:hanging="400"/>
        <w:spacing w:after="0" w:line="248"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$2.5 million decrease in gathering services and related fees in the Utica Shale due to a combination of natural production declines on existing wells together with temporary production curtailments associated with infill drilling, completion activity and other operational downtime associated with customers on existing pad sites, partially offset by the completion of new wells in the first quarter of 2019.</w:t>
      </w:r>
    </w:p>
    <w:p>
      <w:pPr>
        <w:spacing w:after="0" w:line="62" w:lineRule="exact"/>
        <w:rPr>
          <w:rFonts w:ascii="Times New Roman" w:cs="Times New Roman" w:eastAsia="Times New Roman" w:hAnsi="Times New Roman"/>
          <w:sz w:val="18"/>
          <w:szCs w:val="18"/>
          <w:color w:val="auto"/>
        </w:rPr>
      </w:pPr>
    </w:p>
    <w:p>
      <w:pPr>
        <w:ind w:left="800" w:right="480" w:hanging="400"/>
        <w:spacing w:after="0" w:line="275"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$1.6 million decrease in gathering services and related fees in the Marcellus Shale relating to lower volume throughput due to natural production declines.</w:t>
      </w:r>
    </w:p>
    <w:p>
      <w:pPr>
        <w:spacing w:after="0" w:line="37" w:lineRule="exact"/>
        <w:rPr>
          <w:rFonts w:ascii="Times New Roman" w:cs="Times New Roman" w:eastAsia="Times New Roman" w:hAnsi="Times New Roman"/>
          <w:sz w:val="18"/>
          <w:szCs w:val="18"/>
          <w:color w:val="auto"/>
        </w:rPr>
      </w:pPr>
    </w:p>
    <w:p>
      <w:pPr>
        <w:ind w:left="800" w:right="520" w:hanging="400"/>
        <w:spacing w:after="0" w:line="275" w:lineRule="auto"/>
        <w:tabs>
          <w:tab w:leader="none" w:pos="80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a $1.3 million decrease in gathering services and related fees in the Piceance Basin relating to lower volume throughput due to natural production declines, operational downtime and unfavorable weather conditions.</w:t>
      </w:r>
    </w:p>
    <w:p>
      <w:pPr>
        <w:spacing w:after="0" w:line="38"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increased $11.8 million compared to the three months ended March 31, 2018, primarily reflecting higher natural gas, NGL and crude oil marketing services.</w:t>
      </w:r>
    </w:p>
    <w:p>
      <w:pPr>
        <w:spacing w:after="0" w:line="37" w:lineRule="exact"/>
        <w:rPr>
          <w:sz w:val="20"/>
          <w:szCs w:val="20"/>
          <w:color w:val="auto"/>
        </w:rPr>
      </w:pPr>
    </w:p>
    <w:p>
      <w:pPr>
        <w:ind w:right="540"/>
        <w:spacing w:after="0" w:line="292"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increased $60.0 million, compared to the three months ended March 31, 2018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w:t>
      </w:r>
    </w:p>
    <w:p>
      <w:pPr>
        <w:spacing w:after="0" w:line="23" w:lineRule="exact"/>
        <w:rPr>
          <w:sz w:val="20"/>
          <w:szCs w:val="20"/>
          <w:color w:val="auto"/>
        </w:rPr>
      </w:pPr>
    </w:p>
    <w:p>
      <w:pPr>
        <w:ind w:left="800" w:hanging="400"/>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recognition of $34.7 million of certain long-lived asset impairments in the DJ Basin.</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recognition of $10.2 million of certain long-lived asset impairments in the Barnett Shale.</w:t>
      </w:r>
    </w:p>
    <w:p>
      <w:pPr>
        <w:spacing w:after="0" w:line="116" w:lineRule="exact"/>
        <w:rPr>
          <w:rFonts w:ascii="Times New Roman" w:cs="Times New Roman" w:eastAsia="Times New Roman" w:hAnsi="Times New Roman"/>
          <w:sz w:val="18"/>
          <w:szCs w:val="18"/>
          <w:color w:val="auto"/>
        </w:rPr>
      </w:pPr>
    </w:p>
    <w:p>
      <w:pPr>
        <w:ind w:left="800" w:hanging="400"/>
        <w:spacing w:after="0" w:line="291" w:lineRule="auto"/>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$11.5 million increase in natural gas, NGLs and condensate purchases primarily driven by increased natural gas, NGL and crude oil marketing activity.</w:t>
      </w:r>
    </w:p>
    <w:p>
      <w:pPr>
        <w:spacing w:after="0" w:line="23" w:lineRule="exact"/>
        <w:rPr>
          <w:rFonts w:ascii="Times New Roman" w:cs="Times New Roman" w:eastAsia="Times New Roman" w:hAnsi="Times New Roman"/>
          <w:sz w:val="18"/>
          <w:szCs w:val="18"/>
          <w:color w:val="auto"/>
        </w:rPr>
      </w:pPr>
    </w:p>
    <w:p>
      <w:pPr>
        <w:ind w:left="800" w:right="260" w:hanging="400"/>
        <w:spacing w:after="0" w:line="275" w:lineRule="auto"/>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$2.9 million increase in general and administrative expense primarily due to the recognition of $3.4 million in severance expense relating to our former Chief Executive Officer.</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 $1.1 million increase in depreciation and amortization was largely driven by the assets placed into service in the Permian Basin.</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35" w:name="page36"/>
    <w:bookmarkEnd w:id="35"/>
    <w:p>
      <w:pPr>
        <w:ind w:right="320"/>
        <w:spacing w:after="0" w:line="292"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increased $11.5 million compared to the three months ended March 31, 2018 primarily driven by increased natural gas, NGL and crude oil marketing activity.</w:t>
      </w:r>
    </w:p>
    <w:p>
      <w:pPr>
        <w:spacing w:after="0" w:line="23"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decreased $0.4 million compared to the three months ended March 31, 2018.</w:t>
      </w:r>
    </w:p>
    <w:p>
      <w:pPr>
        <w:spacing w:after="0" w:line="37"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$2.9 million compared to the three months ended March 31, 2018 primarily due to the recognition of $3.4 million in severance expense relating to our former Chief Executive Officer.</w:t>
      </w:r>
    </w:p>
    <w:p>
      <w:pPr>
        <w:spacing w:after="0" w:line="23"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Depreciation and amortization expense increased $1.1 million compared to the three months ended March 31, 2018 primarily due to the assets placed into service in the Permian Basin.</w:t>
      </w:r>
    </w:p>
    <w:p>
      <w:pPr>
        <w:spacing w:after="0" w:line="37"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Transaction costs recognized during the three months ended March 31, 2019 relate to financial advisory costs primarily associated with the Equity Restructuring.</w:t>
      </w:r>
    </w:p>
    <w:p>
      <w:pPr>
        <w:spacing w:after="0" w:line="3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increased $2.4 million compared to the three months ended March 31, 2018 as a result of a higher average outstanding balance and an increase in the interest rate on the Revolving Credit Facility.</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Deferred Purchase Price Obligation</w:t>
      </w:r>
      <w:r>
        <w:rPr>
          <w:rFonts w:ascii="Arial" w:cs="Arial" w:eastAsia="Arial" w:hAnsi="Arial"/>
          <w:sz w:val="18"/>
          <w:szCs w:val="18"/>
          <w:color w:val="auto"/>
        </w:rPr>
        <w:t>. Deferred Purchase Price Obligation recognized during the three months ended March 31, 2019 represents the change in present value to Remaining Consideration in connection with the 2016 Drop Down (see Note 17 to the unaudited condensed consolidated financial statements).</w:t>
      </w:r>
    </w:p>
    <w:p>
      <w:pPr>
        <w:spacing w:after="0" w:line="56"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For additional information, see the "Segment Overview for the Three Months Ended March 31, 2019 and 2018" and "Corporate and Other Overview for the Three Months Ended March 31, 2019 and 2018" sections herein.</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Overview for the Three Months Ended March 31, 2019 and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Utica Shale. </w:t>
      </w:r>
      <w:r>
        <w:rPr>
          <w:rFonts w:ascii="Arial" w:cs="Arial" w:eastAsia="Arial" w:hAnsi="Arial"/>
          <w:sz w:val="18"/>
          <w:szCs w:val="18"/>
          <w:color w:val="auto"/>
        </w:rPr>
        <w:t>The Utica Shale reportable segment includes the Summit Utica system. Volume throughput for our Summit Utica system follows.</w:t>
      </w:r>
    </w:p>
    <w:p>
      <w:pPr>
        <w:spacing w:after="0" w:line="219" w:lineRule="exact"/>
        <w:rPr>
          <w:sz w:val="20"/>
          <w:szCs w:val="20"/>
          <w:color w:val="auto"/>
        </w:rPr>
      </w:pPr>
    </w:p>
    <w:p>
      <w:pPr>
        <w:ind w:left="7560"/>
        <w:spacing w:after="0"/>
        <w:rPr>
          <w:sz w:val="20"/>
          <w:szCs w:val="20"/>
          <w:color w:val="auto"/>
        </w:rPr>
      </w:pPr>
      <w:r>
        <w:rPr>
          <w:rFonts w:ascii="Arial" w:cs="Arial" w:eastAsia="Arial" w:hAnsi="Arial"/>
          <w:sz w:val="14"/>
          <w:szCs w:val="14"/>
          <w:b w:val="1"/>
          <w:bCs w:val="1"/>
          <w:color w:val="auto"/>
        </w:rPr>
        <w:t>Utica Shale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340" w:type="dxa"/>
            <w:vAlign w:val="bottom"/>
          </w:tcPr>
          <w:p>
            <w:pPr>
              <w:spacing w:after="0"/>
              <w:rPr>
                <w:sz w:val="14"/>
                <w:szCs w:val="14"/>
                <w:color w:val="auto"/>
              </w:rPr>
            </w:pPr>
          </w:p>
        </w:tc>
        <w:tc>
          <w:tcPr>
            <w:tcW w:w="2780" w:type="dxa"/>
            <w:vAlign w:val="bottom"/>
            <w:tcBorders>
              <w:top w:val="single" w:sz="8" w:color="auto"/>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3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1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340" w:type="dxa"/>
            <w:vAlign w:val="bottom"/>
            <w:tcBorders>
              <w:top w:val="single" w:sz="8" w:color="CFF0FC"/>
            </w:tcBorders>
            <w:shd w:val="clear" w:color="auto" w:fill="CFF0FC"/>
          </w:tcPr>
          <w:p>
            <w:pPr>
              <w:jc w:val="right"/>
              <w:ind w:right="3496"/>
              <w:spacing w:after="0"/>
              <w:rPr>
                <w:sz w:val="20"/>
                <w:szCs w:val="20"/>
                <w:color w:val="auto"/>
              </w:rPr>
            </w:pPr>
            <w:r>
              <w:rPr>
                <w:rFonts w:ascii="Arial" w:cs="Arial" w:eastAsia="Arial" w:hAnsi="Arial"/>
                <w:sz w:val="18"/>
                <w:szCs w:val="18"/>
                <w:color w:val="auto"/>
                <w:w w:val="99"/>
              </w:rPr>
              <w:t>Average daily throughput (MMcf/d)</w:t>
            </w:r>
          </w:p>
        </w:tc>
        <w:tc>
          <w:tcPr>
            <w:tcW w:w="102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286</w:t>
            </w:r>
          </w:p>
        </w:tc>
        <w:tc>
          <w:tcPr>
            <w:tcW w:w="1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356</w:t>
            </w:r>
          </w:p>
        </w:tc>
        <w:tc>
          <w:tcPr>
            <w:tcW w:w="160" w:type="dxa"/>
            <w:vAlign w:val="bottom"/>
            <w:tcBorders>
              <w:top w:val="single" w:sz="8" w:color="CFF0FC"/>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558"/>
        </w:trPr>
        <w:tc>
          <w:tcPr>
            <w:tcW w:w="6340" w:type="dxa"/>
            <w:vAlign w:val="bottom"/>
          </w:tcPr>
          <w:p>
            <w:pPr>
              <w:jc w:val="right"/>
              <w:ind w:right="436"/>
              <w:spacing w:after="0"/>
              <w:rPr>
                <w:sz w:val="20"/>
                <w:szCs w:val="20"/>
                <w:color w:val="auto"/>
              </w:rPr>
            </w:pPr>
            <w:r>
              <w:rPr>
                <w:rFonts w:ascii="Arial" w:cs="Arial" w:eastAsia="Arial" w:hAnsi="Arial"/>
                <w:sz w:val="18"/>
                <w:szCs w:val="18"/>
                <w:color w:val="auto"/>
              </w:rPr>
              <w:t>35</w:t>
            </w: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6" w:name="page37"/>
    <w:bookmarkEnd w:id="36"/>
    <w:p>
      <w:pPr>
        <w:spacing w:after="0" w:line="248" w:lineRule="auto"/>
        <w:rPr>
          <w:sz w:val="20"/>
          <w:szCs w:val="20"/>
          <w:color w:val="auto"/>
        </w:rPr>
      </w:pPr>
      <w:r>
        <w:rPr>
          <w:rFonts w:ascii="Arial" w:cs="Arial" w:eastAsia="Arial" w:hAnsi="Arial"/>
          <w:sz w:val="18"/>
          <w:szCs w:val="18"/>
          <w:color w:val="auto"/>
        </w:rPr>
        <w:t>Volume throughput declined compared to the three months ended March 31, 2018 due to natural production declines from existing wells on pad sites connected to the Summit Utica system together with temporary production curtailments associated with infill drilling, completion activity and other operational downtime associated with customers on existing pad sites, partially offset by the completion of new wells in the first quarter of 2019.</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Utica Shale reportable segment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5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right="325"/>
              <w:spacing w:after="0"/>
              <w:rPr>
                <w:sz w:val="20"/>
                <w:szCs w:val="20"/>
                <w:color w:val="auto"/>
              </w:rPr>
            </w:pPr>
            <w:r>
              <w:rPr>
                <w:rFonts w:ascii="Arial" w:cs="Arial" w:eastAsia="Arial" w:hAnsi="Arial"/>
                <w:sz w:val="14"/>
                <w:szCs w:val="14"/>
                <w:b w:val="1"/>
                <w:bCs w:val="1"/>
                <w:color w:val="auto"/>
              </w:rPr>
              <w:t>Utica Shale</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34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4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580" w:type="dxa"/>
            <w:vAlign w:val="bottom"/>
          </w:tcPr>
          <w:p>
            <w:pPr>
              <w:spacing w:after="0"/>
              <w:rPr>
                <w:sz w:val="15"/>
                <w:szCs w:val="15"/>
                <w:color w:val="auto"/>
              </w:rPr>
            </w:pPr>
          </w:p>
        </w:tc>
        <w:tc>
          <w:tcPr>
            <w:tcW w:w="2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60" w:type="dxa"/>
            <w:vAlign w:val="bottom"/>
            <w:tcBorders>
              <w:top w:val="single" w:sz="8" w:color="auto"/>
            </w:tcBorders>
            <w:gridSpan w:val="5"/>
          </w:tcPr>
          <w:p>
            <w:pPr>
              <w:jc w:val="center"/>
              <w:ind w:left="502"/>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700" w:type="dxa"/>
            <w:vAlign w:val="bottom"/>
            <w:gridSpan w:val="2"/>
          </w:tcPr>
          <w:p>
            <w:pPr>
              <w:jc w:val="right"/>
              <w:ind w:right="782"/>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7,495</w:t>
            </w:r>
          </w:p>
        </w:tc>
        <w:tc>
          <w:tcPr>
            <w:tcW w:w="180" w:type="dxa"/>
            <w:vAlign w:val="bottom"/>
          </w:tcPr>
          <w:p>
            <w:pPr>
              <w:spacing w:after="0"/>
              <w:rPr>
                <w:sz w:val="18"/>
                <w:szCs w:val="18"/>
                <w:color w:val="auto"/>
              </w:rPr>
            </w:pPr>
          </w:p>
        </w:tc>
        <w:tc>
          <w:tcPr>
            <w:tcW w:w="900" w:type="dxa"/>
            <w:vAlign w:val="bottom"/>
            <w:gridSpan w:val="2"/>
          </w:tcPr>
          <w:p>
            <w:pPr>
              <w:jc w:val="right"/>
              <w:ind w:right="72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10,041</w:t>
            </w: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10"/>
        </w:trPr>
        <w:tc>
          <w:tcPr>
            <w:tcW w:w="45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74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7,495</w:t>
            </w: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10,041</w:t>
            </w:r>
          </w:p>
        </w:tc>
        <w:tc>
          <w:tcPr>
            <w:tcW w:w="1760" w:type="dxa"/>
            <w:vAlign w:val="bottom"/>
            <w:tcBorders>
              <w:top w:val="single" w:sz="8" w:color="CFF0FC"/>
            </w:tcBorders>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1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1,216</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1,219</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102</w:t>
            </w: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74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1,908</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1,853</w:t>
            </w:r>
          </w:p>
        </w:tc>
        <w:tc>
          <w:tcPr>
            <w:tcW w:w="176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0"/>
        </w:trPr>
        <w:tc>
          <w:tcPr>
            <w:tcW w:w="45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1740" w:type="dxa"/>
            <w:vAlign w:val="bottom"/>
            <w:tcBorders>
              <w:bottom w:val="single" w:sz="8" w:color="CFF0FC"/>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3,205</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3,174</w:t>
            </w:r>
          </w:p>
        </w:tc>
        <w:tc>
          <w:tcPr>
            <w:tcW w:w="176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17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ind w:right="32"/>
              <w:spacing w:after="0"/>
              <w:rPr>
                <w:sz w:val="20"/>
                <w:szCs w:val="20"/>
                <w:color w:val="auto"/>
              </w:rPr>
            </w:pPr>
            <w:r>
              <w:rPr>
                <w:rFonts w:ascii="Arial" w:cs="Arial" w:eastAsia="Arial" w:hAnsi="Arial"/>
                <w:sz w:val="18"/>
                <w:szCs w:val="18"/>
                <w:color w:val="auto"/>
              </w:rPr>
              <w:t>1,908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1,853</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580" w:type="dxa"/>
            <w:vAlign w:val="bottom"/>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17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5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174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740" w:type="dxa"/>
            <w:vAlign w:val="bottom"/>
          </w:tcPr>
          <w:p>
            <w:pPr>
              <w:spacing w:after="0"/>
              <w:rPr>
                <w:sz w:val="18"/>
                <w:szCs w:val="18"/>
                <w:color w:val="auto"/>
              </w:rPr>
            </w:pPr>
          </w:p>
        </w:tc>
        <w:tc>
          <w:tcPr>
            <w:tcW w:w="960" w:type="dxa"/>
            <w:vAlign w:val="bottom"/>
            <w:tcBorders>
              <w:bottom w:val="single" w:sz="8" w:color="auto"/>
            </w:tcBorders>
          </w:tcPr>
          <w:p>
            <w:pPr>
              <w:jc w:val="right"/>
              <w:ind w:right="782"/>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6,193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8,715</w:t>
            </w: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232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8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u w:val="single" w:color="auto"/>
          <w:color w:val="auto"/>
        </w:rPr>
        <w:t>Three months ended March 31, 2019</w:t>
      </w:r>
      <w:r>
        <w:rPr>
          <w:rFonts w:ascii="Arial" w:cs="Arial" w:eastAsia="Arial" w:hAnsi="Arial"/>
          <w:sz w:val="18"/>
          <w:szCs w:val="18"/>
          <w:color w:val="auto"/>
        </w:rPr>
        <w:t>. Segment adjusted EBITDA decreased $2.5 million compared to the three months ended March 31, 2018 primarily due to a combination of natural production declines from existing wells on pad sites connected to the Summit Utica system together with temporary production curtailments associated with infill drilling, completion activity and other operational downtime associated with customers on existing pad sites. The decrease was partially offset by new wells completed in the first quarter of 2019.</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The Ohio Gathering reportable segment includes OGC and OCC. We account for our investment in Ohio Gathering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method. We recognize our proportionate share of earnings or loss in net income on a one-month lag based on the financial information available to us during the reporting period.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Gross volume throughput for Ohio Gathering, based on a one-month lag follows.</w:t>
      </w:r>
    </w:p>
    <w:p>
      <w:pPr>
        <w:spacing w:after="0" w:line="206"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Ohio Gathering</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2840" w:type="dxa"/>
            <w:vAlign w:val="bottom"/>
            <w:tcBorders>
              <w:top w:val="single" w:sz="8" w:color="auto"/>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260" w:type="dxa"/>
            <w:vAlign w:val="bottom"/>
            <w:gridSpan w:val="2"/>
          </w:tcPr>
          <w:p>
            <w:pPr>
              <w:ind w:left="6780"/>
              <w:spacing w:after="0"/>
              <w:rPr>
                <w:sz w:val="20"/>
                <w:szCs w:val="20"/>
                <w:color w:val="auto"/>
              </w:rPr>
            </w:pPr>
            <w:r>
              <w:rPr>
                <w:rFonts w:ascii="Arial" w:cs="Arial" w:eastAsia="Arial" w:hAnsi="Arial"/>
                <w:sz w:val="14"/>
                <w:szCs w:val="14"/>
                <w:b w:val="1"/>
                <w:bCs w:val="1"/>
                <w:color w:val="auto"/>
              </w:rPr>
              <w:t>2019</w:t>
            </w:r>
          </w:p>
        </w:tc>
        <w:tc>
          <w:tcPr>
            <w:tcW w:w="17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06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711</w:t>
            </w:r>
          </w:p>
        </w:tc>
        <w:tc>
          <w:tcPr>
            <w:tcW w:w="1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771</w:t>
            </w:r>
          </w:p>
        </w:tc>
        <w:tc>
          <w:tcPr>
            <w:tcW w:w="16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Volume throughput for Ohio Gathering decreased compared to the three months ended March 31, 2018 as a result of natural production declines on existing wells on the system, partially offset by the completion of new wells in the first quarter of 2019.</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Ohio Gathering reportable segment, based on a one-month lag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rPr>
              <w:t>Ohio Gathering</w:t>
            </w:r>
          </w:p>
        </w:tc>
        <w:tc>
          <w:tcPr>
            <w:tcW w:w="1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4"/>
          </w:tcPr>
          <w:p>
            <w:pPr>
              <w:jc w:val="center"/>
              <w:ind w:right="376"/>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44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4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100" w:type="dxa"/>
            <w:vAlign w:val="bottom"/>
            <w:gridSpan w:val="4"/>
          </w:tcPr>
          <w:p>
            <w:pPr>
              <w:jc w:val="center"/>
              <w:ind w:right="376"/>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40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Proportional adjusted EBITDA for equity</w:t>
            </w:r>
          </w:p>
        </w:tc>
        <w:tc>
          <w:tcPr>
            <w:tcW w:w="17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4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method investees</w:t>
            </w:r>
          </w:p>
        </w:tc>
        <w:tc>
          <w:tcPr>
            <w:tcW w:w="21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9,210</w:t>
            </w: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10,477</w:t>
            </w:r>
          </w:p>
        </w:tc>
        <w:tc>
          <w:tcPr>
            <w:tcW w:w="18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0"/>
        </w:trPr>
        <w:tc>
          <w:tcPr>
            <w:tcW w:w="44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7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8"/>
                <w:szCs w:val="18"/>
                <w:color w:val="auto"/>
              </w:rPr>
              <w:t>9,210</w:t>
            </w:r>
          </w:p>
        </w:tc>
        <w:tc>
          <w:tcPr>
            <w:tcW w:w="16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10,477</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780" w:type="dxa"/>
            <w:vAlign w:val="bottom"/>
            <w:vMerge w:val="restart"/>
          </w:tcPr>
          <w:p>
            <w:pPr>
              <w:jc w:val="right"/>
              <w:ind w:right="270"/>
              <w:spacing w:after="0"/>
              <w:rPr>
                <w:sz w:val="20"/>
                <w:szCs w:val="20"/>
                <w:color w:val="auto"/>
              </w:rPr>
            </w:pPr>
            <w:r>
              <w:rPr>
                <w:rFonts w:ascii="Arial" w:cs="Arial" w:eastAsia="Arial" w:hAnsi="Arial"/>
                <w:sz w:val="18"/>
                <w:szCs w:val="18"/>
                <w:color w:val="auto"/>
              </w:rPr>
              <w:t>36</w:t>
            </w: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4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40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7" w:name="page38"/>
    <w:bookmarkEnd w:id="37"/>
    <w:p>
      <w:pPr>
        <w:ind w:right="120"/>
        <w:spacing w:after="0" w:line="276" w:lineRule="auto"/>
        <w:rPr>
          <w:sz w:val="20"/>
          <w:szCs w:val="20"/>
          <w:color w:val="auto"/>
        </w:rPr>
      </w:pPr>
      <w:r>
        <w:rPr>
          <w:rFonts w:ascii="Arial" w:cs="Arial" w:eastAsia="Arial" w:hAnsi="Arial"/>
          <w:sz w:val="18"/>
          <w:szCs w:val="18"/>
          <w:color w:val="auto"/>
        </w:rPr>
        <w:t>Segment adjusted EBITDA for equity method investees decreased $1.3 million compared to the three months ended March 31, 2018 primarily as a result of higher expenses, together with lower volume throughput at OGC and OCC.</w:t>
      </w:r>
    </w:p>
    <w:p>
      <w:pPr>
        <w:spacing w:after="0" w:line="3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b w:val="1"/>
          <w:bCs w:val="1"/>
          <w:i w:val="1"/>
          <w:iCs w:val="1"/>
          <w:color w:val="auto"/>
        </w:rPr>
        <w:t xml:space="preserve">Williston Basin. </w:t>
      </w:r>
      <w:r>
        <w:rPr>
          <w:rFonts w:ascii="Arial" w:cs="Arial" w:eastAsia="Arial" w:hAnsi="Arial"/>
          <w:sz w:val="18"/>
          <w:szCs w:val="18"/>
          <w:color w:val="auto"/>
        </w:rPr>
        <w:t>The Polar and Divide, Bison Midstream and Tioga Midstream (through March 22, 2019; refer to Note 17 for details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Tioga Midstream) systems provide our midstream services for the Williston Basin reportable segment. Volume throughput for our Williston Basin reportable segment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center"/>
              <w:ind w:right="1320"/>
              <w:spacing w:after="0"/>
              <w:rPr>
                <w:sz w:val="20"/>
                <w:szCs w:val="20"/>
                <w:color w:val="auto"/>
              </w:rPr>
            </w:pPr>
            <w:r>
              <w:rPr>
                <w:rFonts w:ascii="Arial" w:cs="Arial" w:eastAsia="Arial" w:hAnsi="Arial"/>
                <w:sz w:val="14"/>
                <w:szCs w:val="14"/>
                <w:b w:val="1"/>
                <w:bCs w:val="1"/>
                <w:color w:val="auto"/>
              </w:rPr>
              <w:t>Williston Basin</w:t>
            </w: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4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Three months ended March 31,</w:t>
            </w:r>
          </w:p>
        </w:tc>
        <w:tc>
          <w:tcPr>
            <w:tcW w:w="1600" w:type="dxa"/>
            <w:vAlign w:val="bottom"/>
            <w:vMerge w:val="restart"/>
          </w:tcPr>
          <w:p>
            <w:pPr>
              <w:jc w:val="right"/>
              <w:ind w:right="33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1040" w:type="dxa"/>
            <w:vAlign w:val="bottom"/>
          </w:tcPr>
          <w:p>
            <w:pPr>
              <w:jc w:val="right"/>
              <w:ind w:right="59"/>
              <w:spacing w:after="0"/>
              <w:rPr>
                <w:sz w:val="20"/>
                <w:szCs w:val="20"/>
                <w:color w:val="auto"/>
              </w:rPr>
            </w:pPr>
            <w:r>
              <w:rPr>
                <w:rFonts w:ascii="Arial" w:cs="Arial" w:eastAsia="Arial" w:hAnsi="Arial"/>
                <w:sz w:val="14"/>
                <w:szCs w:val="14"/>
                <w:b w:val="1"/>
                <w:bCs w:val="1"/>
                <w:color w:val="auto"/>
              </w:rPr>
              <w:t>2019</w:t>
            </w:r>
          </w:p>
        </w:tc>
        <w:tc>
          <w:tcPr>
            <w:tcW w:w="22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1600" w:type="dxa"/>
            <w:vAlign w:val="bottom"/>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32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Aggregate average daily throughput -</w:t>
            </w:r>
          </w:p>
        </w:tc>
        <w:tc>
          <w:tcPr>
            <w:tcW w:w="104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0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natural gas (MMcf/d)</w:t>
            </w:r>
          </w:p>
        </w:tc>
        <w:tc>
          <w:tcPr>
            <w:tcW w:w="10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16</w:t>
            </w:r>
          </w:p>
        </w:tc>
        <w:tc>
          <w:tcPr>
            <w:tcW w:w="2280" w:type="dxa"/>
            <w:vAlign w:val="bottom"/>
            <w:gridSpan w:val="3"/>
            <w:shd w:val="clear" w:color="auto" w:fill="CFF0FC"/>
          </w:tcPr>
          <w:p>
            <w:pPr>
              <w:jc w:val="right"/>
              <w:ind w:right="70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499"/>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320" w:type="dxa"/>
            <w:vAlign w:val="bottom"/>
            <w:shd w:val="clear" w:color="auto" w:fill="CFF0FC"/>
          </w:tcPr>
          <w:p>
            <w:pPr>
              <w:spacing w:after="0" w:line="194" w:lineRule="exact"/>
              <w:rPr>
                <w:sz w:val="20"/>
                <w:szCs w:val="20"/>
                <w:color w:val="auto"/>
              </w:rPr>
            </w:pPr>
            <w:r>
              <w:rPr>
                <w:rFonts w:ascii="Arial" w:cs="Arial" w:eastAsia="Arial" w:hAnsi="Arial"/>
                <w:sz w:val="18"/>
                <w:szCs w:val="18"/>
                <w:color w:val="auto"/>
              </w:rPr>
              <w:t>Aggregate average daily throughput -</w:t>
            </w:r>
          </w:p>
        </w:tc>
        <w:tc>
          <w:tcPr>
            <w:tcW w:w="104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3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liquids (Mbbl/d)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w:t>
            </w:r>
          </w:p>
        </w:tc>
        <w:tc>
          <w:tcPr>
            <w:tcW w:w="2280" w:type="dxa"/>
            <w:vAlign w:val="bottom"/>
            <w:gridSpan w:val="3"/>
            <w:shd w:val="clear" w:color="auto" w:fill="CFF0FC"/>
          </w:tcPr>
          <w:p>
            <w:pPr>
              <w:jc w:val="right"/>
              <w:ind w:right="6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decreased compared to the three months ended March 31, 2018 primarily reflecting natural production declines and unfavorable weather conditions.</w:t>
      </w:r>
    </w:p>
    <w:p>
      <w:pPr>
        <w:spacing w:after="0" w:line="3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u w:val="single" w:color="auto"/>
          <w:color w:val="auto"/>
        </w:rPr>
        <w:t>Liquids</w:t>
      </w:r>
      <w:r>
        <w:rPr>
          <w:rFonts w:ascii="Arial" w:cs="Arial" w:eastAsia="Arial" w:hAnsi="Arial"/>
          <w:sz w:val="18"/>
          <w:szCs w:val="18"/>
          <w:color w:val="auto"/>
        </w:rPr>
        <w:t>. The increase in liquids volume throughput compared to the three months ended March 31, 2018, primarily reflected well completion activity by existing customers on our Polar and Divide system in 2018 as well as the addition of new customers, partially offset by natural production declines and unfavorable weather conditions.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Financial data for our Williston Basin reportable segment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center"/>
              <w:ind w:right="245"/>
              <w:spacing w:after="0"/>
              <w:rPr>
                <w:sz w:val="20"/>
                <w:szCs w:val="20"/>
                <w:color w:val="auto"/>
              </w:rPr>
            </w:pPr>
            <w:r>
              <w:rPr>
                <w:rFonts w:ascii="Arial" w:cs="Arial" w:eastAsia="Arial" w:hAnsi="Arial"/>
                <w:sz w:val="14"/>
                <w:szCs w:val="14"/>
                <w:b w:val="1"/>
                <w:bCs w:val="1"/>
                <w:color w:val="auto"/>
              </w:rPr>
              <w:t>Williston Basin</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340" w:type="dxa"/>
            <w:vAlign w:val="bottom"/>
            <w:tcBorders>
              <w:bottom w:val="single" w:sz="8" w:color="auto"/>
            </w:tcBorders>
            <w:gridSpan w:val="6"/>
          </w:tcPr>
          <w:p>
            <w:pPr>
              <w:jc w:val="center"/>
              <w:ind w:right="10"/>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8"/>
                <w:szCs w:val="18"/>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4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80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60" w:type="dxa"/>
            <w:vAlign w:val="bottom"/>
            <w:tcBorders>
              <w:top w:val="single" w:sz="8" w:color="auto"/>
            </w:tcBorders>
            <w:gridSpan w:val="5"/>
          </w:tcPr>
          <w:p>
            <w:pPr>
              <w:jc w:val="center"/>
              <w:ind w:left="502"/>
              <w:spacing w:after="0"/>
              <w:rPr>
                <w:sz w:val="20"/>
                <w:szCs w:val="20"/>
                <w:color w:val="auto"/>
              </w:rPr>
            </w:pPr>
            <w:r>
              <w:rPr>
                <w:rFonts w:ascii="Arial" w:cs="Arial" w:eastAsia="Arial" w:hAnsi="Arial"/>
                <w:sz w:val="14"/>
                <w:szCs w:val="14"/>
                <w:b w:val="1"/>
                <w:bCs w:val="1"/>
                <w:color w:val="auto"/>
              </w:rPr>
              <w:t>(Dollars in thousands)</w:t>
            </w: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420" w:type="dxa"/>
            <w:vAlign w:val="bottom"/>
            <w:gridSpan w:val="2"/>
          </w:tcPr>
          <w:p>
            <w:pPr>
              <w:jc w:val="right"/>
              <w:ind w:right="722"/>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1"/>
              <w:spacing w:after="0"/>
              <w:rPr>
                <w:sz w:val="20"/>
                <w:szCs w:val="20"/>
                <w:color w:val="auto"/>
              </w:rPr>
            </w:pPr>
            <w:r>
              <w:rPr>
                <w:rFonts w:ascii="Arial" w:cs="Arial" w:eastAsia="Arial" w:hAnsi="Arial"/>
                <w:sz w:val="18"/>
                <w:szCs w:val="18"/>
                <w:color w:val="auto"/>
                <w:w w:val="98"/>
              </w:rPr>
              <w:t>25,706</w:t>
            </w:r>
          </w:p>
        </w:tc>
        <w:tc>
          <w:tcPr>
            <w:tcW w:w="180" w:type="dxa"/>
            <w:vAlign w:val="bottom"/>
          </w:tcPr>
          <w:p>
            <w:pPr>
              <w:spacing w:after="0"/>
              <w:rPr>
                <w:sz w:val="18"/>
                <w:szCs w:val="18"/>
                <w:color w:val="auto"/>
              </w:rPr>
            </w:pPr>
          </w:p>
        </w:tc>
        <w:tc>
          <w:tcPr>
            <w:tcW w:w="900" w:type="dxa"/>
            <w:vAlign w:val="bottom"/>
            <w:gridSpan w:val="2"/>
          </w:tcPr>
          <w:p>
            <w:pPr>
              <w:jc w:val="right"/>
              <w:ind w:right="72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17,666</w:t>
            </w: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5,585</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7,846</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5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2,908</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2,912</w:t>
            </w:r>
          </w:p>
        </w:tc>
        <w:tc>
          <w:tcPr>
            <w:tcW w:w="176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52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34,199</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28,424</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2,709</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4,608</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(41%)</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6,516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6,825</w:t>
            </w:r>
          </w:p>
        </w:tc>
        <w:tc>
          <w:tcPr>
            <w:tcW w:w="17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341</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767</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color w:val="auto"/>
              </w:rPr>
              <w:t>5,436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5,609</w:t>
            </w:r>
          </w:p>
        </w:tc>
        <w:tc>
          <w:tcPr>
            <w:tcW w:w="17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1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15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FF0FC"/>
            </w:tcBorders>
            <w:gridSpan w:val="2"/>
          </w:tcPr>
          <w:p>
            <w:pPr>
              <w:jc w:val="center"/>
              <w:ind w:lef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52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w w:val="98"/>
              </w:rPr>
              <w:t>14,044</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8"/>
              </w:rPr>
              <w:t>17,809</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5,436</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5,609</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00" w:type="dxa"/>
            <w:vAlign w:val="bottom"/>
          </w:tcPr>
          <w:p>
            <w:pPr>
              <w:ind w:left="140"/>
              <w:spacing w:after="0" w:line="194" w:lineRule="exact"/>
              <w:rPr>
                <w:sz w:val="20"/>
                <w:szCs w:val="20"/>
                <w:color w:val="auto"/>
              </w:rPr>
            </w:pPr>
            <w:r>
              <w:rPr>
                <w:rFonts w:ascii="Arial" w:cs="Arial" w:eastAsia="Arial" w:hAnsi="Arial"/>
                <w:sz w:val="18"/>
                <w:szCs w:val="18"/>
                <w:color w:val="auto"/>
              </w:rPr>
              <w:t>Adjustments related to MVC shortfall</w:t>
            </w:r>
          </w:p>
        </w:tc>
        <w:tc>
          <w:tcPr>
            <w:tcW w:w="1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340"/>
              <w:spacing w:after="0"/>
              <w:rPr>
                <w:sz w:val="20"/>
                <w:szCs w:val="20"/>
                <w:color w:val="auto"/>
              </w:rPr>
            </w:pPr>
            <w:r>
              <w:rPr>
                <w:rFonts w:ascii="Arial" w:cs="Arial" w:eastAsia="Arial" w:hAnsi="Arial"/>
                <w:sz w:val="18"/>
                <w:szCs w:val="18"/>
                <w:color w:val="auto"/>
              </w:rPr>
              <w:t>payments</w:t>
            </w:r>
          </w:p>
        </w:tc>
        <w:tc>
          <w:tcPr>
            <w:tcW w:w="1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(5,549)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4800" w:type="dxa"/>
            <w:vAlign w:val="bottom"/>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15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15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52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1520" w:type="dxa"/>
            <w:vAlign w:val="bottom"/>
          </w:tcPr>
          <w:p>
            <w:pPr>
              <w:spacing w:after="0"/>
              <w:rPr>
                <w:sz w:val="18"/>
                <w:szCs w:val="18"/>
                <w:color w:val="auto"/>
              </w:rPr>
            </w:pPr>
          </w:p>
        </w:tc>
        <w:tc>
          <w:tcPr>
            <w:tcW w:w="900" w:type="dxa"/>
            <w:vAlign w:val="bottom"/>
            <w:tcBorders>
              <w:bottom w:val="single" w:sz="8" w:color="auto"/>
            </w:tcBorders>
          </w:tcPr>
          <w:p>
            <w:pPr>
              <w:jc w:val="right"/>
              <w:ind w:right="722"/>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98"/>
              </w:rPr>
              <w:t>18,734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8"/>
              </w:rPr>
              <w:t>15,970</w:t>
            </w: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232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88"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u w:val="single" w:color="auto"/>
          <w:color w:val="auto"/>
        </w:rPr>
        <w:t>Three months ended March 31, 2019</w:t>
      </w:r>
      <w:r>
        <w:rPr>
          <w:rFonts w:ascii="Arial" w:cs="Arial" w:eastAsia="Arial" w:hAnsi="Arial"/>
          <w:sz w:val="18"/>
          <w:szCs w:val="18"/>
          <w:color w:val="auto"/>
        </w:rPr>
        <w:t>. Segment adjusted EBITDA increased $2.8 million compared to the three months ended March 31, 2018 primarily reflecting:</w:t>
      </w:r>
    </w:p>
    <w:p>
      <w:pPr>
        <w:spacing w:after="0" w:line="23" w:lineRule="exact"/>
        <w:rPr>
          <w:sz w:val="20"/>
          <w:szCs w:val="20"/>
          <w:color w:val="auto"/>
        </w:rPr>
      </w:pPr>
    </w:p>
    <w:p>
      <w:pPr>
        <w:ind w:left="800" w:right="20" w:hanging="400"/>
        <w:spacing w:after="0" w:line="275" w:lineRule="auto"/>
        <w:tabs>
          <w:tab w:leader="none" w:pos="8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A $2.5 million increase, after taking into account the adjustments related to MVC shortfall payments, in gathering services and related fees primarily due to higher liquids volume throughput on our Polar and Divide system.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260" w:hanging="400"/>
        <w:spacing w:after="0" w:line="248" w:lineRule="auto"/>
        <w:tabs>
          <w:tab w:leader="none" w:pos="80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On March 22, 2019, we sold the Tioga Midstream system and recorded a gain on sale of $0.9 million based on the difference between the consideration received and the then carrying value for Tioga Midstream at closing. The financial results of Tioga Midstream are included in our unaudited condensed consolidated financial statements for the period from January 1, 2019 through March 22,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9" w:name="page40"/>
    <w:bookmarkEnd w:id="39"/>
    <w:p>
      <w:pPr>
        <w:ind w:right="180"/>
        <w:spacing w:after="0" w:line="292" w:lineRule="auto"/>
        <w:rPr>
          <w:sz w:val="20"/>
          <w:szCs w:val="20"/>
          <w:color w:val="auto"/>
        </w:rPr>
      </w:pPr>
      <w:r>
        <w:rPr>
          <w:rFonts w:ascii="Arial" w:cs="Arial" w:eastAsia="Arial" w:hAnsi="Arial"/>
          <w:sz w:val="18"/>
          <w:szCs w:val="18"/>
          <w:b w:val="1"/>
          <w:bCs w:val="1"/>
          <w:i w:val="1"/>
          <w:iCs w:val="1"/>
          <w:color w:val="auto"/>
        </w:rPr>
        <w:t xml:space="preserve">DJ Basin. </w:t>
      </w:r>
      <w:r>
        <w:rPr>
          <w:rFonts w:ascii="Arial" w:cs="Arial" w:eastAsia="Arial" w:hAnsi="Arial"/>
          <w:sz w:val="18"/>
          <w:szCs w:val="18"/>
          <w:color w:val="auto"/>
        </w:rPr>
        <w:t>The Niobrara G&amp;P systems provide midstream services for the DJ Basin reportable segment. Volume throughput for our DJ Basin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follows.</w:t>
      </w:r>
    </w:p>
    <w:p>
      <w:pPr>
        <w:spacing w:after="0" w:line="125"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DJ Basin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2900" w:type="dxa"/>
            <w:vAlign w:val="bottom"/>
            <w:tcBorders>
              <w:top w:val="single" w:sz="8" w:color="auto"/>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300" w:type="dxa"/>
            <w:vAlign w:val="bottom"/>
            <w:gridSpan w:val="2"/>
          </w:tcPr>
          <w:p>
            <w:pPr>
              <w:ind w:left="6780"/>
              <w:spacing w:after="0"/>
              <w:rPr>
                <w:sz w:val="20"/>
                <w:szCs w:val="20"/>
                <w:color w:val="auto"/>
              </w:rPr>
            </w:pPr>
            <w:r>
              <w:rPr>
                <w:rFonts w:ascii="Arial" w:cs="Arial" w:eastAsia="Arial" w:hAnsi="Arial"/>
                <w:sz w:val="14"/>
                <w:szCs w:val="14"/>
                <w:b w:val="1"/>
                <w:bCs w:val="1"/>
                <w:color w:val="auto"/>
              </w:rPr>
              <w:t>2019</w:t>
            </w:r>
          </w:p>
        </w:tc>
        <w:tc>
          <w:tcPr>
            <w:tcW w:w="1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20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Aggregate average daily throughput</w:t>
            </w:r>
          </w:p>
        </w:tc>
        <w:tc>
          <w:tcPr>
            <w:tcW w:w="110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3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(MMcf/d)</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color w:val="auto"/>
        </w:rPr>
        <w:t>Volume throughput increased during the three months ended March 31, 2018, compared to the prior periods, primarily as a result of ongoing drilling and completion activity across our service area.</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DJ Basin reportable segment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1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jc w:val="center"/>
              <w:ind w:right="336"/>
              <w:spacing w:after="0"/>
              <w:rPr>
                <w:sz w:val="20"/>
                <w:szCs w:val="20"/>
                <w:color w:val="auto"/>
              </w:rPr>
            </w:pPr>
            <w:r>
              <w:rPr>
                <w:rFonts w:ascii="Arial" w:cs="Arial" w:eastAsia="Arial" w:hAnsi="Arial"/>
                <w:sz w:val="14"/>
                <w:szCs w:val="14"/>
                <w:b w:val="1"/>
                <w:bCs w:val="1"/>
                <w:color w:val="auto"/>
              </w:rPr>
              <w:t>DJ Basin</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2780" w:type="dxa"/>
            <w:vAlign w:val="bottom"/>
            <w:tcBorders>
              <w:bottom w:val="single" w:sz="8" w:color="auto"/>
            </w:tcBorders>
            <w:gridSpan w:val="4"/>
          </w:tcPr>
          <w:p>
            <w:pPr>
              <w:jc w:val="center"/>
              <w:ind w:left="461"/>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2780" w:type="dxa"/>
            <w:vAlign w:val="bottom"/>
            <w:gridSpan w:val="4"/>
          </w:tcPr>
          <w:p>
            <w:pPr>
              <w:jc w:val="center"/>
              <w:ind w:left="461"/>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40" w:type="dxa"/>
            <w:vAlign w:val="bottom"/>
          </w:tcPr>
          <w:p>
            <w:pPr>
              <w:jc w:val="right"/>
              <w:ind w:right="76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3,724</w:t>
            </w:r>
          </w:p>
        </w:tc>
        <w:tc>
          <w:tcPr>
            <w:tcW w:w="160" w:type="dxa"/>
            <w:vAlign w:val="bottom"/>
          </w:tcPr>
          <w:p>
            <w:pPr>
              <w:spacing w:after="0"/>
              <w:rPr>
                <w:sz w:val="18"/>
                <w:szCs w:val="18"/>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2,179</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71%</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1,007</w:t>
            </w: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757</w:t>
            </w:r>
          </w:p>
        </w:tc>
        <w:tc>
          <w:tcPr>
            <w:tcW w:w="18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33%</w:t>
            </w: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4,816</w:t>
            </w:r>
          </w:p>
        </w:tc>
        <w:tc>
          <w:tcPr>
            <w:tcW w:w="1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3,016</w:t>
            </w:r>
          </w:p>
        </w:tc>
        <w:tc>
          <w:tcPr>
            <w:tcW w:w="18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60%</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18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1,849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1,475</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124</w:t>
            </w:r>
          </w:p>
        </w:tc>
        <w:tc>
          <w:tcPr>
            <w:tcW w:w="18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781</w:t>
            </w:r>
          </w:p>
        </w:tc>
        <w:tc>
          <w:tcPr>
            <w:tcW w:w="18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34,721</w:t>
            </w:r>
          </w:p>
        </w:tc>
        <w:tc>
          <w:tcPr>
            <w:tcW w:w="1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37,451</w:t>
            </w: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2,387</w:t>
            </w:r>
          </w:p>
        </w:tc>
        <w:tc>
          <w:tcPr>
            <w:tcW w:w="18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1469%</w:t>
            </w: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781</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Long-lived asset impairment</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34,721</w:t>
            </w: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940" w:type="dxa"/>
            <w:vAlign w:val="bottom"/>
            <w:tcBorders>
              <w:bottom w:val="single" w:sz="8" w:color="auto"/>
            </w:tcBorders>
            <w:shd w:val="clear" w:color="auto" w:fill="CFF0FC"/>
          </w:tcPr>
          <w:p>
            <w:pPr>
              <w:jc w:val="right"/>
              <w:ind w:right="76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2,673</w:t>
            </w:r>
          </w:p>
        </w:tc>
        <w:tc>
          <w:tcPr>
            <w:tcW w:w="16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1,321</w:t>
            </w:r>
          </w:p>
        </w:tc>
        <w:tc>
          <w:tcPr>
            <w:tcW w:w="1800" w:type="dxa"/>
            <w:vAlign w:val="bottom"/>
            <w:tcBorders>
              <w:bottom w:val="single" w:sz="8" w:color="CFF0FC"/>
            </w:tcBorders>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08"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u w:val="single" w:color="auto"/>
          <w:color w:val="auto"/>
        </w:rPr>
        <w:t>Three months ended March 31, 2019</w:t>
      </w:r>
      <w:r>
        <w:rPr>
          <w:rFonts w:ascii="Arial" w:cs="Arial" w:eastAsia="Arial" w:hAnsi="Arial"/>
          <w:sz w:val="18"/>
          <w:szCs w:val="18"/>
          <w:color w:val="auto"/>
        </w:rPr>
        <w:t>. Segment adjusted EBITDA increased $1.4 million compared to the three months ended March 31, 2018, primarily reflecting:</w:t>
      </w:r>
    </w:p>
    <w:p>
      <w:pPr>
        <w:spacing w:after="0" w:line="23" w:lineRule="exact"/>
        <w:rPr>
          <w:sz w:val="20"/>
          <w:szCs w:val="20"/>
          <w:color w:val="auto"/>
        </w:rPr>
      </w:pPr>
    </w:p>
    <w:p>
      <w:pPr>
        <w:ind w:left="800" w:right="720" w:hanging="400"/>
        <w:spacing w:after="0" w:line="275" w:lineRule="auto"/>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 $1.5 million increase in gathering services and related fees primarily as a result of volume growth from ongoing drilling and completion activity.</w:t>
      </w:r>
    </w:p>
    <w:p>
      <w:pPr>
        <w:spacing w:after="0" w:line="51" w:lineRule="exact"/>
        <w:rPr>
          <w:rFonts w:ascii="Times New Roman" w:cs="Times New Roman" w:eastAsia="Times New Roman" w:hAnsi="Times New Roman"/>
          <w:sz w:val="18"/>
          <w:szCs w:val="18"/>
          <w:color w:val="auto"/>
        </w:rPr>
      </w:pPr>
    </w:p>
    <w:p>
      <w:pPr>
        <w:ind w:left="800" w:right="360" w:hanging="400"/>
        <w:spacing w:after="0" w:line="255" w:lineRule="auto"/>
        <w:tabs>
          <w:tab w:leader="none" w:pos="80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 $0.4 million increase in operation and maintenance expense primarily due to $0.2 million of higher electricity expenses we pass through to certain customers (which is also reflected in the increase in Other revenues in the table above) in addition to higher operation and maintenance costs to support volume growth.</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04" w:lineRule="exact"/>
        <w:rPr>
          <w:sz w:val="20"/>
          <w:szCs w:val="20"/>
          <w:color w:val="auto"/>
        </w:rPr>
      </w:pPr>
    </w:p>
    <w:p>
      <w:pPr>
        <w:ind w:left="800" w:right="380" w:hanging="400"/>
        <w:spacing w:after="0" w:line="255" w:lineRule="auto"/>
        <w:tabs>
          <w:tab w:leader="none" w:pos="8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During the quarter ended March 31, 2019, we impaired certain long-lived assets in the DJ Basin (see Note 5 to the unaudited condensed consolidated financial statements). The impairment had no impact on segment adjusted EBITDA for the three months ended March 31, 2019.</w:t>
      </w:r>
    </w:p>
    <w:p>
      <w:pPr>
        <w:spacing w:after="0" w:line="5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b w:val="1"/>
          <w:bCs w:val="1"/>
          <w:i w:val="1"/>
          <w:iCs w:val="1"/>
          <w:color w:val="auto"/>
        </w:rPr>
        <w:t xml:space="preserve">Permian Basin. </w:t>
      </w:r>
      <w:r>
        <w:rPr>
          <w:rFonts w:ascii="Arial" w:cs="Arial" w:eastAsia="Arial" w:hAnsi="Arial"/>
          <w:sz w:val="18"/>
          <w:szCs w:val="18"/>
          <w:color w:val="auto"/>
        </w:rPr>
        <w:t>The Summit Permian system provides our midstream services for the Permian Basin reportable segment, which commenced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late in the fourth quarter of 2018.</w:t>
      </w:r>
    </w:p>
    <w:p>
      <w:pPr>
        <w:spacing w:after="0" w:line="3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Average daily volume throughput during the three months ended March 31, 2019 for the Permian Basin reportable segment totaled 15 MMcf/d.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Financial data for our Permian Basin reportable segment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Permian Basin</w:t>
            </w:r>
          </w:p>
        </w:tc>
      </w:tr>
      <w:tr>
        <w:trPr>
          <w:trHeight w:val="154"/>
        </w:trPr>
        <w:tc>
          <w:tcPr>
            <w:tcW w:w="8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jc w:val="center"/>
              <w:ind w:right="175"/>
              <w:spacing w:after="0" w:line="154" w:lineRule="exact"/>
              <w:rPr>
                <w:sz w:val="20"/>
                <w:szCs w:val="20"/>
                <w:color w:val="auto"/>
              </w:rPr>
            </w:pPr>
            <w:r>
              <w:rPr>
                <w:rFonts w:ascii="Arial" w:cs="Arial" w:eastAsia="Arial" w:hAnsi="Arial"/>
                <w:sz w:val="14"/>
                <w:szCs w:val="14"/>
                <w:b w:val="1"/>
                <w:bCs w:val="1"/>
                <w:color w:val="auto"/>
              </w:rPr>
              <w:t>Three months ended March 31,</w:t>
            </w:r>
          </w:p>
        </w:tc>
      </w:tr>
      <w:tr>
        <w:trPr>
          <w:trHeight w:val="177"/>
        </w:trPr>
        <w:tc>
          <w:tcPr>
            <w:tcW w:w="8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rPr>
              <w:t>2019</w:t>
            </w:r>
          </w:p>
        </w:tc>
      </w:tr>
      <w:tr>
        <w:trPr>
          <w:trHeight w:val="210"/>
        </w:trPr>
        <w:tc>
          <w:tcPr>
            <w:tcW w:w="8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jc w:val="center"/>
              <w:ind w:right="17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8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20" w:type="dxa"/>
            <w:vAlign w:val="bottom"/>
            <w:shd w:val="clear" w:color="auto" w:fill="CFF0FC"/>
          </w:tcPr>
          <w:p>
            <w:pPr>
              <w:spacing w:after="0"/>
              <w:rPr>
                <w:sz w:val="18"/>
                <w:szCs w:val="18"/>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420" w:type="dxa"/>
            <w:vAlign w:val="bottom"/>
          </w:tcPr>
          <w:p>
            <w:pPr>
              <w:jc w:val="right"/>
              <w:ind w:right="35"/>
              <w:spacing w:after="0"/>
              <w:rPr>
                <w:sz w:val="20"/>
                <w:szCs w:val="20"/>
                <w:color w:val="auto"/>
              </w:rPr>
            </w:pPr>
            <w:r>
              <w:rPr>
                <w:rFonts w:ascii="Arial" w:cs="Arial" w:eastAsia="Arial" w:hAnsi="Arial"/>
                <w:sz w:val="18"/>
                <w:szCs w:val="18"/>
                <w:color w:val="auto"/>
              </w:rPr>
              <w:t>366</w:t>
            </w:r>
          </w:p>
        </w:tc>
      </w:tr>
      <w:tr>
        <w:trPr>
          <w:trHeight w:val="216"/>
        </w:trPr>
        <w:tc>
          <w:tcPr>
            <w:tcW w:w="886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4,221</w:t>
            </w:r>
          </w:p>
        </w:tc>
      </w:tr>
      <w:tr>
        <w:trPr>
          <w:trHeight w:val="216"/>
        </w:trPr>
        <w:tc>
          <w:tcPr>
            <w:tcW w:w="8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w:t>
            </w:r>
          </w:p>
        </w:tc>
      </w:tr>
      <w:tr>
        <w:trPr>
          <w:trHeight w:val="210"/>
        </w:trPr>
        <w:tc>
          <w:tcPr>
            <w:tcW w:w="8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4,619</w:t>
            </w:r>
          </w:p>
        </w:tc>
      </w:tr>
      <w:tr>
        <w:trPr>
          <w:trHeight w:val="210"/>
        </w:trPr>
        <w:tc>
          <w:tcPr>
            <w:tcW w:w="88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6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4,245</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jc w:val="right"/>
              <w:ind w:right="35"/>
              <w:spacing w:after="0"/>
              <w:rPr>
                <w:sz w:val="20"/>
                <w:szCs w:val="20"/>
                <w:color w:val="auto"/>
              </w:rPr>
            </w:pPr>
            <w:r>
              <w:rPr>
                <w:rFonts w:ascii="Arial" w:cs="Arial" w:eastAsia="Arial" w:hAnsi="Arial"/>
                <w:sz w:val="18"/>
                <w:szCs w:val="18"/>
                <w:color w:val="auto"/>
              </w:rPr>
              <w:t>891</w:t>
            </w:r>
          </w:p>
        </w:tc>
      </w:tr>
      <w:tr>
        <w:trPr>
          <w:trHeight w:val="216"/>
        </w:trPr>
        <w:tc>
          <w:tcPr>
            <w:tcW w:w="88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33</w:t>
            </w:r>
          </w:p>
        </w:tc>
      </w:tr>
      <w:tr>
        <w:trPr>
          <w:trHeight w:val="216"/>
        </w:trPr>
        <w:tc>
          <w:tcPr>
            <w:tcW w:w="8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1,072</w:t>
            </w:r>
          </w:p>
        </w:tc>
      </w:tr>
      <w:tr>
        <w:trPr>
          <w:trHeight w:val="210"/>
        </w:trPr>
        <w:tc>
          <w:tcPr>
            <w:tcW w:w="8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6,241</w:t>
            </w:r>
          </w:p>
        </w:tc>
      </w:tr>
      <w:tr>
        <w:trPr>
          <w:trHeight w:val="210"/>
        </w:trPr>
        <w:tc>
          <w:tcPr>
            <w:tcW w:w="886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4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1,072</w:t>
            </w:r>
          </w:p>
        </w:tc>
      </w:tr>
      <w:tr>
        <w:trPr>
          <w:trHeight w:val="210"/>
        </w:trPr>
        <w:tc>
          <w:tcPr>
            <w:tcW w:w="886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r>
      <w:tr>
        <w:trPr>
          <w:trHeight w:val="20"/>
        </w:trPr>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u w:val="single" w:color="auto"/>
          <w:color w:val="auto"/>
        </w:rPr>
        <w:t>Three months ended March 31, 2019</w:t>
      </w:r>
      <w:r>
        <w:rPr>
          <w:rFonts w:ascii="Arial" w:cs="Arial" w:eastAsia="Arial" w:hAnsi="Arial"/>
          <w:sz w:val="18"/>
          <w:szCs w:val="18"/>
          <w:color w:val="auto"/>
        </w:rPr>
        <w:t>. Segment adjusted EBITDA totaled ($0.6) million, primarily reflecting fixed operating costs associated with commissioning and operating the Lane processing plant and certain inefficiencies and higher fuel costs associated with lower plant utilization and initial production volumes.</w:t>
      </w:r>
    </w:p>
    <w:p>
      <w:pPr>
        <w:spacing w:after="0" w:line="5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i w:val="1"/>
          <w:iCs w:val="1"/>
          <w:color w:val="auto"/>
        </w:rPr>
        <w:t xml:space="preserve">Piceance Basin. </w:t>
      </w:r>
      <w:r>
        <w:rPr>
          <w:rFonts w:ascii="Arial" w:cs="Arial" w:eastAsia="Arial" w:hAnsi="Arial"/>
          <w:sz w:val="18"/>
          <w:szCs w:val="18"/>
          <w:color w:val="auto"/>
        </w:rPr>
        <w:t>The Grand River system provides midstream services for the Piceance Basin reportable segment. Volume throughput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Piceance Basin reportable segment follows.</w:t>
      </w:r>
    </w:p>
    <w:p>
      <w:pPr>
        <w:spacing w:after="0" w:line="139"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Piceance Basin</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2840" w:type="dxa"/>
            <w:vAlign w:val="bottom"/>
            <w:tcBorders>
              <w:top w:val="single" w:sz="8" w:color="auto"/>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240" w:type="dxa"/>
            <w:vAlign w:val="bottom"/>
            <w:gridSpan w:val="2"/>
          </w:tcPr>
          <w:p>
            <w:pPr>
              <w:ind w:left="6780"/>
              <w:spacing w:after="0"/>
              <w:rPr>
                <w:sz w:val="20"/>
                <w:szCs w:val="20"/>
                <w:color w:val="auto"/>
              </w:rPr>
            </w:pPr>
            <w:r>
              <w:rPr>
                <w:rFonts w:ascii="Arial" w:cs="Arial" w:eastAsia="Arial" w:hAnsi="Arial"/>
                <w:sz w:val="14"/>
                <w:szCs w:val="14"/>
                <w:b w:val="1"/>
                <w:bCs w:val="1"/>
                <w:color w:val="auto"/>
              </w:rPr>
              <w:t>2019</w:t>
            </w:r>
          </w:p>
        </w:tc>
        <w:tc>
          <w:tcPr>
            <w:tcW w:w="1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20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color w:val="auto"/>
              </w:rPr>
              <w:t>Aggregate average daily throughput</w:t>
            </w:r>
          </w:p>
        </w:tc>
        <w:tc>
          <w:tcPr>
            <w:tcW w:w="10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64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2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(MMcf/d)</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485</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564</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Volume throughput decreased compared to the three months ended March 31, 2018 as a result of natural production declines, operational downtime and unfavorable weather conditions, partially offset by drilling and completion activity that occurred across our service area during 2018.</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Financial data for our Piceance Basin reportable segment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1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right="296"/>
              <w:spacing w:after="0"/>
              <w:rPr>
                <w:sz w:val="20"/>
                <w:szCs w:val="20"/>
                <w:color w:val="auto"/>
              </w:rPr>
            </w:pPr>
            <w:r>
              <w:rPr>
                <w:rFonts w:ascii="Arial" w:cs="Arial" w:eastAsia="Arial" w:hAnsi="Arial"/>
                <w:sz w:val="14"/>
                <w:szCs w:val="14"/>
                <w:b w:val="1"/>
                <w:bCs w:val="1"/>
                <w:color w:val="auto"/>
              </w:rPr>
              <w:t>Piceance Basin</w:t>
            </w: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274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2740" w:type="dxa"/>
            <w:vAlign w:val="bottom"/>
            <w:gridSpan w:val="4"/>
          </w:tcPr>
          <w:p>
            <w:pPr>
              <w:jc w:val="center"/>
              <w:ind w:left="501"/>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40" w:type="dxa"/>
            <w:vAlign w:val="bottom"/>
          </w:tcPr>
          <w:p>
            <w:pPr>
              <w:jc w:val="right"/>
              <w:ind w:right="76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31,840</w:t>
            </w:r>
          </w:p>
        </w:tc>
        <w:tc>
          <w:tcPr>
            <w:tcW w:w="16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33,115</w:t>
            </w:r>
          </w:p>
        </w:tc>
        <w:tc>
          <w:tcPr>
            <w:tcW w:w="18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2,302</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4,245</w:t>
            </w:r>
          </w:p>
        </w:tc>
        <w:tc>
          <w:tcPr>
            <w:tcW w:w="18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1,138</w:t>
            </w:r>
          </w:p>
        </w:tc>
        <w:tc>
          <w:tcPr>
            <w:tcW w:w="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1,211</w:t>
            </w:r>
          </w:p>
        </w:tc>
        <w:tc>
          <w:tcPr>
            <w:tcW w:w="180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35,280</w:t>
            </w:r>
          </w:p>
        </w:tc>
        <w:tc>
          <w:tcPr>
            <w:tcW w:w="16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38,571</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1,473</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2,561</w:t>
            </w:r>
          </w:p>
        </w:tc>
        <w:tc>
          <w:tcPr>
            <w:tcW w:w="18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(42%)</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7,299</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7,844</w:t>
            </w:r>
          </w:p>
        </w:tc>
        <w:tc>
          <w:tcPr>
            <w:tcW w:w="18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326</w:t>
            </w:r>
          </w:p>
        </w:tc>
        <w:tc>
          <w:tcPr>
            <w:tcW w:w="18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11,791</w:t>
            </w:r>
          </w:p>
        </w:tc>
        <w:tc>
          <w:tcPr>
            <w:tcW w:w="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11,774</w:t>
            </w:r>
          </w:p>
        </w:tc>
        <w:tc>
          <w:tcPr>
            <w:tcW w:w="180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20,857</w:t>
            </w:r>
          </w:p>
        </w:tc>
        <w:tc>
          <w:tcPr>
            <w:tcW w:w="16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22,505</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11,791</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11,774</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180" w:type="dxa"/>
            <w:vAlign w:val="bottom"/>
          </w:tcPr>
          <w:p>
            <w:pPr>
              <w:ind w:left="140"/>
              <w:spacing w:after="0" w:line="194" w:lineRule="exact"/>
              <w:rPr>
                <w:sz w:val="20"/>
                <w:szCs w:val="20"/>
                <w:color w:val="auto"/>
              </w:rPr>
            </w:pPr>
            <w:r>
              <w:rPr>
                <w:rFonts w:ascii="Arial" w:cs="Arial" w:eastAsia="Arial" w:hAnsi="Arial"/>
                <w:sz w:val="18"/>
                <w:szCs w:val="18"/>
                <w:color w:val="auto"/>
              </w:rPr>
              <w:t>Adjustments related to MVC shortfall</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340"/>
              <w:spacing w:after="0"/>
              <w:rPr>
                <w:sz w:val="20"/>
                <w:szCs w:val="20"/>
                <w:color w:val="auto"/>
              </w:rPr>
            </w:pPr>
            <w:r>
              <w:rPr>
                <w:rFonts w:ascii="Arial" w:cs="Arial" w:eastAsia="Arial" w:hAnsi="Arial"/>
                <w:sz w:val="18"/>
                <w:szCs w:val="18"/>
                <w:color w:val="auto"/>
              </w:rPr>
              <w:t>payments</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940" w:type="dxa"/>
            <w:vAlign w:val="bottom"/>
            <w:tcBorders>
              <w:bottom w:val="single" w:sz="8" w:color="auto"/>
            </w:tcBorders>
          </w:tcPr>
          <w:p>
            <w:pPr>
              <w:jc w:val="right"/>
              <w:ind w:right="76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25,999</w:t>
            </w:r>
          </w:p>
        </w:tc>
        <w:tc>
          <w:tcPr>
            <w:tcW w:w="160" w:type="dxa"/>
            <w:vAlign w:val="bottom"/>
          </w:tcPr>
          <w:p>
            <w:pPr>
              <w:spacing w:after="0"/>
              <w:rPr>
                <w:sz w:val="18"/>
                <w:szCs w:val="18"/>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27,914</w:t>
            </w:r>
          </w:p>
        </w:tc>
        <w:tc>
          <w:tcPr>
            <w:tcW w:w="18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2324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88"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u w:val="single" w:color="auto"/>
          <w:color w:val="auto"/>
        </w:rPr>
        <w:t>Three months ended March 31, 2019</w:t>
      </w:r>
      <w:r>
        <w:rPr>
          <w:rFonts w:ascii="Arial" w:cs="Arial" w:eastAsia="Arial" w:hAnsi="Arial"/>
          <w:sz w:val="18"/>
          <w:szCs w:val="18"/>
          <w:color w:val="auto"/>
        </w:rPr>
        <w:t>. Segment adjusted EBITDA decreased $1.9 million during 2019, compared to the prior period, primarily reflecting:</w:t>
      </w:r>
    </w:p>
    <w:p>
      <w:pPr>
        <w:spacing w:after="0" w:line="51" w:lineRule="exact"/>
        <w:rPr>
          <w:sz w:val="20"/>
          <w:szCs w:val="20"/>
          <w:color w:val="auto"/>
        </w:rPr>
      </w:pPr>
    </w:p>
    <w:p>
      <w:pPr>
        <w:ind w:left="800" w:right="580" w:hanging="400"/>
        <w:spacing w:after="0" w:line="275" w:lineRule="auto"/>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 $1.4 million decrease, after taking into account the adjustments related to MVC shortfall payments, in gathering services and related fees primarily as a result of natural production declines.</w:t>
      </w:r>
    </w:p>
    <w:p>
      <w:pPr>
        <w:spacing w:after="0" w:line="37" w:lineRule="exact"/>
        <w:rPr>
          <w:rFonts w:ascii="Times New Roman" w:cs="Times New Roman" w:eastAsia="Times New Roman" w:hAnsi="Times New Roman"/>
          <w:sz w:val="18"/>
          <w:szCs w:val="18"/>
          <w:color w:val="auto"/>
        </w:rPr>
      </w:pPr>
    </w:p>
    <w:p>
      <w:pPr>
        <w:ind w:left="800" w:right="720" w:hanging="400"/>
        <w:spacing w:after="0" w:line="275" w:lineRule="auto"/>
        <w:tabs>
          <w:tab w:leader="none" w:pos="80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 $0.5 million decrease in operation and maintenance expense primarily due to $0.2 million reduction in planned compressor overhaul maintenance costs and $0.2 million reduction in property taxes.</w:t>
      </w:r>
    </w:p>
    <w:p>
      <w:pPr>
        <w:spacing w:after="0" w:line="51"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b w:val="1"/>
          <w:bCs w:val="1"/>
          <w:i w:val="1"/>
          <w:iCs w:val="1"/>
          <w:color w:val="auto"/>
        </w:rPr>
        <w:t xml:space="preserve">Barnett Shale. </w:t>
      </w:r>
      <w:r>
        <w:rPr>
          <w:rFonts w:ascii="Arial" w:cs="Arial" w:eastAsia="Arial" w:hAnsi="Arial"/>
          <w:sz w:val="18"/>
          <w:szCs w:val="18"/>
          <w:color w:val="auto"/>
        </w:rPr>
        <w:t>The DFW Midstream system provides our midstream services for the Barnett Shale reportable segment. Volume throughput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Barnett Shale reportable segment follows.</w:t>
      </w:r>
    </w:p>
    <w:p>
      <w:pPr>
        <w:spacing w:after="0" w:line="12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Barnett Shale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2840" w:type="dxa"/>
            <w:vAlign w:val="bottom"/>
            <w:tcBorders>
              <w:top w:val="single" w:sz="8" w:color="auto"/>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240" w:type="dxa"/>
            <w:vAlign w:val="bottom"/>
            <w:gridSpan w:val="2"/>
          </w:tcPr>
          <w:p>
            <w:pPr>
              <w:ind w:left="6780"/>
              <w:spacing w:after="0"/>
              <w:rPr>
                <w:sz w:val="20"/>
                <w:szCs w:val="20"/>
                <w:color w:val="auto"/>
              </w:rPr>
            </w:pPr>
            <w:r>
              <w:rPr>
                <w:rFonts w:ascii="Arial" w:cs="Arial" w:eastAsia="Arial" w:hAnsi="Arial"/>
                <w:sz w:val="14"/>
                <w:szCs w:val="14"/>
                <w:b w:val="1"/>
                <w:bCs w:val="1"/>
                <w:color w:val="auto"/>
              </w:rPr>
              <w:t>2019</w:t>
            </w:r>
          </w:p>
        </w:tc>
        <w:tc>
          <w:tcPr>
            <w:tcW w:w="1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Average daily throughput (MMcf/d)</w:t>
            </w:r>
          </w:p>
        </w:tc>
        <w:tc>
          <w:tcPr>
            <w:tcW w:w="10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260</w:t>
            </w:r>
          </w:p>
        </w:tc>
        <w:tc>
          <w:tcPr>
            <w:tcW w:w="1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263</w:t>
            </w:r>
          </w:p>
        </w:tc>
        <w:tc>
          <w:tcPr>
            <w:tcW w:w="16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Volume throughput declined slightly compared to the three months ended March 31, 2018 reflecting natural production declines, partially offset by new volumes from well completion activity during the first quarter of 2019.</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Financial data for our Barnett Shale reportable segment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1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right="276"/>
              <w:spacing w:after="0"/>
              <w:rPr>
                <w:sz w:val="20"/>
                <w:szCs w:val="20"/>
                <w:color w:val="auto"/>
              </w:rPr>
            </w:pPr>
            <w:r>
              <w:rPr>
                <w:rFonts w:ascii="Arial" w:cs="Arial" w:eastAsia="Arial" w:hAnsi="Arial"/>
                <w:sz w:val="14"/>
                <w:szCs w:val="14"/>
                <w:b w:val="1"/>
                <w:bCs w:val="1"/>
                <w:color w:val="auto"/>
              </w:rPr>
              <w:t>Barnett Shale</w:t>
            </w: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2740" w:type="dxa"/>
            <w:vAlign w:val="bottom"/>
            <w:tcBorders>
              <w:bottom w:val="single" w:sz="8" w:color="auto"/>
            </w:tcBorders>
            <w:gridSpan w:val="4"/>
          </w:tcPr>
          <w:p>
            <w:pPr>
              <w:jc w:val="center"/>
              <w:ind w:left="501"/>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1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2740" w:type="dxa"/>
            <w:vAlign w:val="bottom"/>
            <w:gridSpan w:val="4"/>
          </w:tcPr>
          <w:p>
            <w:pPr>
              <w:jc w:val="center"/>
              <w:ind w:left="501"/>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40" w:type="dxa"/>
            <w:vAlign w:val="bottom"/>
          </w:tcPr>
          <w:p>
            <w:pPr>
              <w:jc w:val="right"/>
              <w:ind w:right="76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13,025</w:t>
            </w:r>
          </w:p>
        </w:tc>
        <w:tc>
          <w:tcPr>
            <w:tcW w:w="160" w:type="dxa"/>
            <w:vAlign w:val="bottom"/>
          </w:tcPr>
          <w:p>
            <w:pPr>
              <w:spacing w:after="0"/>
              <w:rPr>
                <w:sz w:val="18"/>
                <w:szCs w:val="18"/>
                <w:color w:val="auto"/>
              </w:rPr>
            </w:pP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13,637</w:t>
            </w:r>
          </w:p>
        </w:tc>
        <w:tc>
          <w:tcPr>
            <w:tcW w:w="18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545</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4"/>
              </w:rPr>
              <w:t>11%</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 (1)</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1,656</w:t>
            </w:r>
          </w:p>
        </w:tc>
        <w:tc>
          <w:tcPr>
            <w:tcW w:w="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1,988</w:t>
            </w:r>
          </w:p>
        </w:tc>
        <w:tc>
          <w:tcPr>
            <w:tcW w:w="18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15,285</w:t>
            </w:r>
          </w:p>
        </w:tc>
        <w:tc>
          <w:tcPr>
            <w:tcW w:w="16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16,170</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5,498</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6,173</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5"/>
              </w:rPr>
              <w:t>(11%)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3,941</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3,908</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Loss (gain) on asset sales, net</w:t>
            </w: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w:t>
            </w:r>
          </w:p>
        </w:tc>
        <w:tc>
          <w:tcPr>
            <w:tcW w:w="1800" w:type="dxa"/>
            <w:vAlign w:val="bottom"/>
            <w:gridSpan w:val="2"/>
          </w:tcPr>
          <w:p>
            <w:pPr>
              <w:jc w:val="center"/>
              <w:ind w:left="5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10,220</w:t>
            </w:r>
          </w:p>
        </w:tc>
        <w:tc>
          <w:tcPr>
            <w:tcW w:w="16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19,894</w:t>
            </w:r>
          </w:p>
        </w:tc>
        <w:tc>
          <w:tcPr>
            <w:tcW w:w="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8"/>
              </w:rPr>
              <w:t>10,318</w:t>
            </w:r>
          </w:p>
        </w:tc>
        <w:tc>
          <w:tcPr>
            <w:tcW w:w="18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93%</w:t>
            </w: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4,330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3,757</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MVC shortfall</w:t>
            </w: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payments</w:t>
            </w: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1,453</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6180" w:type="dxa"/>
            <w:vAlign w:val="bottom"/>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80" w:type="dxa"/>
            <w:vAlign w:val="bottom"/>
          </w:tcPr>
          <w:p>
            <w:pPr>
              <w:ind w:left="340"/>
              <w:spacing w:after="0"/>
              <w:rPr>
                <w:sz w:val="20"/>
                <w:szCs w:val="20"/>
                <w:color w:val="auto"/>
              </w:rPr>
            </w:pPr>
            <w:r>
              <w:rPr>
                <w:rFonts w:ascii="Arial" w:cs="Arial" w:eastAsia="Arial" w:hAnsi="Arial"/>
                <w:sz w:val="18"/>
                <w:szCs w:val="18"/>
                <w:color w:val="auto"/>
              </w:rPr>
              <w:t>reimbursement activity</w:t>
            </w:r>
          </w:p>
        </w:tc>
        <w:tc>
          <w:tcPr>
            <w:tcW w:w="9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324</w:t>
            </w: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(gain) on asset sales, net</w:t>
            </w: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Long-lived asset impairment</w:t>
            </w: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10,220</w:t>
            </w:r>
          </w:p>
        </w:tc>
        <w:tc>
          <w:tcPr>
            <w:tcW w:w="16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940" w:type="dxa"/>
            <w:vAlign w:val="bottom"/>
            <w:tcBorders>
              <w:bottom w:val="single" w:sz="8" w:color="auto"/>
            </w:tcBorders>
            <w:shd w:val="clear" w:color="auto" w:fill="CFF0FC"/>
          </w:tcPr>
          <w:p>
            <w:pPr>
              <w:jc w:val="right"/>
              <w:ind w:right="761"/>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11,374</w:t>
            </w:r>
          </w:p>
        </w:tc>
        <w:tc>
          <w:tcPr>
            <w:tcW w:w="16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9,859</w:t>
            </w:r>
          </w:p>
        </w:tc>
        <w:tc>
          <w:tcPr>
            <w:tcW w:w="1800" w:type="dxa"/>
            <w:vAlign w:val="bottom"/>
            <w:tcBorders>
              <w:bottom w:val="single" w:sz="8" w:color="CFF0FC"/>
            </w:tcBorders>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232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(1) Includes the amortization expense associated with our favorable and unfavorable gas gathering contracts as reported in other revenues.</w:t>
      </w:r>
    </w:p>
    <w:p>
      <w:pPr>
        <w:spacing w:after="0" w:line="108" w:lineRule="exact"/>
        <w:rPr>
          <w:sz w:val="20"/>
          <w:szCs w:val="20"/>
          <w:color w:val="auto"/>
        </w:rPr>
      </w:pPr>
    </w:p>
    <w:p>
      <w:pPr>
        <w:ind w:right="120"/>
        <w:spacing w:after="0" w:line="292" w:lineRule="auto"/>
        <w:rPr>
          <w:sz w:val="20"/>
          <w:szCs w:val="20"/>
          <w:color w:val="auto"/>
        </w:rPr>
      </w:pPr>
      <w:r>
        <w:rPr>
          <w:rFonts w:ascii="Arial" w:cs="Arial" w:eastAsia="Arial" w:hAnsi="Arial"/>
          <w:sz w:val="18"/>
          <w:szCs w:val="18"/>
          <w:u w:val="single" w:color="auto"/>
          <w:color w:val="auto"/>
        </w:rPr>
        <w:t>Three months ended March 31, 2019</w:t>
      </w:r>
      <w:r>
        <w:rPr>
          <w:rFonts w:ascii="Arial" w:cs="Arial" w:eastAsia="Arial" w:hAnsi="Arial"/>
          <w:sz w:val="18"/>
          <w:szCs w:val="18"/>
          <w:color w:val="auto"/>
        </w:rPr>
        <w:t>. Segment adjusted EBITDA increased $1.5 million compared to the three months ended March 31, 2018 primarily reflecting:</w:t>
      </w:r>
    </w:p>
    <w:p>
      <w:pPr>
        <w:spacing w:after="0" w:line="23" w:lineRule="exact"/>
        <w:rPr>
          <w:sz w:val="20"/>
          <w:szCs w:val="20"/>
          <w:color w:val="auto"/>
        </w:rPr>
      </w:pPr>
    </w:p>
    <w:p>
      <w:pPr>
        <w:ind w:left="800" w:right="120" w:hanging="400"/>
        <w:spacing w:after="0" w:line="255" w:lineRule="auto"/>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$1.5 million increase in adjustments related to MVC shortfall payments attributable to an expected cumulative shortfall payment from a certain customer due in the fourth quarter of 2019, partially offset by a $0.6 million decrease in gathering services and related fees from lower volumes and a lower gathering rate mix.</w:t>
      </w:r>
    </w:p>
    <w:p>
      <w:pPr>
        <w:spacing w:after="0" w:line="68"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$0.7 million decrease in various operation and maintenance expenses.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17" w:lineRule="exact"/>
        <w:rPr>
          <w:sz w:val="20"/>
          <w:szCs w:val="20"/>
          <w:color w:val="auto"/>
        </w:rPr>
      </w:pPr>
    </w:p>
    <w:p>
      <w:pPr>
        <w:jc w:val="both"/>
        <w:ind w:left="800" w:right="460" w:hanging="400"/>
        <w:spacing w:after="0" w:line="306" w:lineRule="auto"/>
        <w:tabs>
          <w:tab w:leader="none" w:pos="800" w:val="left"/>
        </w:tabs>
        <w:numPr>
          <w:ilvl w:val="0"/>
          <w:numId w:val="35"/>
        </w:numPr>
        <w:rPr>
          <w:rFonts w:ascii="Times New Roman" w:cs="Times New Roman" w:eastAsia="Times New Roman" w:hAnsi="Times New Roman"/>
          <w:sz w:val="17"/>
          <w:szCs w:val="17"/>
          <w:color w:val="auto"/>
        </w:rPr>
      </w:pPr>
      <w:r>
        <w:rPr>
          <w:rFonts w:ascii="Arial" w:cs="Arial" w:eastAsia="Arial" w:hAnsi="Arial"/>
          <w:sz w:val="17"/>
          <w:szCs w:val="17"/>
          <w:color w:val="auto"/>
        </w:rPr>
        <w:t>In March 2019, we impaired certain long-lived assets in the Barnett Shale (see Note 5 to the unaudited condensed consolidated financial statements). The impairment had no impact on segment adjusted EBITDA for the three months ended March 31, 2019.</w:t>
      </w:r>
    </w:p>
    <w:p>
      <w:pPr>
        <w:spacing w:after="0" w:line="14"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i w:val="1"/>
          <w:iCs w:val="1"/>
          <w:color w:val="auto"/>
        </w:rPr>
        <w:t xml:space="preserve">Marcellus Shale. </w:t>
      </w:r>
      <w:r>
        <w:rPr>
          <w:rFonts w:ascii="Arial" w:cs="Arial" w:eastAsia="Arial" w:hAnsi="Arial"/>
          <w:sz w:val="18"/>
          <w:szCs w:val="18"/>
          <w:color w:val="auto"/>
        </w:rPr>
        <w:t>The Mountaineer Midstream system provides our midstream services for the Marcellus Shale reportable segment.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for the Marcellus Shale reportable segment follows.</w:t>
      </w:r>
    </w:p>
    <w:p>
      <w:pPr>
        <w:spacing w:after="0" w:line="139"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Marcellus Shale</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0" w:type="dxa"/>
            <w:vAlign w:val="bottom"/>
          </w:tcPr>
          <w:p>
            <w:pPr>
              <w:spacing w:after="0"/>
              <w:rPr>
                <w:sz w:val="14"/>
                <w:szCs w:val="14"/>
                <w:color w:val="auto"/>
              </w:rPr>
            </w:pPr>
          </w:p>
        </w:tc>
        <w:tc>
          <w:tcPr>
            <w:tcW w:w="2840" w:type="dxa"/>
            <w:vAlign w:val="bottom"/>
            <w:tcBorders>
              <w:top w:val="single" w:sz="8" w:color="auto"/>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bottom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240" w:type="dxa"/>
            <w:vAlign w:val="bottom"/>
            <w:gridSpan w:val="2"/>
          </w:tcPr>
          <w:p>
            <w:pPr>
              <w:ind w:left="6780"/>
              <w:spacing w:after="0"/>
              <w:rPr>
                <w:sz w:val="20"/>
                <w:szCs w:val="20"/>
                <w:color w:val="auto"/>
              </w:rPr>
            </w:pPr>
            <w:r>
              <w:rPr>
                <w:rFonts w:ascii="Arial" w:cs="Arial" w:eastAsia="Arial" w:hAnsi="Arial"/>
                <w:sz w:val="14"/>
                <w:szCs w:val="14"/>
                <w:b w:val="1"/>
                <w:bCs w:val="1"/>
                <w:color w:val="auto"/>
              </w:rPr>
              <w:t>2019</w:t>
            </w:r>
          </w:p>
        </w:tc>
        <w:tc>
          <w:tcPr>
            <w:tcW w:w="1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200" w:type="dxa"/>
            <w:vAlign w:val="bottom"/>
            <w:tcBorders>
              <w:top w:val="single" w:sz="8" w:color="CFF0FC"/>
            </w:tcBorders>
            <w:shd w:val="clear" w:color="auto" w:fill="CFF0FC"/>
          </w:tcPr>
          <w:p>
            <w:pPr>
              <w:jc w:val="right"/>
              <w:ind w:right="3356"/>
              <w:spacing w:after="0"/>
              <w:rPr>
                <w:sz w:val="20"/>
                <w:szCs w:val="20"/>
                <w:color w:val="auto"/>
              </w:rPr>
            </w:pPr>
            <w:r>
              <w:rPr>
                <w:rFonts w:ascii="Arial" w:cs="Arial" w:eastAsia="Arial" w:hAnsi="Arial"/>
                <w:sz w:val="18"/>
                <w:szCs w:val="18"/>
                <w:color w:val="auto"/>
                <w:w w:val="99"/>
              </w:rPr>
              <w:t>Average daily throughput (MMcf/d)</w:t>
            </w:r>
          </w:p>
        </w:tc>
        <w:tc>
          <w:tcPr>
            <w:tcW w:w="10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379</w:t>
            </w:r>
          </w:p>
        </w:tc>
        <w:tc>
          <w:tcPr>
            <w:tcW w:w="16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522</w:t>
            </w:r>
          </w:p>
        </w:tc>
        <w:tc>
          <w:tcPr>
            <w:tcW w:w="16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(27%)</w:t>
            </w:r>
          </w:p>
        </w:tc>
        <w:tc>
          <w:tcPr>
            <w:tcW w:w="0" w:type="dxa"/>
            <w:vAlign w:val="bottom"/>
          </w:tcPr>
          <w:p>
            <w:pPr>
              <w:spacing w:after="0"/>
              <w:rPr>
                <w:sz w:val="1"/>
                <w:szCs w:val="1"/>
                <w:color w:val="auto"/>
              </w:rPr>
            </w:pPr>
          </w:p>
        </w:tc>
      </w:tr>
      <w:tr>
        <w:trPr>
          <w:trHeight w:val="558"/>
        </w:trPr>
        <w:tc>
          <w:tcPr>
            <w:tcW w:w="6200" w:type="dxa"/>
            <w:vAlign w:val="bottom"/>
          </w:tcPr>
          <w:p>
            <w:pPr>
              <w:jc w:val="right"/>
              <w:ind w:right="296"/>
              <w:spacing w:after="0"/>
              <w:rPr>
                <w:sz w:val="20"/>
                <w:szCs w:val="20"/>
                <w:color w:val="auto"/>
              </w:rPr>
            </w:pPr>
            <w:r>
              <w:rPr>
                <w:rFonts w:ascii="Arial" w:cs="Arial" w:eastAsia="Arial" w:hAnsi="Arial"/>
                <w:sz w:val="18"/>
                <w:szCs w:val="18"/>
                <w:color w:val="auto"/>
              </w:rPr>
              <w:t>42</w:t>
            </w: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2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t>Volume throughput decreased compared to the three months ended March 31, 2018 primarily due to natural production declines.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Marcellus Shale reportable segment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18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4"/>
                <w:szCs w:val="14"/>
                <w:b w:val="1"/>
                <w:bCs w:val="1"/>
                <w:color w:val="auto"/>
              </w:rPr>
              <w:t>Marcellus Shale</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2780" w:type="dxa"/>
            <w:vAlign w:val="bottom"/>
            <w:tcBorders>
              <w:bottom w:val="single" w:sz="8" w:color="auto"/>
            </w:tcBorders>
            <w:gridSpan w:val="4"/>
          </w:tcPr>
          <w:p>
            <w:pPr>
              <w:jc w:val="center"/>
              <w:ind w:left="461"/>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6180" w:type="dxa"/>
            <w:vAlign w:val="bottom"/>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2780" w:type="dxa"/>
            <w:vAlign w:val="bottom"/>
            <w:gridSpan w:val="4"/>
          </w:tcPr>
          <w:p>
            <w:pPr>
              <w:jc w:val="center"/>
              <w:ind w:left="461"/>
              <w:spacing w:after="0"/>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Gathering services and related fees</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6,197</w:t>
            </w: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7,825</w:t>
            </w:r>
          </w:p>
        </w:tc>
        <w:tc>
          <w:tcPr>
            <w:tcW w:w="1800" w:type="dxa"/>
            <w:vAlign w:val="bottom"/>
            <w:tcBorders>
              <w:bottom w:val="single" w:sz="8" w:color="CFF0FC"/>
            </w:tcBorders>
            <w:gridSpan w:val="2"/>
          </w:tcPr>
          <w:p>
            <w:pPr>
              <w:jc w:val="center"/>
              <w:ind w:left="30"/>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6,197</w:t>
            </w:r>
          </w:p>
        </w:tc>
        <w:tc>
          <w:tcPr>
            <w:tcW w:w="1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7,825</w:t>
            </w:r>
          </w:p>
        </w:tc>
        <w:tc>
          <w:tcPr>
            <w:tcW w:w="1800" w:type="dxa"/>
            <w:vAlign w:val="bottom"/>
            <w:gridSpan w:val="2"/>
            <w:shd w:val="clear" w:color="auto" w:fill="CFF0FC"/>
          </w:tcPr>
          <w:p>
            <w:pPr>
              <w:jc w:val="center"/>
              <w:ind w:left="30"/>
              <w:spacing w:after="0"/>
              <w:rPr>
                <w:sz w:val="20"/>
                <w:szCs w:val="20"/>
                <w:color w:val="auto"/>
              </w:rPr>
            </w:pPr>
            <w:r>
              <w:rPr>
                <w:rFonts w:ascii="Arial" w:cs="Arial" w:eastAsia="Arial" w:hAnsi="Arial"/>
                <w:sz w:val="18"/>
                <w:szCs w:val="18"/>
                <w:color w:val="auto"/>
                <w:w w:val="99"/>
              </w:rPr>
              <w:t>(21%)</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954</w:t>
            </w: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1,026</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114</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2,283</w:t>
            </w:r>
          </w:p>
        </w:tc>
        <w:tc>
          <w:tcPr>
            <w:tcW w:w="16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2,272</w:t>
            </w:r>
          </w:p>
        </w:tc>
        <w:tc>
          <w:tcPr>
            <w:tcW w:w="180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3,329</w:t>
            </w:r>
          </w:p>
        </w:tc>
        <w:tc>
          <w:tcPr>
            <w:tcW w:w="16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3,412</w:t>
            </w:r>
          </w:p>
        </w:tc>
        <w:tc>
          <w:tcPr>
            <w:tcW w:w="1800" w:type="dxa"/>
            <w:vAlign w:val="bottom"/>
            <w:tcBorders>
              <w:bottom w:val="single" w:sz="8" w:color="CFF0FC"/>
            </w:tcBorders>
            <w:gridSpan w:val="2"/>
          </w:tcPr>
          <w:p>
            <w:pPr>
              <w:jc w:val="center"/>
              <w:ind w:left="5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0"/>
        </w:trPr>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8"/>
                <w:szCs w:val="18"/>
                <w:color w:val="auto"/>
              </w:rPr>
            </w:pPr>
          </w:p>
        </w:tc>
        <w:tc>
          <w:tcPr>
            <w:tcW w:w="660" w:type="dxa"/>
            <w:vAlign w:val="bottom"/>
          </w:tcPr>
          <w:p>
            <w:pPr>
              <w:jc w:val="right"/>
              <w:ind w:right="32"/>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2,272</w:t>
            </w: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180" w:type="dxa"/>
            <w:vAlign w:val="bottom"/>
            <w:shd w:val="clear" w:color="auto" w:fill="CFF0FC"/>
          </w:tcPr>
          <w:p>
            <w:pPr>
              <w:ind w:left="140"/>
              <w:spacing w:after="0" w:line="194" w:lineRule="exact"/>
              <w:rPr>
                <w:sz w:val="20"/>
                <w:szCs w:val="20"/>
                <w:color w:val="auto"/>
              </w:rPr>
            </w:pPr>
            <w:r>
              <w:rPr>
                <w:rFonts w:ascii="Arial" w:cs="Arial" w:eastAsia="Arial" w:hAnsi="Arial"/>
                <w:sz w:val="18"/>
                <w:szCs w:val="18"/>
                <w:color w:val="auto"/>
              </w:rPr>
              <w:t>Adjustments related to capital</w:t>
            </w:r>
          </w:p>
        </w:tc>
        <w:tc>
          <w:tcPr>
            <w:tcW w:w="9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1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reimbursement activity</w:t>
            </w:r>
          </w:p>
        </w:tc>
        <w:tc>
          <w:tcPr>
            <w:tcW w:w="9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18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980" w:type="dxa"/>
            <w:vAlign w:val="bottom"/>
            <w:tcBorders>
              <w:bottom w:val="single" w:sz="8" w:color="auto"/>
            </w:tcBorders>
          </w:tcPr>
          <w:p>
            <w:pPr>
              <w:jc w:val="right"/>
              <w:ind w:right="801"/>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5,142</w:t>
            </w:r>
          </w:p>
        </w:tc>
        <w:tc>
          <w:tcPr>
            <w:tcW w:w="16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6,676</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232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8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u w:val="single" w:color="auto"/>
          <w:color w:val="auto"/>
        </w:rPr>
        <w:t>Three months ended March 31, 2019</w:t>
      </w:r>
      <w:r>
        <w:rPr>
          <w:rFonts w:ascii="Arial" w:cs="Arial" w:eastAsia="Arial" w:hAnsi="Arial"/>
          <w:sz w:val="18"/>
          <w:szCs w:val="18"/>
          <w:color w:val="auto"/>
        </w:rPr>
        <w:t>. Segment adjusted EBITDA decreased $1.5 million compared to the three months ended March 31, 2018 primarily reflecting a $1.6 million decrease in gathering services and related fees as a result of volume declines.</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 Overview for the Three Months Ended March 31, 2019 and 2018</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transaction costs, interest expense and the change in the Deferred Purchase Price Obligation.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20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Corporate and Other</w:t>
            </w:r>
          </w:p>
        </w:tc>
        <w:tc>
          <w:tcPr>
            <w:tcW w:w="1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272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0"/>
        </w:trPr>
        <w:tc>
          <w:tcPr>
            <w:tcW w:w="6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120" w:type="dxa"/>
            <w:vAlign w:val="bottom"/>
            <w:gridSpan w:val="2"/>
          </w:tcPr>
          <w:p>
            <w:pPr>
              <w:ind w:left="6780"/>
              <w:spacing w:after="0"/>
              <w:rPr>
                <w:sz w:val="20"/>
                <w:szCs w:val="20"/>
                <w:color w:val="auto"/>
              </w:rPr>
            </w:pPr>
            <w:r>
              <w:rPr>
                <w:rFonts w:ascii="Arial" w:cs="Arial" w:eastAsia="Arial" w:hAnsi="Arial"/>
                <w:sz w:val="14"/>
                <w:szCs w:val="14"/>
                <w:b w:val="1"/>
                <w:bCs w:val="1"/>
                <w:color w:val="auto"/>
              </w:rPr>
              <w:t>2019</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200" w:type="dxa"/>
            <w:vAlign w:val="bottom"/>
          </w:tcPr>
          <w:p>
            <w:pPr>
              <w:spacing w:after="0"/>
              <w:rPr>
                <w:sz w:val="14"/>
                <w:szCs w:val="14"/>
                <w:color w:val="auto"/>
              </w:rPr>
            </w:pPr>
          </w:p>
        </w:tc>
        <w:tc>
          <w:tcPr>
            <w:tcW w:w="2720" w:type="dxa"/>
            <w:vAlign w:val="bottom"/>
            <w:tcBorders>
              <w:top w:val="single" w:sz="8" w:color="auto"/>
            </w:tcBorders>
            <w:gridSpan w:val="2"/>
          </w:tcPr>
          <w:p>
            <w:pPr>
              <w:jc w:val="right"/>
              <w:ind w:right="234"/>
              <w:spacing w:after="0"/>
              <w:rPr>
                <w:sz w:val="20"/>
                <w:szCs w:val="20"/>
                <w:color w:val="auto"/>
              </w:rPr>
            </w:pPr>
            <w:r>
              <w:rPr>
                <w:rFonts w:ascii="Arial" w:cs="Arial" w:eastAsia="Arial" w:hAnsi="Arial"/>
                <w:sz w:val="14"/>
                <w:szCs w:val="14"/>
                <w:b w:val="1"/>
                <w:bCs w:val="1"/>
                <w:color w:val="auto"/>
              </w:rPr>
              <w:t>(Dollars in thousands)</w:t>
            </w:r>
          </w:p>
        </w:tc>
        <w:tc>
          <w:tcPr>
            <w:tcW w:w="7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800" w:type="dxa"/>
            <w:vAlign w:val="bottom"/>
          </w:tcPr>
          <w:p>
            <w:pPr>
              <w:jc w:val="right"/>
              <w:ind w:right="1134"/>
              <w:spacing w:after="0"/>
              <w:rPr>
                <w:sz w:val="20"/>
                <w:szCs w:val="20"/>
                <w:color w:val="auto"/>
              </w:rPr>
            </w:pPr>
            <w:r>
              <w:rPr>
                <w:rFonts w:ascii="Arial" w:cs="Arial" w:eastAsia="Arial" w:hAnsi="Arial"/>
                <w:sz w:val="18"/>
                <w:szCs w:val="18"/>
                <w:color w:val="auto"/>
              </w:rPr>
              <w:t>23,517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13,273</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8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Cost of natural gas and NGLs</w:t>
            </w:r>
          </w:p>
        </w:tc>
        <w:tc>
          <w:tcPr>
            <w:tcW w:w="1800" w:type="dxa"/>
            <w:vAlign w:val="bottom"/>
          </w:tcPr>
          <w:p>
            <w:pPr>
              <w:jc w:val="right"/>
              <w:ind w:right="1134"/>
              <w:spacing w:after="0"/>
              <w:rPr>
                <w:sz w:val="20"/>
                <w:szCs w:val="20"/>
                <w:color w:val="auto"/>
              </w:rPr>
            </w:pPr>
            <w:r>
              <w:rPr>
                <w:rFonts w:ascii="Arial" w:cs="Arial" w:eastAsia="Arial" w:hAnsi="Arial"/>
                <w:sz w:val="18"/>
                <w:szCs w:val="18"/>
                <w:color w:val="auto"/>
              </w:rPr>
              <w:t>23,322</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13,109</w:t>
            </w:r>
          </w:p>
        </w:tc>
        <w:tc>
          <w:tcPr>
            <w:tcW w:w="1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shd w:val="clear" w:color="auto" w:fill="CFF0FC"/>
          </w:tcPr>
          <w:p>
            <w:pPr>
              <w:jc w:val="right"/>
              <w:ind w:right="1134"/>
              <w:spacing w:after="0"/>
              <w:rPr>
                <w:sz w:val="20"/>
                <w:szCs w:val="20"/>
                <w:color w:val="auto"/>
              </w:rPr>
            </w:pPr>
            <w:r>
              <w:rPr>
                <w:rFonts w:ascii="Arial" w:cs="Arial" w:eastAsia="Arial" w:hAnsi="Arial"/>
                <w:sz w:val="18"/>
                <w:szCs w:val="18"/>
                <w:color w:val="auto"/>
              </w:rPr>
              <w:t>16,140</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12,643</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1800" w:type="dxa"/>
            <w:vAlign w:val="bottom"/>
          </w:tcPr>
          <w:p>
            <w:pPr>
              <w:jc w:val="right"/>
              <w:ind w:right="1134"/>
              <w:spacing w:after="0"/>
              <w:rPr>
                <w:sz w:val="20"/>
                <w:szCs w:val="20"/>
                <w:color w:val="auto"/>
              </w:rPr>
            </w:pPr>
            <w:r>
              <w:rPr>
                <w:rFonts w:ascii="Arial" w:cs="Arial" w:eastAsia="Arial" w:hAnsi="Arial"/>
                <w:sz w:val="18"/>
                <w:szCs w:val="18"/>
                <w:color w:val="auto"/>
              </w:rPr>
              <w:t>950</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71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800" w:type="dxa"/>
            <w:vAlign w:val="bottom"/>
            <w:shd w:val="clear" w:color="auto" w:fill="CFF0FC"/>
          </w:tcPr>
          <w:p>
            <w:pPr>
              <w:jc w:val="right"/>
              <w:ind w:right="1134"/>
              <w:spacing w:after="0"/>
              <w:rPr>
                <w:sz w:val="20"/>
                <w:szCs w:val="20"/>
                <w:color w:val="auto"/>
              </w:rPr>
            </w:pPr>
            <w:r>
              <w:rPr>
                <w:rFonts w:ascii="Arial" w:cs="Arial" w:eastAsia="Arial" w:hAnsi="Arial"/>
                <w:sz w:val="18"/>
                <w:szCs w:val="18"/>
                <w:color w:val="auto"/>
              </w:rPr>
              <w:t>17,527</w:t>
            </w:r>
          </w:p>
        </w:tc>
        <w:tc>
          <w:tcPr>
            <w:tcW w:w="7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8"/>
              </w:rPr>
              <w:t>15,122</w:t>
            </w:r>
          </w:p>
        </w:tc>
        <w:tc>
          <w:tcPr>
            <w:tcW w:w="160" w:type="dxa"/>
            <w:vAlign w:val="bottom"/>
            <w:shd w:val="clear" w:color="auto" w:fill="CFF0FC"/>
          </w:tcPr>
          <w:p>
            <w:pPr>
              <w:spacing w:after="0"/>
              <w:rPr>
                <w:sz w:val="18"/>
                <w:szCs w:val="18"/>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43"/>
        </w:trPr>
        <w:tc>
          <w:tcPr>
            <w:tcW w:w="7120" w:type="dxa"/>
            <w:vAlign w:val="bottom"/>
            <w:gridSpan w:val="2"/>
          </w:tcPr>
          <w:p>
            <w:pPr>
              <w:spacing w:after="0"/>
              <w:rPr>
                <w:sz w:val="20"/>
                <w:szCs w:val="20"/>
                <w:color w:val="auto"/>
              </w:rPr>
            </w:pPr>
            <w:r>
              <w:rPr>
                <w:rFonts w:ascii="Arial" w:cs="Arial" w:eastAsia="Arial" w:hAnsi="Arial"/>
                <w:sz w:val="18"/>
                <w:szCs w:val="18"/>
                <w:color w:val="auto"/>
              </w:rPr>
              <w:t>Deferred Purchase Price Obligation</w:t>
            </w:r>
          </w:p>
        </w:tc>
        <w:tc>
          <w:tcPr>
            <w:tcW w:w="1800" w:type="dxa"/>
            <w:vAlign w:val="bottom"/>
          </w:tcPr>
          <w:p>
            <w:pPr>
              <w:jc w:val="right"/>
              <w:ind w:right="1134"/>
              <w:spacing w:after="0"/>
              <w:rPr>
                <w:sz w:val="20"/>
                <w:szCs w:val="20"/>
                <w:color w:val="auto"/>
              </w:rPr>
            </w:pPr>
            <w:r>
              <w:rPr>
                <w:rFonts w:ascii="Arial" w:cs="Arial" w:eastAsia="Arial" w:hAnsi="Arial"/>
                <w:sz w:val="18"/>
                <w:szCs w:val="18"/>
                <w:color w:val="auto"/>
              </w:rPr>
              <w:t>4,427</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8"/>
              </w:rPr>
              <w:t>21,658</w:t>
            </w:r>
          </w:p>
        </w:tc>
        <w:tc>
          <w:tcPr>
            <w:tcW w:w="16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5232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88" w:lineRule="exact"/>
        <w:rPr>
          <w:sz w:val="20"/>
          <w:szCs w:val="20"/>
          <w:color w:val="auto"/>
        </w:rPr>
      </w:pPr>
    </w:p>
    <w:p>
      <w:pPr>
        <w:ind w:right="500"/>
        <w:spacing w:after="0" w:line="276" w:lineRule="auto"/>
        <w:rPr>
          <w:sz w:val="20"/>
          <w:szCs w:val="20"/>
          <w:color w:val="auto"/>
        </w:rPr>
      </w:pPr>
      <w:r>
        <w:rPr>
          <w:rFonts w:ascii="Arial" w:cs="Arial" w:eastAsia="Arial" w:hAnsi="Arial"/>
          <w:sz w:val="18"/>
          <w:szCs w:val="18"/>
          <w:u w:val="single" w:color="auto"/>
          <w:color w:val="auto"/>
        </w:rPr>
        <w:t>Total Revenues</w:t>
      </w:r>
      <w:r>
        <w:rPr>
          <w:rFonts w:ascii="Arial" w:cs="Arial" w:eastAsia="Arial" w:hAnsi="Arial"/>
          <w:sz w:val="18"/>
          <w:szCs w:val="18"/>
          <w:color w:val="auto"/>
        </w:rPr>
        <w:t>. Total revenues attributable to Corporate and Other was due to natural gas, NGL and crude oil marketing services activity (primarily natural gas sales).</w:t>
      </w:r>
    </w:p>
    <w:p>
      <w:pPr>
        <w:spacing w:after="0" w:line="37"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attributable to Corporate and Other increased due to natural gas, NGL and crude oil marketing services activity (primarily natural gas sales).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44" w:name="page45"/>
    <w:bookmarkEnd w:id="44"/>
    <w:p>
      <w:pPr>
        <w:ind w:right="280"/>
        <w:spacing w:after="0" w:line="276"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increased during the three months ended March 31, 2019, as compared to the prior period, primarily due to the recognition of $3.4 million in severance expense relating to our former Chief Executive Officer.</w:t>
      </w:r>
    </w:p>
    <w:p>
      <w:pPr>
        <w:spacing w:after="0" w:line="37"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Transaction costs recognized during the three months ended March 31, 2019 relate to financial advisory costs primarily associated with the Equity Restructuring.</w:t>
      </w:r>
    </w:p>
    <w:p>
      <w:pPr>
        <w:spacing w:after="0" w:line="3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increased $2.4 million compared to the three months ended March 31, 2018 as a result of a higher average outstanding balance and an increase in the interest rate on the Revolving Credit Facility.</w:t>
      </w:r>
    </w:p>
    <w:p>
      <w:pPr>
        <w:spacing w:after="0" w:line="3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u w:val="single" w:color="auto"/>
          <w:color w:val="auto"/>
        </w:rPr>
        <w:t>Deferred Purchase Price Obligation</w:t>
      </w:r>
      <w:r>
        <w:rPr>
          <w:rFonts w:ascii="Arial" w:cs="Arial" w:eastAsia="Arial" w:hAnsi="Arial"/>
          <w:sz w:val="18"/>
          <w:szCs w:val="18"/>
          <w:color w:val="auto"/>
        </w:rPr>
        <w:t>. Deferred Purchase Price Obligation recognized during the three months ended March 31, 2019 represents the change in present value to Remaining Consideration in connection with the 2016 Drop Down (see Note 17 to the unaudited condensed consolidated financial statements).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Liquidity and Capital Resources</w:t>
      </w:r>
    </w:p>
    <w:p>
      <w:pPr>
        <w:spacing w:after="0" w:line="11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Based on the terms of our Partnership Agreement, we expect that we will distribute to our unitholders most of the cash generated by our operations. As a result, we expect to fund future capital expenditures from cash and cash equivalents on hand, cash flows generated from our operations, borrowings under our Revolving Credit Facility and future issuances of equity and debt instruments.</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Markets Activity</w:t>
      </w:r>
    </w:p>
    <w:p>
      <w:pPr>
        <w:spacing w:after="0" w:line="103"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We had no capital markets activity during the three months ended March 31, 2019. For additional information, see the "Liquidity and Capital Resources—Capital Markets Activity" section of MD&amp;A included in the 2018 Annual Report.</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10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We have a $1.25 billion senior secured Revolving Credit Facility. As of March 31, 2019, the outstanding balance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Revolving Credit Facility was $434.0 million and the unused portion totaled $816.0 million. There were no defaults or events of default during the three months ended March 31, 2019, and, as of March 31, 2019, we were in compliance with the financial covenants in the Revolving Credit Facility.</w:t>
      </w:r>
    </w:p>
    <w:p>
      <w:pPr>
        <w:spacing w:after="0" w:line="5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February 2017, the Co-Issuers co-issued $500.0 million 5.75% Senior Notes. In July 2014, the Co-Issuers co-issued $300.0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5.50% Senior Notes. There were no defaults or events of default as of and for the three months ended March 31, 2019 on either series of senior notes.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long-term debt, see Note 10 to the unaudited condensed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Purchase Price Obligation</w:t>
      </w:r>
    </w:p>
    <w:p>
      <w:pPr>
        <w:spacing w:after="0" w:line="103"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In March 2016, we entered into an agreement with a subsidiary of Summit Investments to fund a portion of the 2016 Drop Down whereby we have recognized the Deferred Purchase Price Obligation (see Note 17 to the unaudited condensed consolidated financial statements and the “Contractual Obligations Update” section below).</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78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47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404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52,711</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51,210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3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jc w:val="right"/>
              <w:ind w:right="36"/>
              <w:spacing w:after="0"/>
              <w:rPr>
                <w:sz w:val="20"/>
                <w:szCs w:val="20"/>
                <w:color w:val="auto"/>
              </w:rPr>
            </w:pPr>
            <w:r>
              <w:rPr>
                <w:rFonts w:ascii="Arial" w:cs="Arial" w:eastAsia="Arial" w:hAnsi="Arial"/>
                <w:sz w:val="18"/>
                <w:szCs w:val="18"/>
                <w:color w:val="auto"/>
              </w:rPr>
              <w:t>28,493</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(40,999)</w:t>
            </w: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08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(80,249)</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(8,275)</w:t>
            </w:r>
          </w:p>
        </w:tc>
        <w:tc>
          <w:tcPr>
            <w:tcW w:w="0" w:type="dxa"/>
            <w:vAlign w:val="bottom"/>
          </w:tcPr>
          <w:p>
            <w:pPr>
              <w:spacing w:after="0"/>
              <w:rPr>
                <w:sz w:val="1"/>
                <w:szCs w:val="1"/>
                <w:color w:val="auto"/>
              </w:rPr>
            </w:pPr>
          </w:p>
        </w:tc>
      </w:tr>
      <w:tr>
        <w:trPr>
          <w:trHeight w:val="210"/>
        </w:trPr>
        <w:tc>
          <w:tcPr>
            <w:tcW w:w="4780" w:type="dxa"/>
            <w:vAlign w:val="bottom"/>
          </w:tcPr>
          <w:p>
            <w:pPr>
              <w:ind w:left="140"/>
              <w:spacing w:after="0"/>
              <w:rPr>
                <w:sz w:val="20"/>
                <w:szCs w:val="20"/>
                <w:color w:val="auto"/>
              </w:rPr>
            </w:pPr>
            <w:r>
              <w:rPr>
                <w:rFonts w:ascii="Arial" w:cs="Arial" w:eastAsia="Arial" w:hAnsi="Arial"/>
                <w:sz w:val="18"/>
                <w:szCs w:val="18"/>
                <w:color w:val="auto"/>
              </w:rPr>
              <w:t>Net change in cash and cash equivalents</w:t>
            </w:r>
          </w:p>
        </w:tc>
        <w:tc>
          <w:tcPr>
            <w:tcW w:w="3080" w:type="dxa"/>
            <w:vAlign w:val="bottom"/>
          </w:tcPr>
          <w:p>
            <w:pPr>
              <w:spacing w:after="0"/>
              <w:rPr>
                <w:sz w:val="18"/>
                <w:szCs w:val="18"/>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955</w:t>
            </w:r>
          </w:p>
        </w:tc>
        <w:tc>
          <w:tcPr>
            <w:tcW w:w="18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80" w:type="dxa"/>
            <w:vAlign w:val="bottom"/>
            <w:vMerge w:val="restart"/>
          </w:tcPr>
          <w:p>
            <w:pPr>
              <w:jc w:val="right"/>
              <w:ind w:right="1950"/>
              <w:spacing w:after="0"/>
              <w:rPr>
                <w:sz w:val="20"/>
                <w:szCs w:val="20"/>
                <w:color w:val="auto"/>
              </w:rPr>
            </w:pPr>
            <w:r>
              <w:rPr>
                <w:rFonts w:ascii="Arial" w:cs="Arial" w:eastAsia="Arial" w:hAnsi="Arial"/>
                <w:sz w:val="18"/>
                <w:szCs w:val="18"/>
                <w:color w:val="auto"/>
              </w:rPr>
              <w:t>44</w:t>
            </w: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7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4780" w:type="dxa"/>
            <w:vAlign w:val="bottom"/>
            <w:tcBorders>
              <w:bottom w:val="single" w:sz="8" w:color="9A9A9A"/>
            </w:tcBorders>
          </w:tcPr>
          <w:p>
            <w:pPr>
              <w:spacing w:after="0"/>
              <w:rPr>
                <w:sz w:val="8"/>
                <w:szCs w:val="8"/>
                <w:color w:val="auto"/>
              </w:rPr>
            </w:pPr>
          </w:p>
        </w:tc>
        <w:tc>
          <w:tcPr>
            <w:tcW w:w="30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from operating activities for the three months ended March 31, 2019 primarily reflected:</w:t>
      </w:r>
    </w:p>
    <w:p>
      <w:pPr>
        <w:spacing w:after="0" w:line="117" w:lineRule="exact"/>
        <w:rPr>
          <w:sz w:val="20"/>
          <w:szCs w:val="20"/>
          <w:color w:val="auto"/>
        </w:rPr>
      </w:pPr>
    </w:p>
    <w:p>
      <w:pPr>
        <w:ind w:left="800" w:hanging="400"/>
        <w:spacing w:after="0"/>
        <w:tabs>
          <w:tab w:leader="none" w:pos="8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$3.0 million increase in cash interest payments;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other changes in working capital.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Cash flows provided by (used in) investing activities during the three months ended March 31, 2019 primarily reflected:</w:t>
      </w:r>
    </w:p>
    <w:p>
      <w:pPr>
        <w:spacing w:after="0" w:line="117" w:lineRule="exact"/>
        <w:rPr>
          <w:sz w:val="20"/>
          <w:szCs w:val="20"/>
          <w:color w:val="auto"/>
        </w:rPr>
      </w:pPr>
    </w:p>
    <w:p>
      <w:pPr>
        <w:ind w:left="800" w:hanging="400"/>
        <w:spacing w:after="0"/>
        <w:tabs>
          <w:tab w:leader="none" w:pos="8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$89.5 million of net proceeds from the Tioga Midstream sale; and</w:t>
      </w:r>
    </w:p>
    <w:p>
      <w:pPr>
        <w:spacing w:after="0" w:line="116" w:lineRule="exact"/>
        <w:rPr>
          <w:rFonts w:ascii="Times New Roman" w:cs="Times New Roman" w:eastAsia="Times New Roman" w:hAnsi="Times New Roman"/>
          <w:sz w:val="18"/>
          <w:szCs w:val="18"/>
          <w:color w:val="auto"/>
        </w:rPr>
      </w:pPr>
    </w:p>
    <w:p>
      <w:pPr>
        <w:ind w:left="800" w:right="20" w:hanging="400"/>
        <w:spacing w:after="0" w:line="255" w:lineRule="auto"/>
        <w:tabs>
          <w:tab w:leader="none" w:pos="80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$60.8 million of capital expenditures primarily attributable to the ongoing development of the DJ Basin of $28.4 million, Corporate and Other of $16.1 million (inclusive of capital expenditures of $15.8 million relating to the Double E Pipeline Project), the Williston Basin of $8.0 million and Summit Permian of $7.1 million.</w:t>
      </w:r>
    </w:p>
    <w:p>
      <w:pPr>
        <w:spacing w:after="0" w:line="55"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Cash flows used in investing activities during the three months ended March 31, 2018 primarily reflected $40.8 million of capital expenditures attributable to the ongoing development of the Summit Permian system as well as the continued development in the DJ Basin.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flows used in financing activities during the three months ended March 31, 2019 primarily reflected:</w:t>
      </w:r>
    </w:p>
    <w:p>
      <w:pPr>
        <w:spacing w:after="0" w:line="117" w:lineRule="exact"/>
        <w:rPr>
          <w:sz w:val="20"/>
          <w:szCs w:val="20"/>
          <w:color w:val="auto"/>
        </w:rPr>
      </w:pPr>
    </w:p>
    <w:p>
      <w:pPr>
        <w:ind w:left="800" w:hanging="400"/>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$45.3 million of distributions;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$32.0 million of net repayments under our Revolving Credit Facility.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three months ended March 31, 2018 primarily reflected:</w:t>
      </w:r>
    </w:p>
    <w:p>
      <w:pPr>
        <w:spacing w:after="0" w:line="104" w:lineRule="exact"/>
        <w:rPr>
          <w:sz w:val="20"/>
          <w:szCs w:val="20"/>
          <w:color w:val="auto"/>
        </w:rPr>
      </w:pPr>
    </w:p>
    <w:p>
      <w:pPr>
        <w:ind w:left="800" w:hanging="400"/>
        <w:spacing w:after="0"/>
        <w:tabs>
          <w:tab w:leader="none" w:pos="8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$40.0 million of net borrowings under our Revolving Credit Facility;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$45.1 million of distributions paid in the first quarter of 2018 (declared in respect of the fourth quarter of 2017).</w:t>
      </w:r>
    </w:p>
    <w:p>
      <w:pPr>
        <w:spacing w:after="0" w:line="10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Arial" w:cs="Arial" w:eastAsia="Arial" w:hAnsi="Arial"/>
          <w:sz w:val="20"/>
          <w:szCs w:val="20"/>
          <w:b w:val="1"/>
          <w:bCs w:val="1"/>
          <w:color w:val="auto"/>
        </w:rPr>
        <w:t>Contractual Obligations Update</w:t>
      </w:r>
    </w:p>
    <w:p>
      <w:pPr>
        <w:spacing w:after="0" w:line="103"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In March 2016, we recognized a liability of $507.4 million for the Deferred Purchase Price Obligation in connection with the 2016 Drop Down. Pursuant to the Equity Restructuring, on April 1, 2019, the Partnership made a cash payment of $100 million to SMP Holdings in partial settlement of the Deferred Purchase Price Obligation. Following the payment, the Remaining Consideration has been fixed at $303.5 million, with such amount being payable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 17 to the unaudited condensed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10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56" w:lineRule="exact"/>
        <w:rPr>
          <w:sz w:val="20"/>
          <w:szCs w:val="20"/>
          <w:color w:val="auto"/>
        </w:rPr>
      </w:pPr>
    </w:p>
    <w:p>
      <w:pPr>
        <w:ind w:left="800" w:hanging="400"/>
        <w:spacing w:after="0" w:line="255" w:lineRule="auto"/>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55" w:lineRule="exact"/>
        <w:rPr>
          <w:rFonts w:ascii="Times New Roman" w:cs="Times New Roman" w:eastAsia="Times New Roman" w:hAnsi="Times New Roman"/>
          <w:sz w:val="18"/>
          <w:szCs w:val="18"/>
          <w:color w:val="auto"/>
        </w:rPr>
      </w:pPr>
    </w:p>
    <w:p>
      <w:pPr>
        <w:ind w:left="800" w:right="340" w:hanging="400"/>
        <w:spacing w:after="0" w:line="275" w:lineRule="auto"/>
        <w:tabs>
          <w:tab w:leader="none" w:pos="80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46" w:name="page47"/>
    <w:bookmarkEnd w:id="46"/>
    <w:p>
      <w:pPr>
        <w:ind w:right="200"/>
        <w:spacing w:after="0" w:line="294" w:lineRule="auto"/>
        <w:rPr>
          <w:sz w:val="20"/>
          <w:szCs w:val="20"/>
          <w:color w:val="auto"/>
        </w:rPr>
      </w:pPr>
      <w:r>
        <w:rPr>
          <w:rFonts w:ascii="Arial" w:cs="Arial" w:eastAsia="Arial" w:hAnsi="Arial"/>
          <w:sz w:val="17"/>
          <w:szCs w:val="17"/>
          <w:color w:val="auto"/>
        </w:rPr>
        <w:t>For the three months ended March 31, 2019, cash paid for capital expenditures totaled $60.8 million (see Note 4 to the unaudited condensed consolidated financial statements) which included $3.3 million of maintenance capital expenditures. For the three months ended March 31, 2019, there were no contributions to equity method investees (see Note 8 to the unaudited condensed consolidated financial statements).</w:t>
      </w:r>
    </w:p>
    <w:p>
      <w:pPr>
        <w:spacing w:after="0" w:line="24"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Our growth strategy has required and will continue to require significant expenditures by us. Consequently, our ability to develop and maintain sources of funds to meet our capital requirements is critical to our ability to meet our growth objectives. There are a number of risks and uncertainties that could cause our current expectations to change, including, but not limited to, (i) the ability to reach agreement with third parties; (ii) prevailing conditions and outlook in the natural gas, crude oil and natural gas liquids industries and markets and (iii) our ability to obtain financing from commercial banks, the capital markets, or other sources such as our Sponsor and Summit Investments, among other factors.</w:t>
      </w:r>
    </w:p>
    <w:p>
      <w:pPr>
        <w:spacing w:after="0" w:line="6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We rely primarily on internally generated cash flow as well as external financing sources, including commercial bank borrowings and the issuance of debt, equity and preferred equity securities, to fund our capital expenditures. We believe that our Revolving Credit Facility, together with internally generated cash flow and financial support from our Sponsor and/or access to debt or equity capital markets, will be adequate to finance our growth objectives for the foreseeable future without adversely impacting our liquidity or our ability to make quarterly cash distributions to our unitholders.</w:t>
      </w:r>
    </w:p>
    <w:p>
      <w:pPr>
        <w:spacing w:after="0" w:line="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0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5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6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have exposure due to nonperformance under our MVC contracts whereby a customer, who was not meeting its MVCs, does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Notes 4, 9 and 11 to the unaudited condensed consolidated financial statements.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as of or during the three months ended March 31, 2019.</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Critical Accounting Estimates</w:t>
      </w:r>
    </w:p>
    <w:p>
      <w:pPr>
        <w:spacing w:after="0" w:line="11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changes to our significant accounting policies since December 31, 2018 except for the adoption of Topic 842 (see Note 2 to the unaudited condensed consolidated financial statements).</w:t>
      </w:r>
    </w:p>
    <w:p>
      <w:pPr>
        <w:spacing w:after="0" w:line="63"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The estimates that we deem to be most critical to an understanding of our financial position and results of operations are those related to the recognition of deferred revenue. The preparation and evaluation of these critical accounting estimates involve the use of various assumptions developed from management's analyses and judgments. Subsequent experience or use of other methods, estimates or assumptions could produce significantly different results. There have been no changes in the accounting methodology for items that we have identified as critical accounting estimates during the three months ended March 31, 2019.</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22"/>
          <w:szCs w:val="22"/>
          <w:b w:val="1"/>
          <w:bCs w:val="1"/>
          <w:color w:val="auto"/>
        </w:rPr>
        <w:t>Forward-Looking Statements</w:t>
      </w:r>
    </w:p>
    <w:p>
      <w:pPr>
        <w:spacing w:after="0" w:line="11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our subsidiaries, Summit Investments or our Sponsor, are also forward-looking statements. These forward-looking statements involve various risks and uncertainties, including, but not limited to, those described in Item 1A. Risk Factors included in this report.</w:t>
      </w:r>
    </w:p>
    <w:p>
      <w:pPr>
        <w:spacing w:after="0" w:line="73"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63" w:lineRule="exact"/>
        <w:rPr>
          <w:sz w:val="20"/>
          <w:szCs w:val="20"/>
          <w:color w:val="auto"/>
        </w:rPr>
      </w:pPr>
    </w:p>
    <w:p>
      <w:pPr>
        <w:ind w:left="800" w:hanging="400"/>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grow, or maintain, our current rate of cash distributions;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natural gas, NGLs and crude oil prices;</w:t>
      </w:r>
    </w:p>
    <w:p>
      <w:pPr>
        <w:spacing w:after="0" w:line="116" w:lineRule="exact"/>
        <w:rPr>
          <w:rFonts w:ascii="Times New Roman" w:cs="Times New Roman" w:eastAsia="Times New Roman" w:hAnsi="Times New Roman"/>
          <w:sz w:val="18"/>
          <w:szCs w:val="18"/>
          <w:color w:val="auto"/>
        </w:rPr>
      </w:pPr>
    </w:p>
    <w:p>
      <w:pPr>
        <w:ind w:left="800" w:right="100" w:hanging="400"/>
        <w:spacing w:after="0" w:line="275" w:lineRule="auto"/>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success of our customers' drilling efforts, as well as the quantity of natural gas, crude oil and produced water volumes produced within proximity of our assets;</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116" w:lineRule="exact"/>
        <w:rPr>
          <w:rFonts w:ascii="Times New Roman" w:cs="Times New Roman" w:eastAsia="Times New Roman" w:hAnsi="Times New Roman"/>
          <w:sz w:val="18"/>
          <w:szCs w:val="18"/>
          <w:color w:val="auto"/>
        </w:rPr>
      </w:pPr>
    </w:p>
    <w:p>
      <w:pPr>
        <w:ind w:left="800" w:right="60" w:hanging="400"/>
        <w:spacing w:after="0" w:line="275" w:lineRule="auto"/>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37" w:lineRule="exact"/>
        <w:rPr>
          <w:rFonts w:ascii="Times New Roman" w:cs="Times New Roman" w:eastAsia="Times New Roman" w:hAnsi="Times New Roman"/>
          <w:sz w:val="18"/>
          <w:szCs w:val="18"/>
          <w:color w:val="auto"/>
        </w:rPr>
      </w:pPr>
    </w:p>
    <w:p>
      <w:pPr>
        <w:ind w:left="800" w:right="80" w:hanging="400"/>
        <w:spacing w:after="0" w:line="248" w:lineRule="auto"/>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61" w:lineRule="exact"/>
        <w:rPr>
          <w:rFonts w:ascii="Times New Roman" w:cs="Times New Roman" w:eastAsia="Times New Roman" w:hAnsi="Times New Roman"/>
          <w:sz w:val="18"/>
          <w:szCs w:val="18"/>
          <w:color w:val="auto"/>
        </w:rPr>
      </w:pPr>
    </w:p>
    <w:p>
      <w:pPr>
        <w:ind w:left="800" w:hanging="400"/>
        <w:spacing w:after="0" w:line="275" w:lineRule="auto"/>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acquire assets owned by third parties, which is subject to a number of factors, including prevailing conditions and outlook in the natural gas, NGL and crude oil industries and markets and our ability to obtain financing on acceptable terms;</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attract and retain key management personnel;</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bank and capital market conditions and the potential impact of changes or disruptions in the credit and/or capital markets;</w:t>
      </w:r>
    </w:p>
    <w:p>
      <w:pPr>
        <w:spacing w:after="0" w:line="116" w:lineRule="exact"/>
        <w:rPr>
          <w:rFonts w:ascii="Times New Roman" w:cs="Times New Roman" w:eastAsia="Times New Roman" w:hAnsi="Times New Roman"/>
          <w:sz w:val="18"/>
          <w:szCs w:val="18"/>
          <w:color w:val="auto"/>
        </w:rPr>
      </w:pPr>
    </w:p>
    <w:p>
      <w:pPr>
        <w:ind w:left="800" w:right="100" w:hanging="400"/>
        <w:spacing w:after="0" w:line="275" w:lineRule="auto"/>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37"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operational risks and hazards inherent in the gathering, treating and/or processing of natural gas, crude oil and produced water;</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weather conditions and terrain in certain areas in which we operate;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8" w:name="page49"/>
    <w:bookmarkEnd w:id="48"/>
    <w:p>
      <w:pPr>
        <w:ind w:left="800" w:right="620" w:hanging="400"/>
        <w:spacing w:after="0" w:line="275" w:lineRule="auto"/>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any other issues that can result in deficiencies in the design, installation or operation of our gathering, treating and processing facilities;</w:t>
      </w:r>
    </w:p>
    <w:p>
      <w:pPr>
        <w:spacing w:after="0" w:line="37" w:lineRule="exact"/>
        <w:rPr>
          <w:rFonts w:ascii="Times New Roman" w:cs="Times New Roman" w:eastAsia="Times New Roman" w:hAnsi="Times New Roman"/>
          <w:sz w:val="18"/>
          <w:szCs w:val="18"/>
          <w:color w:val="auto"/>
        </w:rPr>
      </w:pPr>
    </w:p>
    <w:p>
      <w:pPr>
        <w:ind w:left="800" w:right="220" w:hanging="400"/>
        <w:spacing w:after="0" w:line="306" w:lineRule="auto"/>
        <w:tabs>
          <w:tab w:leader="none" w:pos="80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13" w:lineRule="exact"/>
        <w:rPr>
          <w:rFonts w:ascii="Times New Roman" w:cs="Times New Roman" w:eastAsia="Times New Roman" w:hAnsi="Times New Roman"/>
          <w:sz w:val="17"/>
          <w:szCs w:val="17"/>
          <w:color w:val="auto"/>
        </w:rPr>
      </w:pPr>
    </w:p>
    <w:p>
      <w:pPr>
        <w:ind w:left="800" w:hanging="400"/>
        <w:spacing w:after="0" w:line="322" w:lineRule="auto"/>
        <w:tabs>
          <w:tab w:leader="none" w:pos="80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14" w:lineRule="exact"/>
        <w:rPr>
          <w:rFonts w:ascii="Times New Roman" w:cs="Times New Roman" w:eastAsia="Times New Roman" w:hAnsi="Times New Roman"/>
          <w:sz w:val="17"/>
          <w:szCs w:val="17"/>
          <w:color w:val="auto"/>
        </w:rPr>
      </w:pPr>
    </w:p>
    <w:p>
      <w:pPr>
        <w:ind w:left="800" w:hanging="400"/>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tax status;</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litigation;</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economic conditions; and</w:t>
      </w:r>
    </w:p>
    <w:p>
      <w:pPr>
        <w:spacing w:after="0" w:line="116" w:lineRule="exact"/>
        <w:rPr>
          <w:rFonts w:ascii="Times New Roman" w:cs="Times New Roman" w:eastAsia="Times New Roman" w:hAnsi="Times New Roman"/>
          <w:sz w:val="18"/>
          <w:szCs w:val="18"/>
          <w:color w:val="auto"/>
        </w:rPr>
      </w:pPr>
    </w:p>
    <w:p>
      <w:pPr>
        <w:ind w:left="800" w:hanging="400"/>
        <w:spacing w:after="0"/>
        <w:tabs>
          <w:tab w:leader="none" w:pos="80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certain factors discussed elsewhere in this report.</w:t>
      </w:r>
    </w:p>
    <w:p>
      <w:pPr>
        <w:spacing w:after="0" w:line="116"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37"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0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Our current interest rate risk exposure is largely related to our debt portfolio. As of March 31, 2019, we had $800.0 million principal of fixed-rate Senior Notes and $434.0 million outstanding under our variable rate Revolving Credit Facility (see Note 10 to the unaudited condensed consolidated financial statements). While existing fixed-rate debt mitigates the downside impact of fluctuations in interest rates, future issuances of long -term debt could be impacted by increases in interest rates, which could result in higher overall interest costs. In addition, the borrowings under our Revolving Credit Facility, which have a variable interest rate, also expose us to the risk of increasing interest rates. Our current interest rate risk exposure has not changed materially since December 31, 2018. For additional information, see the "Interest Rate Risk" section included in Item 7A. Quantitative and Qualitative Disclosures About Market Risk of the 2018 Annual Report.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54" w:right="25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color w:val="auto"/>
        </w:rPr>
        <w:t>Commodity Price Risk</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currently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arrangements with certain of our customers on the Bison Midstream and Grand River systems, (ii) natural gas and crude oil marketing services in and around our gathering systems, (iii) the sale of natural gas we retain from certain DFW Midstream customers and (iv) the sale of condensate we retain from our gathering services at Grand River. Our gathering agreements with certain DFW Midstream customers permit us to retain a certain quantity of natural gas that we sell to offset the power costs we incur to operate our electric-drive compression assets. Our gathering agreements with our Grand River customers permit us to retain condensate volumes from the Grand River system gathering lines.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Henry Hub Index and/or the Atmos Zone 3 Index. By basing the power prices on an index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2018. For additional information, see the "Commodity Price Risk" section included in Item 7A. Quantitative and Qualitative Disclosures About Market Risk of the 2018 Annual Report.</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2" w:lineRule="exact"/>
        <w:rPr>
          <w:sz w:val="20"/>
          <w:szCs w:val="20"/>
          <w:color w:val="auto"/>
        </w:rPr>
      </w:pPr>
    </w:p>
    <w:p>
      <w:pPr>
        <w:jc w:val="both"/>
        <w:ind w:right="400"/>
        <w:spacing w:after="0" w:line="248"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March 31, 2019 and (ii) no change in internal control over financial reporting occurred during the quarter ended March 31, 2019, that has materially affected, or is reasonably likely to materially affect, our internal control over financial reporting.</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446" w:right="35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22"/>
          <w:szCs w:val="22"/>
          <w:b w:val="1"/>
          <w:bCs w:val="1"/>
          <w:color w:val="auto"/>
        </w:rPr>
        <w:t>PART II -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12"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Although we may, from time to time, be involved in litigation and claims arising out of our operations in the normal course of business, we are not currently a party to any significant legal or governmental proceedings, except as noted below. In addition, we are not aware of any significant legal or governmental proceedings contemplated to be brought against us, under the various environmental protection statutes to which we are subject, except as noted in Note 16 to our unaudited condensed consolidated financial statements “Commitments and Contingencies” and in the 2018 Annual Report, which is incorporated herein by reference.</w:t>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12"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The risk factors contained in the Item 1A. Risk Factors of the 2018 Annual Report are incorporated herein by reference except to the extent they address risks arising from or relating to the failure of events described therein to occur, which events have since occurred. The risk factor presented below updates, and should be considered in addition to, the risk factors previously disclosed by us in Item 1A of the 2018 Annual Report.</w:t>
      </w:r>
    </w:p>
    <w:p>
      <w:pPr>
        <w:spacing w:after="0" w:line="63" w:lineRule="exact"/>
        <w:rPr>
          <w:sz w:val="20"/>
          <w:szCs w:val="20"/>
          <w:color w:val="auto"/>
        </w:rPr>
      </w:pPr>
    </w:p>
    <w:p>
      <w:pPr>
        <w:ind w:right="20"/>
        <w:spacing w:after="0" w:line="285" w:lineRule="auto"/>
        <w:rPr>
          <w:sz w:val="20"/>
          <w:szCs w:val="20"/>
          <w:color w:val="auto"/>
        </w:rPr>
      </w:pPr>
      <w:r>
        <w:rPr>
          <w:rFonts w:ascii="Arial" w:cs="Arial" w:eastAsia="Arial" w:hAnsi="Arial"/>
          <w:sz w:val="18"/>
          <w:szCs w:val="18"/>
          <w:b w:val="1"/>
          <w:bCs w:val="1"/>
          <w:i w:val="1"/>
          <w:iCs w:val="1"/>
          <w:color w:val="auto"/>
        </w:rPr>
        <w:t>Recently enacted laws and related rulemakings in Colorado could have a material adverse impact on new oil and gas development in the state and could reduce the demand for our services.</w:t>
      </w:r>
    </w:p>
    <w:p>
      <w:pPr>
        <w:spacing w:after="0" w:line="2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Earlier this year the governor of Colorado signed into law a bill (SB19-181) that will affect future oil and gas operations in the state. The law requires the Colorado Oil and Gas Conservation Commission to place more emphasis on protection of human health and the environment in regulating oil and gas operations and provides for the restructuring of the Commission to reduce the number of members with oil and gas industry experience. Among other things, the law requires the Commission to adopt new rules that would require proponents of new oil and gas facilities near populated areas to analyze potential alternative locations for their facilities and require the Commission to address the potential cumulative impacts of oil and gas development. Other required rulemakings will address air emissions, wellbore integrity and flowlines. In addition, the new law gives local jurisdictions more authority to regulate oil and gas operations, including increased authority over facility siting as well as the authority to conduct inspections and impose fines. The new law may lead to further restrictions on oil and gas operations in Colorado and the drilling of fewer new wells in the future. The extent of the impact of this legislation will depend in part on rulemakings that will be undertaken by the Commission to implement the new law.</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1" w:name="page52"/>
    <w:bookmarkEnd w:id="51"/>
    <w:p>
      <w:pPr>
        <w:spacing w:after="0"/>
        <w:rPr>
          <w:sz w:val="20"/>
          <w:szCs w:val="20"/>
          <w:color w:val="auto"/>
        </w:rPr>
      </w:pPr>
      <w:r>
        <w:rPr>
          <w:rFonts w:ascii="Arial" w:cs="Arial" w:eastAsia="Arial" w:hAnsi="Arial"/>
          <w:sz w:val="22"/>
          <w:szCs w:val="22"/>
          <w:b w:val="1"/>
          <w:bCs w:val="1"/>
          <w:color w:val="auto"/>
        </w:rPr>
        <w:t>Item 6. 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240" w:type="dxa"/>
            <w:vAlign w:val="bottom"/>
          </w:tcPr>
          <w:p>
            <w:pPr>
              <w:spacing w:after="0"/>
              <w:rPr>
                <w:sz w:val="15"/>
                <w:szCs w:val="15"/>
                <w:color w:val="auto"/>
              </w:rPr>
            </w:pPr>
          </w:p>
        </w:tc>
        <w:tc>
          <w:tcPr>
            <w:tcW w:w="10060" w:type="dxa"/>
            <w:vAlign w:val="bottom"/>
            <w:gridSpan w:val="28"/>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auto"/>
            </w:tcBorders>
            <w:shd w:val="clear" w:color="auto" w:fill="CFF0FC"/>
          </w:tcPr>
          <w:p>
            <w:pPr>
              <w:jc w:val="center"/>
              <w:spacing w:after="0" w:line="182" w:lineRule="exact"/>
              <w:rPr>
                <w:sz w:val="20"/>
                <w:szCs w:val="20"/>
                <w:color w:val="auto"/>
              </w:rPr>
            </w:pPr>
            <w:r>
              <w:rPr>
                <w:rFonts w:ascii="Arial" w:cs="Arial" w:eastAsia="Arial" w:hAnsi="Arial"/>
                <w:sz w:val="18"/>
                <w:szCs w:val="18"/>
                <w:color w:val="auto"/>
                <w:w w:val="95"/>
              </w:rPr>
              <w:t>3.1</w:t>
            </w:r>
          </w:p>
        </w:tc>
        <w:tc>
          <w:tcPr>
            <w:tcW w:w="240" w:type="dxa"/>
            <w:vAlign w:val="bottom"/>
            <w:tcBorders>
              <w:top w:val="single" w:sz="8" w:color="CFF0FC"/>
            </w:tcBorders>
            <w:shd w:val="clear" w:color="auto" w:fill="CFF0FC"/>
          </w:tcPr>
          <w:p>
            <w:pPr>
              <w:spacing w:after="0"/>
              <w:rPr>
                <w:sz w:val="15"/>
                <w:szCs w:val="15"/>
                <w:color w:val="auto"/>
              </w:rPr>
            </w:pPr>
          </w:p>
        </w:tc>
        <w:tc>
          <w:tcPr>
            <w:tcW w:w="10060" w:type="dxa"/>
            <w:vAlign w:val="bottom"/>
            <w:tcBorders>
              <w:top w:val="single" w:sz="8" w:color="auto"/>
            </w:tcBorders>
            <w:gridSpan w:val="28"/>
            <w:shd w:val="clear" w:color="auto" w:fill="CFF0FC"/>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Third Amended and Restated Agreement of Limited Partnership of Summit Midstream Partners, LP, dated as of March 22,</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9700" w:type="dxa"/>
            <w:vAlign w:val="bottom"/>
            <w:tcBorders>
              <w:top w:val="single" w:sz="8" w:color="0000EE"/>
            </w:tcBorders>
            <w:gridSpan w:val="16"/>
            <w:shd w:val="clear" w:color="auto" w:fill="CFF0FC"/>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2019 (Incorporated herein by reference to Exhibit 3.1 to SMLP's Current Report on Form 8-K dated March 22, 2019</w:t>
              </w:r>
            </w:hyperlink>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9160" w:type="dxa"/>
            <w:vAlign w:val="bottom"/>
            <w:tcBorders>
              <w:top w:val="single" w:sz="8" w:color="0000EE"/>
            </w:tcBorders>
            <w:gridSpan w:val="11"/>
            <w:shd w:val="clear" w:color="auto" w:fill="CFF0FC"/>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(Commission File No. 001-35666))</w:t>
              </w:r>
            </w:hyperlink>
          </w:p>
        </w:tc>
        <w:tc>
          <w:tcPr>
            <w:tcW w:w="1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CFF0FC"/>
              <w:right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gridSpan w:val="2"/>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5"/>
              </w:rPr>
              <w:t>3.2</w:t>
            </w:r>
          </w:p>
        </w:tc>
        <w:tc>
          <w:tcPr>
            <w:tcW w:w="240" w:type="dxa"/>
            <w:vAlign w:val="bottom"/>
          </w:tcPr>
          <w:p>
            <w:pPr>
              <w:spacing w:after="0"/>
              <w:rPr>
                <w:sz w:val="16"/>
                <w:szCs w:val="16"/>
                <w:color w:val="auto"/>
              </w:rPr>
            </w:pPr>
          </w:p>
        </w:tc>
        <w:tc>
          <w:tcPr>
            <w:tcW w:w="10060" w:type="dxa"/>
            <w:vAlign w:val="bottom"/>
            <w:gridSpan w:val="28"/>
          </w:tcPr>
          <w:p>
            <w:pPr>
              <w:spacing w:after="0" w:line="189" w:lineRule="exact"/>
              <w:rPr>
                <w:rFonts w:ascii="Arial" w:cs="Arial" w:eastAsia="Arial" w:hAnsi="Arial"/>
                <w:sz w:val="18"/>
                <w:szCs w:val="18"/>
                <w:color w:val="0000EE"/>
              </w:rPr>
            </w:pPr>
            <w:hyperlink r:id="rId99">
              <w:r>
                <w:rPr>
                  <w:rFonts w:ascii="Arial" w:cs="Arial" w:eastAsia="Arial" w:hAnsi="Arial"/>
                  <w:sz w:val="18"/>
                  <w:szCs w:val="18"/>
                  <w:color w:val="0000EE"/>
                </w:rPr>
                <w:t>Amended and Restated Limited Liability Company Agreement of Summit Midstream GP, LLC, dated as of October 3, 2012</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20" w:type="dxa"/>
            <w:vAlign w:val="bottom"/>
            <w:tcBorders>
              <w:top w:val="single" w:sz="8" w:color="0000EE"/>
              <w:bottom w:val="single" w:sz="8" w:color="0000EE"/>
            </w:tcBorders>
            <w:gridSpan w:val="17"/>
          </w:tcPr>
          <w:p>
            <w:pPr>
              <w:spacing w:after="0" w:line="18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(Incorporated herein by reference to Exhibit 3.2 to SMLP's Current Report on Form 8-K filed October 4, 2012 (Commission</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40" w:type="dxa"/>
            <w:vAlign w:val="bottom"/>
            <w:gridSpan w:val="18"/>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File No. 001-35666))</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0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w w:val="95"/>
              </w:rPr>
              <w:t>3.3</w:t>
            </w:r>
          </w:p>
        </w:tc>
        <w:tc>
          <w:tcPr>
            <w:tcW w:w="240" w:type="dxa"/>
            <w:vAlign w:val="bottom"/>
            <w:shd w:val="clear" w:color="auto" w:fill="CFF0FC"/>
          </w:tcPr>
          <w:p>
            <w:pPr>
              <w:spacing w:after="0"/>
              <w:rPr>
                <w:sz w:val="16"/>
                <w:szCs w:val="16"/>
                <w:color w:val="auto"/>
              </w:rPr>
            </w:pPr>
          </w:p>
        </w:tc>
        <w:tc>
          <w:tcPr>
            <w:tcW w:w="10060" w:type="dxa"/>
            <w:vAlign w:val="bottom"/>
            <w:gridSpan w:val="28"/>
            <w:shd w:val="clear" w:color="auto" w:fill="CFF0FC"/>
          </w:tcPr>
          <w:p>
            <w:pPr>
              <w:spacing w:after="0" w:line="189" w:lineRule="exact"/>
              <w:rPr>
                <w:rFonts w:ascii="Arial" w:cs="Arial" w:eastAsia="Arial" w:hAnsi="Arial"/>
                <w:sz w:val="18"/>
                <w:szCs w:val="18"/>
                <w:color w:val="0000EE"/>
              </w:rPr>
            </w:pPr>
            <w:hyperlink r:id="rId100">
              <w:r>
                <w:rPr>
                  <w:rFonts w:ascii="Arial" w:cs="Arial" w:eastAsia="Arial" w:hAnsi="Arial"/>
                  <w:sz w:val="18"/>
                  <w:szCs w:val="18"/>
                  <w:color w:val="0000EE"/>
                </w:rPr>
                <w:t>Certificate of Limited Partnership of Summit Midstream Partners, LP (Incorporated herein by reference to Exhibit 3.1 to</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8060" w:type="dxa"/>
            <w:vAlign w:val="bottom"/>
            <w:tcBorders>
              <w:top w:val="single" w:sz="8" w:color="0000EE"/>
              <w:bottom w:val="single" w:sz="8" w:color="0000EE"/>
            </w:tcBorders>
            <w:gridSpan w:val="9"/>
            <w:shd w:val="clear" w:color="auto" w:fill="CFF0FC"/>
          </w:tcPr>
          <w:p>
            <w:pPr>
              <w:spacing w:after="0" w:line="182" w:lineRule="exact"/>
              <w:rPr>
                <w:rFonts w:ascii="Arial" w:cs="Arial" w:eastAsia="Arial" w:hAnsi="Arial"/>
                <w:sz w:val="18"/>
                <w:szCs w:val="18"/>
                <w:color w:val="0000EE"/>
                <w:w w:val="99"/>
              </w:rPr>
            </w:pPr>
            <w:hyperlink r:id="rId100">
              <w:r>
                <w:rPr>
                  <w:rFonts w:ascii="Arial" w:cs="Arial" w:eastAsia="Arial" w:hAnsi="Arial"/>
                  <w:sz w:val="18"/>
                  <w:szCs w:val="18"/>
                  <w:color w:val="0000EE"/>
                  <w:w w:val="99"/>
                </w:rPr>
                <w:t>SMLP's Form S-1 Registration Statement dated August 21, 2012 (Commission File No. 333-183466))</w:t>
              </w:r>
            </w:hyperlink>
          </w:p>
        </w:tc>
        <w:tc>
          <w:tcPr>
            <w:tcW w:w="1480" w:type="dxa"/>
            <w:vAlign w:val="bottom"/>
            <w:tcBorders>
              <w:top w:val="single" w:sz="8" w:color="0000EE"/>
              <w:bottom w:val="single" w:sz="8" w:color="CFF0FC"/>
              <w:right w:val="single" w:sz="8" w:color="CFF0FC"/>
            </w:tcBorders>
            <w:gridSpan w:val="4"/>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40" w:type="dxa"/>
            <w:vAlign w:val="bottom"/>
            <w:tcBorders>
              <w:top w:val="single" w:sz="8" w:color="CFF0FC"/>
              <w:bottom w:val="single" w:sz="8" w:color="CFF0FC"/>
            </w:tcBorders>
            <w:gridSpan w:val="2"/>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w w:val="95"/>
              </w:rPr>
              <w:t>3.4</w:t>
            </w:r>
          </w:p>
        </w:tc>
        <w:tc>
          <w:tcPr>
            <w:tcW w:w="240" w:type="dxa"/>
            <w:vAlign w:val="bottom"/>
          </w:tcPr>
          <w:p>
            <w:pPr>
              <w:spacing w:after="0"/>
              <w:rPr>
                <w:sz w:val="16"/>
                <w:szCs w:val="16"/>
                <w:color w:val="auto"/>
              </w:rPr>
            </w:pPr>
          </w:p>
        </w:tc>
        <w:tc>
          <w:tcPr>
            <w:tcW w:w="10060" w:type="dxa"/>
            <w:vAlign w:val="bottom"/>
            <w:gridSpan w:val="28"/>
          </w:tcPr>
          <w:p>
            <w:pPr>
              <w:spacing w:after="0" w:line="189" w:lineRule="exact"/>
              <w:rPr>
                <w:rFonts w:ascii="Arial" w:cs="Arial" w:eastAsia="Arial" w:hAnsi="Arial"/>
                <w:sz w:val="18"/>
                <w:szCs w:val="18"/>
                <w:color w:val="0000EE"/>
              </w:rPr>
            </w:pPr>
            <w:hyperlink r:id="rId101">
              <w:r>
                <w:rPr>
                  <w:rFonts w:ascii="Arial" w:cs="Arial" w:eastAsia="Arial" w:hAnsi="Arial"/>
                  <w:sz w:val="18"/>
                  <w:szCs w:val="18"/>
                  <w:color w:val="0000EE"/>
                </w:rPr>
                <w:t>Certificate of Formation of Summit Midstream GP, LLC (Incorporated herein by reference to Exhibit 3.4 to SMLP's Form S-1</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101">
              <w:r>
                <w:rPr>
                  <w:rFonts w:ascii="Arial" w:cs="Arial" w:eastAsia="Arial" w:hAnsi="Arial"/>
                  <w:sz w:val="18"/>
                  <w:szCs w:val="18"/>
                  <w:color w:val="0000EE"/>
                  <w:w w:val="99"/>
                </w:rPr>
                <w:t>Registration Statement dated August 21, 2012 (Commission File No. 333-183466))</w:t>
              </w:r>
            </w:hyperlink>
          </w:p>
        </w:tc>
        <w:tc>
          <w:tcPr>
            <w:tcW w:w="3220" w:type="dxa"/>
            <w:vAlign w:val="bottom"/>
            <w:tcBorders>
              <w:top w:val="single" w:sz="8" w:color="0000EE"/>
            </w:tcBorders>
            <w:gridSpan w:val="14"/>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rPr>
              <w:t>10.1</w:t>
            </w:r>
          </w:p>
        </w:tc>
        <w:tc>
          <w:tcPr>
            <w:tcW w:w="10300" w:type="dxa"/>
            <w:vAlign w:val="bottom"/>
            <w:gridSpan w:val="29"/>
            <w:shd w:val="clear" w:color="auto" w:fill="CFF0FC"/>
          </w:tcPr>
          <w:p>
            <w:pPr>
              <w:ind w:left="6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r:id="rId102">
              <w:r>
                <w:rPr>
                  <w:rFonts w:ascii="Arial" w:cs="Arial" w:eastAsia="Arial" w:hAnsi="Arial"/>
                  <w:sz w:val="18"/>
                  <w:szCs w:val="18"/>
                  <w:color w:val="0000EE"/>
                </w:rPr>
                <w:t>Employment Agreement effective January 1, 2019, by and between Summit Midstream Partners, LLC and Marc Stratton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22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gridSpan w:val="2"/>
            <w:shd w:val="clear" w:color="auto" w:fill="CFF0FC"/>
          </w:tcPr>
          <w:p>
            <w:pPr>
              <w:spacing w:after="0" w:line="20" w:lineRule="exact"/>
              <w:rPr>
                <w:sz w:val="1"/>
                <w:szCs w:val="1"/>
                <w:color w:val="auto"/>
              </w:rPr>
            </w:pPr>
          </w:p>
        </w:tc>
        <w:tc>
          <w:tcPr>
            <w:tcW w:w="40" w:type="dxa"/>
            <w:vAlign w:val="bottom"/>
            <w:gridSpan w:val="2"/>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00" w:type="dxa"/>
            <w:vAlign w:val="bottom"/>
            <w:gridSpan w:val="2"/>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60" w:type="dxa"/>
            <w:vAlign w:val="bottom"/>
            <w:gridSpan w:val="28"/>
            <w:shd w:val="clear" w:color="auto" w:fill="CFF0FC"/>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(Incorporated herein by reference to Exhibit 10.1 to SMLP’s Current Report on Form 8-K dated January 2, 2019 (Commission</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9960" w:type="dxa"/>
            <w:vAlign w:val="bottom"/>
            <w:tcBorders>
              <w:top w:val="single" w:sz="8" w:color="0000EE"/>
            </w:tcBorders>
            <w:gridSpan w:val="24"/>
            <w:shd w:val="clear" w:color="auto" w:fill="CFF0FC"/>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File Number 001-35666))</w:t>
              </w:r>
            </w:hyperlink>
          </w:p>
        </w:tc>
        <w:tc>
          <w:tcPr>
            <w:tcW w:w="2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rPr>
              <w:t>10.2</w:t>
            </w:r>
          </w:p>
        </w:tc>
        <w:tc>
          <w:tcPr>
            <w:tcW w:w="10300" w:type="dxa"/>
            <w:vAlign w:val="bottom"/>
            <w:gridSpan w:val="29"/>
          </w:tcPr>
          <w:p>
            <w:pPr>
              <w:ind w:left="6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r:id="rId103">
              <w:r>
                <w:rPr>
                  <w:rFonts w:ascii="Arial" w:cs="Arial" w:eastAsia="Arial" w:hAnsi="Arial"/>
                  <w:sz w:val="18"/>
                  <w:szCs w:val="18"/>
                  <w:color w:val="0000EE"/>
                </w:rPr>
                <w:t>Employment Agreement effective March 1, 2019, by and between Summit Midstream Partners, LLC and Louise E. Matthews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0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8"/>
              </w:rPr>
            </w:pPr>
            <w:hyperlink r:id="rId103">
              <w:r>
                <w:rPr>
                  <w:rFonts w:ascii="Arial" w:cs="Arial" w:eastAsia="Arial" w:hAnsi="Arial"/>
                  <w:sz w:val="18"/>
                  <w:szCs w:val="18"/>
                  <w:color w:val="0000EE"/>
                  <w:w w:val="98"/>
                </w:rPr>
                <w:t>(Incorporated herein by reference to Exhibit 10.1 to SMLP’s Current Report on Form 8-K dated February 6, 2019 (Commission</w:t>
              </w:r>
            </w:hyperlink>
          </w:p>
        </w:tc>
        <w:tc>
          <w:tcPr>
            <w:tcW w:w="4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40" w:type="dxa"/>
            <w:vAlign w:val="bottom"/>
            <w:gridSpan w:val="27"/>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File Number 001-35666))</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0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rPr>
              <w:t>10.3</w:t>
            </w:r>
          </w:p>
        </w:tc>
        <w:tc>
          <w:tcPr>
            <w:tcW w:w="240" w:type="dxa"/>
            <w:vAlign w:val="bottom"/>
            <w:shd w:val="clear" w:color="auto" w:fill="CFF0FC"/>
          </w:tcPr>
          <w:p>
            <w:pPr>
              <w:spacing w:after="0"/>
              <w:rPr>
                <w:sz w:val="16"/>
                <w:szCs w:val="16"/>
                <w:color w:val="auto"/>
              </w:rPr>
            </w:pPr>
          </w:p>
        </w:tc>
        <w:tc>
          <w:tcPr>
            <w:tcW w:w="10060" w:type="dxa"/>
            <w:vAlign w:val="bottom"/>
            <w:gridSpan w:val="28"/>
            <w:shd w:val="clear" w:color="auto" w:fill="CFF0FC"/>
          </w:tcPr>
          <w:p>
            <w:pPr>
              <w:spacing w:after="0" w:line="189" w:lineRule="exact"/>
              <w:rPr>
                <w:rFonts w:ascii="Arial" w:cs="Arial" w:eastAsia="Arial" w:hAnsi="Arial"/>
                <w:sz w:val="18"/>
                <w:szCs w:val="18"/>
                <w:color w:val="0000EE"/>
              </w:rPr>
            </w:pPr>
            <w:hyperlink r:id="rId104">
              <w:r>
                <w:rPr>
                  <w:rFonts w:ascii="Arial" w:cs="Arial" w:eastAsia="Arial" w:hAnsi="Arial"/>
                  <w:sz w:val="18"/>
                  <w:szCs w:val="18"/>
                  <w:color w:val="0000EE"/>
                </w:rPr>
                <w:t>Purchase and Sale Agreement between Meadowlark Midstream Company, LLC, Tioga Midstream, LLC and Hess North</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9540" w:type="dxa"/>
            <w:vAlign w:val="bottom"/>
            <w:tcBorders>
              <w:top w:val="single" w:sz="8" w:color="0000EE"/>
              <w:bottom w:val="single" w:sz="8" w:color="0000EE"/>
              <w:right w:val="single" w:sz="8" w:color="CFF0FC"/>
            </w:tcBorders>
            <w:gridSpan w:val="13"/>
            <w:shd w:val="clear" w:color="auto" w:fill="CFF0FC"/>
          </w:tcPr>
          <w:p>
            <w:pPr>
              <w:spacing w:after="0" w:line="182" w:lineRule="exact"/>
              <w:rPr>
                <w:rFonts w:ascii="Arial" w:cs="Arial" w:eastAsia="Arial" w:hAnsi="Arial"/>
                <w:sz w:val="18"/>
                <w:szCs w:val="18"/>
                <w:color w:val="0000EE"/>
                <w:w w:val="98"/>
              </w:rPr>
            </w:pPr>
            <w:hyperlink r:id="rId104">
              <w:r>
                <w:rPr>
                  <w:rFonts w:ascii="Arial" w:cs="Arial" w:eastAsia="Arial" w:hAnsi="Arial"/>
                  <w:sz w:val="18"/>
                  <w:szCs w:val="18"/>
                  <w:color w:val="0000EE"/>
                  <w:w w:val="98"/>
                </w:rPr>
                <w:t>Dakota Pipelines LLC dated as of February 22, 2019 (Incorporated herein by reference to Exhibit 10.1 to SMLP's Current</w:t>
              </w:r>
            </w:hyperlink>
          </w:p>
        </w:tc>
        <w:tc>
          <w:tcPr>
            <w:tcW w:w="80" w:type="dxa"/>
            <w:vAlign w:val="bottom"/>
            <w:tcBorders>
              <w:top w:val="single" w:sz="8" w:color="CFF0FC"/>
              <w:bottom w:val="single" w:sz="8" w:color="0000EE"/>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CFF0FC"/>
              <w:bottom w:val="single" w:sz="8" w:color="CFF0FC"/>
            </w:tcBorders>
            <w:gridSpan w:val="2"/>
            <w:shd w:val="clear" w:color="auto" w:fill="CFF0FC"/>
          </w:tcPr>
          <w:p>
            <w:pPr>
              <w:spacing w:after="0"/>
              <w:rPr>
                <w:sz w:val="15"/>
                <w:szCs w:val="15"/>
                <w:color w:val="auto"/>
              </w:rPr>
            </w:pPr>
          </w:p>
        </w:tc>
        <w:tc>
          <w:tcPr>
            <w:tcW w:w="40" w:type="dxa"/>
            <w:vAlign w:val="bottom"/>
            <w:tcBorders>
              <w:top w:val="single" w:sz="8" w:color="CFF0FC"/>
              <w:bottom w:val="single" w:sz="8" w:color="CFF0FC"/>
            </w:tcBorders>
            <w:gridSpan w:val="2"/>
            <w:shd w:val="clear" w:color="auto" w:fill="CFF0FC"/>
          </w:tcPr>
          <w:p>
            <w:pPr>
              <w:spacing w:after="0"/>
              <w:rPr>
                <w:sz w:val="15"/>
                <w:szCs w:val="15"/>
                <w:color w:val="auto"/>
              </w:rPr>
            </w:pPr>
          </w:p>
        </w:tc>
        <w:tc>
          <w:tcPr>
            <w:tcW w:w="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gridSpan w:val="3"/>
            <w:shd w:val="clear" w:color="auto" w:fill="CFF0FC"/>
          </w:tcPr>
          <w:p>
            <w:pPr>
              <w:spacing w:after="0"/>
              <w:rPr>
                <w:sz w:val="15"/>
                <w:szCs w:val="15"/>
                <w:color w:val="auto"/>
              </w:rPr>
            </w:pPr>
          </w:p>
        </w:tc>
        <w:tc>
          <w:tcPr>
            <w:tcW w:w="40" w:type="dxa"/>
            <w:vAlign w:val="bottom"/>
            <w:tcBorders>
              <w:top w:val="single" w:sz="8" w:color="CFF0FC"/>
              <w:bottom w:val="single" w:sz="8" w:color="CFF0FC"/>
            </w:tcBorders>
            <w:gridSpan w:val="2"/>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60" w:type="dxa"/>
            <w:vAlign w:val="bottom"/>
            <w:tcBorders>
              <w:top w:val="single" w:sz="8" w:color="CFF0FC"/>
              <w:bottom w:val="single" w:sz="8" w:color="CFF0FC"/>
            </w:tcBorders>
            <w:gridSpan w:val="2"/>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420" w:type="dxa"/>
            <w:vAlign w:val="bottom"/>
            <w:tcBorders>
              <w:bottom w:val="single" w:sz="8" w:color="0000EE"/>
            </w:tcBorders>
            <w:gridSpan w:val="6"/>
            <w:shd w:val="clear" w:color="auto" w:fill="CFF0FC"/>
          </w:tcPr>
          <w:p>
            <w:pPr>
              <w:spacing w:after="0" w:line="182" w:lineRule="exact"/>
              <w:rPr>
                <w:rFonts w:ascii="Arial" w:cs="Arial" w:eastAsia="Arial" w:hAnsi="Arial"/>
                <w:sz w:val="18"/>
                <w:szCs w:val="18"/>
                <w:color w:val="0000EE"/>
                <w:w w:val="99"/>
              </w:rPr>
            </w:pPr>
            <w:hyperlink r:id="rId104">
              <w:r>
                <w:rPr>
                  <w:rFonts w:ascii="Arial" w:cs="Arial" w:eastAsia="Arial" w:hAnsi="Arial"/>
                  <w:sz w:val="18"/>
                  <w:szCs w:val="18"/>
                  <w:color w:val="0000EE"/>
                  <w:w w:val="99"/>
                </w:rPr>
                <w:t>Report on Form 8-K dated February 26, 2019 (Commission File No. 001-35666))</w:t>
              </w:r>
            </w:hyperlink>
          </w:p>
        </w:tc>
        <w:tc>
          <w:tcPr>
            <w:tcW w:w="3200" w:type="dxa"/>
            <w:vAlign w:val="bottom"/>
            <w:tcBorders>
              <w:bottom w:val="single" w:sz="8" w:color="CFF0FC"/>
            </w:tcBorders>
            <w:gridSpan w:val="8"/>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gridSpan w:val="2"/>
            <w:shd w:val="clear" w:color="auto" w:fill="CFF0FC"/>
          </w:tcPr>
          <w:p>
            <w:pPr>
              <w:spacing w:after="0"/>
              <w:rPr>
                <w:sz w:val="16"/>
                <w:szCs w:val="16"/>
                <w:color w:val="auto"/>
              </w:rPr>
            </w:pPr>
          </w:p>
        </w:tc>
        <w:tc>
          <w:tcPr>
            <w:tcW w:w="40" w:type="dxa"/>
            <w:vAlign w:val="bottom"/>
            <w:tcBorders>
              <w:bottom w:val="single" w:sz="8" w:color="CFF0FC"/>
            </w:tcBorders>
            <w:gridSpan w:val="2"/>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gridSpan w:val="3"/>
            <w:shd w:val="clear" w:color="auto" w:fill="CFF0FC"/>
          </w:tcPr>
          <w:p>
            <w:pPr>
              <w:spacing w:after="0"/>
              <w:rPr>
                <w:sz w:val="16"/>
                <w:szCs w:val="16"/>
                <w:color w:val="auto"/>
              </w:rPr>
            </w:pPr>
          </w:p>
        </w:tc>
        <w:tc>
          <w:tcPr>
            <w:tcW w:w="40" w:type="dxa"/>
            <w:vAlign w:val="bottom"/>
            <w:tcBorders>
              <w:bottom w:val="single" w:sz="8" w:color="CFF0FC"/>
            </w:tcBorders>
            <w:gridSpan w:val="2"/>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rPr>
              <w:t>10.4</w:t>
            </w:r>
          </w:p>
        </w:tc>
        <w:tc>
          <w:tcPr>
            <w:tcW w:w="240" w:type="dxa"/>
            <w:vAlign w:val="bottom"/>
          </w:tcPr>
          <w:p>
            <w:pPr>
              <w:spacing w:after="0"/>
              <w:rPr>
                <w:sz w:val="16"/>
                <w:szCs w:val="16"/>
                <w:color w:val="auto"/>
              </w:rPr>
            </w:pPr>
          </w:p>
        </w:tc>
        <w:tc>
          <w:tcPr>
            <w:tcW w:w="10060" w:type="dxa"/>
            <w:vAlign w:val="bottom"/>
            <w:gridSpan w:val="28"/>
          </w:tcPr>
          <w:p>
            <w:pPr>
              <w:spacing w:after="0" w:line="189" w:lineRule="exact"/>
              <w:rPr>
                <w:rFonts w:ascii="Arial" w:cs="Arial" w:eastAsia="Arial" w:hAnsi="Arial"/>
                <w:sz w:val="18"/>
                <w:szCs w:val="18"/>
                <w:color w:val="0000EE"/>
              </w:rPr>
            </w:pPr>
            <w:hyperlink r:id="rId105">
              <w:r>
                <w:rPr>
                  <w:rFonts w:ascii="Arial" w:cs="Arial" w:eastAsia="Arial" w:hAnsi="Arial"/>
                  <w:sz w:val="18"/>
                  <w:szCs w:val="18"/>
                  <w:color w:val="0000EE"/>
                </w:rPr>
                <w:t>Purchase and Sale Agreement between Meadowlark Midstream Company, LLC, Tioga Midstream, LLC and Hess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19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Infrastructure Partners LP dated as of February 22, 2019 (Incorporated herein by reference to Exhibit 10.2 to SMLP's Current</w:t>
              </w:r>
            </w:hyperlink>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2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105">
              <w:r>
                <w:rPr>
                  <w:rFonts w:ascii="Arial" w:cs="Arial" w:eastAsia="Arial" w:hAnsi="Arial"/>
                  <w:sz w:val="18"/>
                  <w:szCs w:val="18"/>
                  <w:color w:val="0000EE"/>
                  <w:w w:val="99"/>
                </w:rPr>
                <w:t>Report on Form 8-K dated February 26, 2019 (Commission File No. 001-35666))</w:t>
              </w:r>
            </w:hyperlink>
          </w:p>
        </w:tc>
        <w:tc>
          <w:tcPr>
            <w:tcW w:w="3520" w:type="dxa"/>
            <w:vAlign w:val="bottom"/>
            <w:tcBorders>
              <w:top w:val="single" w:sz="8" w:color="0000EE"/>
            </w:tcBorders>
            <w:gridSpan w:val="17"/>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6"/>
                <w:szCs w:val="16"/>
                <w:color w:val="auto"/>
              </w:rPr>
            </w:pPr>
          </w:p>
        </w:tc>
        <w:tc>
          <w:tcPr>
            <w:tcW w:w="10060" w:type="dxa"/>
            <w:vAlign w:val="bottom"/>
            <w:gridSpan w:val="28"/>
            <w:shd w:val="clear" w:color="auto" w:fill="CFF0FC"/>
          </w:tcPr>
          <w:p>
            <w:pPr>
              <w:spacing w:after="0" w:line="189" w:lineRule="exact"/>
              <w:rPr>
                <w:rFonts w:ascii="Arial" w:cs="Arial" w:eastAsia="Arial" w:hAnsi="Arial"/>
                <w:sz w:val="18"/>
                <w:szCs w:val="18"/>
                <w:color w:val="0000EE"/>
              </w:rPr>
            </w:pPr>
            <w:hyperlink r:id="rId106">
              <w:r>
                <w:rPr>
                  <w:rFonts w:ascii="Arial" w:cs="Arial" w:eastAsia="Arial" w:hAnsi="Arial"/>
                  <w:sz w:val="18"/>
                  <w:szCs w:val="18"/>
                  <w:color w:val="0000EE"/>
                </w:rPr>
                <w:t>Amendment to Contribution Agreement between Summit Midstream Partners Holdings, LLC and Summit Midstream Partners,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0000" w:type="dxa"/>
            <w:vAlign w:val="bottom"/>
            <w:tcBorders>
              <w:top w:val="single" w:sz="8" w:color="0000EE"/>
            </w:tcBorders>
            <w:gridSpan w:val="26"/>
            <w:shd w:val="clear" w:color="auto" w:fill="CFF0FC"/>
          </w:tcPr>
          <w:p>
            <w:pPr>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LP dated February 25, 2019 (Incorporated herein by reference to Exhibit 10.3 to SMLP's Current Report on Form 8-K dated</w:t>
              </w:r>
            </w:hyperlink>
          </w:p>
        </w:tc>
        <w:tc>
          <w:tcPr>
            <w:tcW w:w="60" w:type="dxa"/>
            <w:vAlign w:val="bottom"/>
            <w:tcBorders>
              <w:top w:val="single" w:sz="8" w:color="CFF0FC"/>
            </w:tcBorders>
            <w:gridSpan w:val="2"/>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0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4280" w:type="dxa"/>
            <w:vAlign w:val="bottom"/>
            <w:tcBorders>
              <w:top w:val="single" w:sz="8" w:color="0000EE"/>
              <w:bottom w:val="single" w:sz="8" w:color="0000EE"/>
            </w:tcBorders>
            <w:gridSpan w:val="4"/>
            <w:shd w:val="clear" w:color="auto" w:fill="CFF0FC"/>
          </w:tcPr>
          <w:p>
            <w:pPr>
              <w:spacing w:after="0" w:line="182" w:lineRule="exact"/>
              <w:rPr>
                <w:rFonts w:ascii="Arial" w:cs="Arial" w:eastAsia="Arial" w:hAnsi="Arial"/>
                <w:sz w:val="18"/>
                <w:szCs w:val="18"/>
                <w:color w:val="0000EE"/>
                <w:w w:val="99"/>
              </w:rPr>
            </w:pPr>
            <w:hyperlink r:id="rId106">
              <w:r>
                <w:rPr>
                  <w:rFonts w:ascii="Arial" w:cs="Arial" w:eastAsia="Arial" w:hAnsi="Arial"/>
                  <w:sz w:val="18"/>
                  <w:szCs w:val="18"/>
                  <w:color w:val="0000EE"/>
                  <w:w w:val="99"/>
                </w:rPr>
                <w:t>February 26, 2019 (Commission File No. 001-35666))</w:t>
              </w:r>
            </w:hyperlink>
          </w:p>
        </w:tc>
        <w:tc>
          <w:tcPr>
            <w:tcW w:w="5520" w:type="dxa"/>
            <w:vAlign w:val="bottom"/>
            <w:tcBorders>
              <w:top w:val="single" w:sz="8" w:color="0000EE"/>
              <w:bottom w:val="single" w:sz="8" w:color="CFF0FC"/>
            </w:tcBorders>
            <w:gridSpan w:val="16"/>
            <w:shd w:val="clear" w:color="auto" w:fill="CFF0FC"/>
          </w:tcPr>
          <w:p>
            <w:pPr>
              <w:spacing w:after="0"/>
              <w:rPr>
                <w:sz w:val="16"/>
                <w:szCs w:val="16"/>
                <w:color w:val="auto"/>
              </w:rPr>
            </w:pPr>
          </w:p>
        </w:tc>
        <w:tc>
          <w:tcPr>
            <w:tcW w:w="180" w:type="dxa"/>
            <w:vAlign w:val="bottom"/>
            <w:tcBorders>
              <w:top w:val="single" w:sz="8" w:color="CFF0FC"/>
              <w:bottom w:val="single" w:sz="8" w:color="CFF0FC"/>
            </w:tcBorders>
            <w:gridSpan w:val="5"/>
            <w:shd w:val="clear" w:color="auto" w:fill="CFF0FC"/>
          </w:tcPr>
          <w:p>
            <w:pPr>
              <w:spacing w:after="0"/>
              <w:rPr>
                <w:sz w:val="16"/>
                <w:szCs w:val="16"/>
                <w:color w:val="auto"/>
              </w:rPr>
            </w:pPr>
          </w:p>
        </w:tc>
        <w:tc>
          <w:tcPr>
            <w:tcW w:w="80" w:type="dxa"/>
            <w:vAlign w:val="bottom"/>
            <w:tcBorders>
              <w:top w:val="single" w:sz="8" w:color="CFF0FC"/>
              <w:bottom w:val="single" w:sz="8" w:color="CFF0FC"/>
            </w:tcBorders>
            <w:gridSpan w:val="3"/>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rPr>
              <w:t>10.6</w:t>
            </w:r>
          </w:p>
        </w:tc>
        <w:tc>
          <w:tcPr>
            <w:tcW w:w="240" w:type="dxa"/>
            <w:vAlign w:val="bottom"/>
          </w:tcPr>
          <w:p>
            <w:pPr>
              <w:spacing w:after="0"/>
              <w:rPr>
                <w:sz w:val="16"/>
                <w:szCs w:val="16"/>
                <w:color w:val="auto"/>
              </w:rPr>
            </w:pPr>
          </w:p>
        </w:tc>
        <w:tc>
          <w:tcPr>
            <w:tcW w:w="10060" w:type="dxa"/>
            <w:vAlign w:val="bottom"/>
            <w:gridSpan w:val="28"/>
          </w:tcPr>
          <w:p>
            <w:pPr>
              <w:spacing w:after="0" w:line="189" w:lineRule="exact"/>
              <w:rPr>
                <w:rFonts w:ascii="Arial" w:cs="Arial" w:eastAsia="Arial" w:hAnsi="Arial"/>
                <w:sz w:val="18"/>
                <w:szCs w:val="18"/>
                <w:color w:val="0000EE"/>
              </w:rPr>
            </w:pPr>
            <w:hyperlink r:id="rId107">
              <w:r>
                <w:rPr>
                  <w:rFonts w:ascii="Arial" w:cs="Arial" w:eastAsia="Arial" w:hAnsi="Arial"/>
                  <w:sz w:val="18"/>
                  <w:szCs w:val="18"/>
                  <w:color w:val="0000EE"/>
                </w:rPr>
                <w:t>Equity Restructuring Agreement by and among Summit Midstream Partners, LP, Summit Midstream GP, LLC and Summit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80" w:type="dxa"/>
            <w:vAlign w:val="bottom"/>
            <w:gridSpan w:val="5"/>
            <w:shd w:val="clear" w:color="auto" w:fill="0000EE"/>
          </w:tcPr>
          <w:p>
            <w:pPr>
              <w:spacing w:after="0" w:line="20" w:lineRule="exact"/>
              <w:rPr>
                <w:sz w:val="1"/>
                <w:szCs w:val="1"/>
                <w:color w:val="auto"/>
              </w:rPr>
            </w:pPr>
          </w:p>
        </w:tc>
        <w:tc>
          <w:tcPr>
            <w:tcW w:w="2180" w:type="dxa"/>
            <w:vAlign w:val="bottom"/>
            <w:gridSpan w:val="3"/>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60" w:type="dxa"/>
            <w:vAlign w:val="bottom"/>
            <w:gridSpan w:val="28"/>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Midstream Partners Holdings, LLC dated as of February 25, 2019 (Incorporated herein by reference to Exhibit 10.4 to SMLP's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8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Current Report on Form 8-K dated February 26, 2019 (Commission File No. 001-35666))</w:t>
              </w:r>
            </w:hyperlink>
          </w:p>
        </w:tc>
        <w:tc>
          <w:tcPr>
            <w:tcW w:w="8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54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0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rPr>
              <w:t>31.1</w:t>
            </w:r>
          </w:p>
        </w:tc>
        <w:tc>
          <w:tcPr>
            <w:tcW w:w="240" w:type="dxa"/>
            <w:vAlign w:val="bottom"/>
            <w:shd w:val="clear" w:color="auto" w:fill="CFF0FC"/>
          </w:tcPr>
          <w:p>
            <w:pPr>
              <w:spacing w:after="0"/>
              <w:rPr>
                <w:sz w:val="16"/>
                <w:szCs w:val="16"/>
                <w:color w:val="auto"/>
              </w:rPr>
            </w:pPr>
          </w:p>
        </w:tc>
        <w:tc>
          <w:tcPr>
            <w:tcW w:w="10060" w:type="dxa"/>
            <w:vAlign w:val="bottom"/>
            <w:gridSpan w:val="28"/>
            <w:shd w:val="clear" w:color="auto" w:fill="CFF0FC"/>
          </w:tcPr>
          <w:p>
            <w:pPr>
              <w:spacing w:after="0" w:line="189" w:lineRule="exact"/>
              <w:rPr>
                <w:rFonts w:ascii="Arial" w:cs="Arial" w:eastAsia="Arial" w:hAnsi="Arial"/>
                <w:sz w:val="18"/>
                <w:szCs w:val="18"/>
                <w:color w:val="0000EE"/>
              </w:rPr>
            </w:pPr>
            <w:hyperlink w:anchor="page54">
              <w:r>
                <w:rPr>
                  <w:rFonts w:ascii="Arial" w:cs="Arial" w:eastAsia="Arial" w:hAnsi="Arial"/>
                  <w:sz w:val="18"/>
                  <w:szCs w:val="18"/>
                  <w:color w:val="0000EE"/>
                </w:rPr>
                <w:t>Rule 13a-14(a)/15d-14(a) Certification, executed by Leonard W. Mallett, President, Chief Executive Officer and Director</w:t>
              </w:r>
            </w:hyperlink>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54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5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tcPr>
          <w:p>
            <w:pPr>
              <w:jc w:val="center"/>
              <w:spacing w:after="0" w:line="189"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9720" w:type="dxa"/>
            <w:vAlign w:val="bottom"/>
            <w:tcBorders>
              <w:bottom w:val="single" w:sz="8" w:color="0000EE"/>
            </w:tcBorders>
            <w:gridSpan w:val="17"/>
          </w:tcPr>
          <w:p>
            <w:pPr>
              <w:spacing w:after="0" w:line="189"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Rule 13a-14(a)/15d-14(a) Certification, executed by Marc D. Stratton, Executive Vice President and Chief Financial Officer</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rPr>
              <w:t>32.1</w:t>
            </w:r>
          </w:p>
        </w:tc>
        <w:tc>
          <w:tcPr>
            <w:tcW w:w="240" w:type="dxa"/>
            <w:vAlign w:val="bottom"/>
            <w:shd w:val="clear" w:color="auto" w:fill="CFF0FC"/>
          </w:tcPr>
          <w:p>
            <w:pPr>
              <w:spacing w:after="0"/>
              <w:rPr>
                <w:sz w:val="16"/>
                <w:szCs w:val="16"/>
                <w:color w:val="auto"/>
              </w:rPr>
            </w:pPr>
          </w:p>
        </w:tc>
        <w:tc>
          <w:tcPr>
            <w:tcW w:w="10060" w:type="dxa"/>
            <w:vAlign w:val="bottom"/>
            <w:gridSpan w:val="28"/>
            <w:shd w:val="clear" w:color="auto" w:fill="CFF0FC"/>
          </w:tcPr>
          <w:p>
            <w:pPr>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Certifications required by Rule 13a-14(b) or Rule 15d-14(b) and Section 1350 of Chapter 63 of Title 18 of the United States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9760" w:type="dxa"/>
            <w:vAlign w:val="bottom"/>
            <w:tcBorders>
              <w:top w:val="single" w:sz="8" w:color="0000EE"/>
            </w:tcBorders>
            <w:gridSpan w:val="19"/>
            <w:shd w:val="clear" w:color="auto" w:fill="CFF0FC"/>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Code (18 U.S.C. 1350), executed by Leonard W. Mallett, President, Chief Executive Officer and Director, and Marc D.</w:t>
              </w:r>
            </w:hyperlink>
          </w:p>
        </w:tc>
        <w:tc>
          <w:tcPr>
            <w:tcW w:w="300" w:type="dxa"/>
            <w:vAlign w:val="bottom"/>
            <w:tcBorders>
              <w:top w:val="single" w:sz="8" w:color="CFF0FC"/>
            </w:tcBorders>
            <w:gridSpan w:val="9"/>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9340" w:type="dxa"/>
            <w:vAlign w:val="bottom"/>
            <w:tcBorders>
              <w:top w:val="single" w:sz="8" w:color="0000EE"/>
            </w:tcBorders>
            <w:gridSpan w:val="12"/>
            <w:shd w:val="clear" w:color="auto" w:fill="CFF0FC"/>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Stratton, Executive Vice President and Chief Financial Officer</w:t>
              </w:r>
            </w:hyperlink>
          </w:p>
        </w:tc>
        <w:tc>
          <w:tcPr>
            <w:tcW w:w="720" w:type="dxa"/>
            <w:vAlign w:val="bottom"/>
            <w:tcBorders>
              <w:top w:val="single" w:sz="8" w:color="CFF0FC"/>
            </w:tcBorders>
            <w:gridSpan w:val="16"/>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740" w:type="dxa"/>
            <w:vAlign w:val="bottom"/>
            <w:shd w:val="clear" w:color="auto" w:fill="0000EE"/>
          </w:tcPr>
          <w:p>
            <w:pPr>
              <w:spacing w:after="0"/>
              <w:rPr>
                <w:sz w:val="2"/>
                <w:szCs w:val="2"/>
                <w:color w:val="auto"/>
              </w:rPr>
            </w:pPr>
          </w:p>
        </w:tc>
        <w:tc>
          <w:tcPr>
            <w:tcW w:w="154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5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100" w:type="dxa"/>
            <w:vAlign w:val="bottom"/>
          </w:tcPr>
          <w:p>
            <w:pPr>
              <w:jc w:val="center"/>
              <w:spacing w:after="0" w:line="194" w:lineRule="exact"/>
              <w:rPr>
                <w:sz w:val="20"/>
                <w:szCs w:val="20"/>
                <w:color w:val="auto"/>
              </w:rPr>
            </w:pPr>
            <w:r>
              <w:rPr>
                <w:rFonts w:ascii="Arial" w:cs="Arial" w:eastAsia="Arial" w:hAnsi="Arial"/>
                <w:sz w:val="18"/>
                <w:szCs w:val="18"/>
                <w:color w:val="auto"/>
                <w:w w:val="98"/>
              </w:rPr>
              <w:t>101.INS</w:t>
            </w:r>
          </w:p>
        </w:tc>
        <w:tc>
          <w:tcPr>
            <w:tcW w:w="10300" w:type="dxa"/>
            <w:vAlign w:val="bottom"/>
            <w:gridSpan w:val="29"/>
          </w:tcPr>
          <w:p>
            <w:pPr>
              <w:ind w:left="80"/>
              <w:spacing w:after="0" w:line="194" w:lineRule="exact"/>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60" w:type="dxa"/>
            <w:vAlign w:val="bottom"/>
            <w:gridSpan w:val="28"/>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101.SCH</w:t>
            </w:r>
          </w:p>
        </w:tc>
        <w:tc>
          <w:tcPr>
            <w:tcW w:w="10300" w:type="dxa"/>
            <w:vAlign w:val="bottom"/>
            <w:gridSpan w:val="29"/>
            <w:shd w:val="clear" w:color="auto" w:fill="CFF0FC"/>
          </w:tcPr>
          <w:p>
            <w:pPr>
              <w:ind w:left="80"/>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0300" w:type="dxa"/>
            <w:vAlign w:val="bottom"/>
            <w:gridSpan w:val="29"/>
          </w:tcPr>
          <w:p>
            <w:pPr>
              <w:ind w:left="80"/>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101.DEF</w:t>
            </w:r>
          </w:p>
        </w:tc>
        <w:tc>
          <w:tcPr>
            <w:tcW w:w="10300" w:type="dxa"/>
            <w:vAlign w:val="bottom"/>
            <w:gridSpan w:val="29"/>
            <w:shd w:val="clear" w:color="auto" w:fill="CFF0FC"/>
          </w:tcPr>
          <w:p>
            <w:pPr>
              <w:ind w:left="80"/>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300" w:type="dxa"/>
            <w:vAlign w:val="bottom"/>
            <w:gridSpan w:val="29"/>
          </w:tcPr>
          <w:p>
            <w:pPr>
              <w:ind w:left="80"/>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101.PRE</w:t>
            </w:r>
          </w:p>
        </w:tc>
        <w:tc>
          <w:tcPr>
            <w:tcW w:w="10300" w:type="dxa"/>
            <w:vAlign w:val="bottom"/>
            <w:gridSpan w:val="29"/>
            <w:shd w:val="clear" w:color="auto" w:fill="CFF0FC"/>
          </w:tcPr>
          <w:p>
            <w:pPr>
              <w:ind w:left="80"/>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180" w:firstLine="8"/>
        <w:spacing w:after="0" w:line="276" w:lineRule="auto"/>
        <w:tabs>
          <w:tab w:leader="none" w:pos="1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that is being filed as an exhibit pursuant to Items 9.01(d) of SMLP’s Form 8-Ks filed January 2, 2019 and February 7, 2019 (Commission File Nos. 001-35666)</w:t>
      </w:r>
    </w:p>
    <w:p>
      <w:pPr>
        <w:spacing w:after="0" w:line="37" w:lineRule="exact"/>
        <w:rPr>
          <w:sz w:val="20"/>
          <w:szCs w:val="20"/>
          <w:color w:val="auto"/>
        </w:rPr>
      </w:pPr>
    </w:p>
    <w:p>
      <w:pPr>
        <w:ind w:right="400" w:firstLine="8"/>
        <w:spacing w:after="0" w:line="248" w:lineRule="auto"/>
        <w:tabs>
          <w:tab w:leader="none" w:pos="1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2" w:name="page53"/>
    <w:bookmarkEnd w:id="52"/>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112"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62865</wp:posOffset>
            </wp:positionV>
            <wp:extent cx="41249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9">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Summit Midstream GP, LLC (its General Partner)</w:t>
      </w:r>
    </w:p>
    <w:p>
      <w:pPr>
        <w:spacing w:after="0" w:line="212"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May 10, 2019</w:t>
      </w:r>
      <w:r>
        <w:rPr>
          <w:sz w:val="20"/>
          <w:szCs w:val="20"/>
          <w:color w:val="auto"/>
        </w:rPr>
        <w:tab/>
      </w:r>
      <w:r>
        <w:rPr>
          <w:rFonts w:ascii="Arial" w:cs="Arial" w:eastAsia="Arial" w:hAnsi="Arial"/>
          <w:sz w:val="17"/>
          <w:szCs w:val="17"/>
          <w:i w:val="1"/>
          <w:iCs w:val="1"/>
          <w:color w:val="auto"/>
        </w:rPr>
        <w:t>/s/ Marc D. Stratton</w:t>
      </w:r>
    </w:p>
    <w:p>
      <w:pPr>
        <w:spacing w:after="0" w:line="90" w:lineRule="exact"/>
        <w:rPr>
          <w:sz w:val="20"/>
          <w:szCs w:val="20"/>
          <w:color w:val="auto"/>
        </w:rPr>
      </w:pPr>
    </w:p>
    <w:p>
      <w:pPr>
        <w:ind w:left="4960"/>
        <w:spacing w:after="0" w:line="276" w:lineRule="auto"/>
        <w:rPr>
          <w:sz w:val="20"/>
          <w:szCs w:val="20"/>
          <w:color w:val="auto"/>
        </w:rPr>
      </w:pPr>
      <w:r>
        <w:rPr>
          <w:rFonts w:ascii="Arial" w:cs="Arial" w:eastAsia="Arial" w:hAnsi="Arial"/>
          <w:sz w:val="18"/>
          <w:szCs w:val="18"/>
          <w:color w:val="auto"/>
        </w:rPr>
        <w:t>Marc D. Stratton, Executive Vice President and Chief Financial Officer (Principal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-295910</wp:posOffset>
            </wp:positionV>
            <wp:extent cx="412496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0">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20"/>
          </w:cols>
          <w:pgMar w:left="240" w:top="333"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Leonard W. Mallett, certify that:</w:t>
      </w:r>
    </w:p>
    <w:p>
      <w:pPr>
        <w:spacing w:after="0" w:line="158" w:lineRule="exact"/>
        <w:rPr>
          <w:sz w:val="20"/>
          <w:szCs w:val="20"/>
          <w:color w:val="auto"/>
        </w:rPr>
      </w:pPr>
    </w:p>
    <w:p>
      <w:pPr>
        <w:ind w:left="400" w:hanging="191"/>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ind w:left="200" w:right="80" w:firstLine="9"/>
        <w:spacing w:after="0" w:line="255"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8"/>
          <w:szCs w:val="18"/>
          <w:color w:val="auto"/>
        </w:rPr>
      </w:pPr>
    </w:p>
    <w:p>
      <w:pPr>
        <w:ind w:left="200" w:right="460" w:firstLine="9"/>
        <w:spacing w:after="0" w:line="274"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00" w:right="20" w:firstLine="9"/>
        <w:spacing w:after="0" w:line="255"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Arial" w:cs="Arial" w:eastAsia="Arial" w:hAnsi="Arial"/>
          <w:sz w:val="18"/>
          <w:szCs w:val="18"/>
          <w:color w:val="auto"/>
        </w:rPr>
      </w:pPr>
    </w:p>
    <w:p>
      <w:pPr>
        <w:ind w:left="500" w:right="140" w:firstLine="9"/>
        <w:spacing w:after="0" w:line="255" w:lineRule="auto"/>
        <w:tabs>
          <w:tab w:leader="none" w:pos="7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ind w:left="500" w:right="180" w:firstLine="9"/>
        <w:spacing w:after="0" w:line="255" w:lineRule="auto"/>
        <w:tabs>
          <w:tab w:leader="none" w:pos="7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18"/>
          <w:szCs w:val="18"/>
          <w:color w:val="auto"/>
        </w:rPr>
      </w:pPr>
    </w:p>
    <w:p>
      <w:pPr>
        <w:jc w:val="both"/>
        <w:ind w:left="500" w:right="100" w:firstLine="9"/>
        <w:spacing w:after="0" w:line="255" w:lineRule="auto"/>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8"/>
          <w:szCs w:val="18"/>
          <w:color w:val="auto"/>
        </w:rPr>
      </w:pPr>
    </w:p>
    <w:p>
      <w:pPr>
        <w:ind w:left="500" w:firstLine="9"/>
        <w:spacing w:after="0" w:line="255" w:lineRule="auto"/>
        <w:tabs>
          <w:tab w:leader="none" w:pos="7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200" w:right="440" w:firstLine="9"/>
        <w:spacing w:after="0" w:line="255" w:lineRule="auto"/>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8"/>
          <w:szCs w:val="18"/>
          <w:color w:val="auto"/>
        </w:rPr>
      </w:pPr>
    </w:p>
    <w:p>
      <w:pPr>
        <w:ind w:left="500" w:right="320" w:firstLine="9"/>
        <w:spacing w:after="0" w:line="274" w:lineRule="auto"/>
        <w:tabs>
          <w:tab w:leader="none" w:pos="7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right="560" w:firstLine="9"/>
        <w:spacing w:after="0" w:line="276" w:lineRule="auto"/>
        <w:tabs>
          <w:tab w:leader="none" w:pos="77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ind w:left="40"/>
        <w:spacing w:after="0"/>
        <w:tabs>
          <w:tab w:leader="none" w:pos="2180" w:val="left"/>
          <w:tab w:leader="none" w:pos="6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2019</w:t>
      </w:r>
      <w:r>
        <w:rPr>
          <w:sz w:val="20"/>
          <w:szCs w:val="20"/>
          <w:color w:val="auto"/>
        </w:rPr>
        <w:tab/>
      </w:r>
      <w:r>
        <w:rPr>
          <w:rFonts w:ascii="Arial" w:cs="Arial" w:eastAsia="Arial" w:hAnsi="Arial"/>
          <w:sz w:val="17"/>
          <w:szCs w:val="17"/>
          <w:i w:val="1"/>
          <w:iCs w:val="1"/>
          <w:color w:val="auto"/>
        </w:rPr>
        <w:t>/s/ Leonard W. Mallett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wp:posOffset>
            </wp:positionV>
            <wp:extent cx="67837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1">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Leonard W. Mallett</w:t>
      </w:r>
    </w:p>
    <w:p>
      <w:pPr>
        <w:ind w:left="6800"/>
        <w:spacing w:after="0"/>
        <w:rPr>
          <w:sz w:val="20"/>
          <w:szCs w:val="20"/>
          <w:color w:val="auto"/>
        </w:rPr>
      </w:pPr>
      <w:r>
        <w:rPr>
          <w:rFonts w:ascii="Arial" w:cs="Arial" w:eastAsia="Arial" w:hAnsi="Arial"/>
          <w:sz w:val="18"/>
          <w:szCs w:val="18"/>
          <w:color w:val="auto"/>
        </w:rPr>
        <w:t>President, Chief Executive Officer and Director of Summit</w:t>
      </w:r>
    </w:p>
    <w:p>
      <w:pPr>
        <w:ind w:left="6800"/>
        <w:spacing w:after="0" w:line="234" w:lineRule="auto"/>
        <w:rPr>
          <w:sz w:val="20"/>
          <w:szCs w:val="20"/>
          <w:color w:val="auto"/>
        </w:rPr>
      </w:pPr>
      <w:r>
        <w:rPr>
          <w:rFonts w:ascii="Arial" w:cs="Arial" w:eastAsia="Arial" w:hAnsi="Arial"/>
          <w:sz w:val="18"/>
          <w:szCs w:val="18"/>
          <w:color w:val="auto"/>
        </w:rPr>
        <w:t>Midstream GP, LLC (the general partner of Summit</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Midstream Partners, LP)</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31.1-1</w:t>
      </w:r>
    </w:p>
    <w:p>
      <w:pPr>
        <w:sectPr>
          <w:pgSz w:w="11900" w:h="16838" w:orient="portrait"/>
          <w:cols w:equalWidth="0" w:num="1">
            <w:col w:w="11420"/>
          </w:cols>
          <w:pgMar w:left="240" w:top="11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I, Marc D. Stratton, certify that:</w:t>
      </w:r>
    </w:p>
    <w:p>
      <w:pPr>
        <w:spacing w:after="0" w:line="158" w:lineRule="exact"/>
        <w:rPr>
          <w:sz w:val="20"/>
          <w:szCs w:val="20"/>
          <w:color w:val="auto"/>
        </w:rPr>
      </w:pPr>
    </w:p>
    <w:p>
      <w:pPr>
        <w:ind w:left="400" w:hanging="191"/>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ind w:left="200" w:right="80" w:firstLine="9"/>
        <w:spacing w:after="0" w:line="255"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8"/>
          <w:szCs w:val="18"/>
          <w:color w:val="auto"/>
        </w:rPr>
      </w:pPr>
    </w:p>
    <w:p>
      <w:pPr>
        <w:ind w:left="200" w:right="460" w:firstLine="9"/>
        <w:spacing w:after="0" w:line="274"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200" w:right="20" w:firstLine="9"/>
        <w:spacing w:after="0" w:line="255"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 w:lineRule="exact"/>
        <w:rPr>
          <w:rFonts w:ascii="Arial" w:cs="Arial" w:eastAsia="Arial" w:hAnsi="Arial"/>
          <w:sz w:val="18"/>
          <w:szCs w:val="18"/>
          <w:color w:val="auto"/>
        </w:rPr>
      </w:pPr>
    </w:p>
    <w:p>
      <w:pPr>
        <w:ind w:left="500" w:right="140" w:firstLine="9"/>
        <w:spacing w:after="0" w:line="255" w:lineRule="auto"/>
        <w:tabs>
          <w:tab w:leader="none" w:pos="7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9" w:lineRule="exact"/>
        <w:rPr>
          <w:rFonts w:ascii="Arial" w:cs="Arial" w:eastAsia="Arial" w:hAnsi="Arial"/>
          <w:sz w:val="18"/>
          <w:szCs w:val="18"/>
          <w:color w:val="auto"/>
        </w:rPr>
      </w:pPr>
    </w:p>
    <w:p>
      <w:pPr>
        <w:ind w:left="500" w:right="180" w:firstLine="9"/>
        <w:spacing w:after="0" w:line="255" w:lineRule="auto"/>
        <w:tabs>
          <w:tab w:leader="none" w:pos="7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 w:lineRule="exact"/>
        <w:rPr>
          <w:rFonts w:ascii="Arial" w:cs="Arial" w:eastAsia="Arial" w:hAnsi="Arial"/>
          <w:sz w:val="18"/>
          <w:szCs w:val="18"/>
          <w:color w:val="auto"/>
        </w:rPr>
      </w:pPr>
    </w:p>
    <w:p>
      <w:pPr>
        <w:jc w:val="both"/>
        <w:ind w:left="500" w:right="100" w:firstLine="9"/>
        <w:spacing w:after="0" w:line="255" w:lineRule="auto"/>
        <w:tabs>
          <w:tab w:leader="none" w:pos="7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8"/>
          <w:szCs w:val="18"/>
          <w:color w:val="auto"/>
        </w:rPr>
      </w:pPr>
    </w:p>
    <w:p>
      <w:pPr>
        <w:ind w:left="500" w:firstLine="9"/>
        <w:spacing w:after="0" w:line="255" w:lineRule="auto"/>
        <w:tabs>
          <w:tab w:leader="none" w:pos="7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9" w:lineRule="exact"/>
        <w:rPr>
          <w:rFonts w:ascii="Arial" w:cs="Arial" w:eastAsia="Arial" w:hAnsi="Arial"/>
          <w:sz w:val="18"/>
          <w:szCs w:val="18"/>
          <w:color w:val="auto"/>
        </w:rPr>
      </w:pPr>
    </w:p>
    <w:p>
      <w:pPr>
        <w:ind w:left="200" w:right="440" w:firstLine="9"/>
        <w:spacing w:after="0" w:line="255" w:lineRule="auto"/>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8"/>
          <w:szCs w:val="18"/>
          <w:color w:val="auto"/>
        </w:rPr>
      </w:pPr>
    </w:p>
    <w:p>
      <w:pPr>
        <w:ind w:left="500" w:right="320" w:firstLine="9"/>
        <w:spacing w:after="0" w:line="274" w:lineRule="auto"/>
        <w:tabs>
          <w:tab w:leader="none" w:pos="7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right="560" w:firstLine="9"/>
        <w:spacing w:after="0" w:line="276" w:lineRule="auto"/>
        <w:tabs>
          <w:tab w:leader="none" w:pos="77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ind w:left="40"/>
        <w:spacing w:after="0"/>
        <w:tabs>
          <w:tab w:leader="none" w:pos="2180" w:val="left"/>
          <w:tab w:leader="none" w:pos="6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10, 2019</w:t>
      </w:r>
      <w:r>
        <w:rPr>
          <w:sz w:val="20"/>
          <w:szCs w:val="20"/>
          <w:color w:val="auto"/>
        </w:rPr>
        <w:tab/>
      </w: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11430</wp:posOffset>
            </wp:positionV>
            <wp:extent cx="67837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2">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Marc D. Stratton</w:t>
      </w:r>
    </w:p>
    <w:p>
      <w:pPr>
        <w:ind w:left="6800"/>
        <w:spacing w:after="0"/>
        <w:rPr>
          <w:sz w:val="20"/>
          <w:szCs w:val="20"/>
          <w:color w:val="auto"/>
        </w:rPr>
      </w:pPr>
      <w:r>
        <w:rPr>
          <w:rFonts w:ascii="Arial" w:cs="Arial" w:eastAsia="Arial" w:hAnsi="Arial"/>
          <w:sz w:val="18"/>
          <w:szCs w:val="18"/>
          <w:color w:val="auto"/>
        </w:rPr>
        <w:t>Executive Vice President and Chief Financial Officer of</w:t>
      </w:r>
    </w:p>
    <w:p>
      <w:pPr>
        <w:ind w:left="6800"/>
        <w:spacing w:after="0" w:line="234"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31.2-1</w:t>
      </w:r>
    </w:p>
    <w:p>
      <w:pPr>
        <w:sectPr>
          <w:pgSz w:w="11900" w:h="16838" w:orient="portrait"/>
          <w:cols w:equalWidth="0" w:num="1">
            <w:col w:w="11420"/>
          </w:cols>
          <w:pgMar w:left="240" w:top="11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36"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In connection with the quarterly report on Form 10-Q of Summit Midstream Partners, LP (the “Registrant”) for the quarterly period ended March 31, 2019, as filed with the Securities and Exchange Commission on the date hereof (the “Report”), the undersigned, Leonard W. Mallett,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182"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580" w:right="260" w:hanging="572"/>
        <w:spacing w:after="0" w:line="276"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3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 Leonard W. Mallett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40" w:type="dxa"/>
            <w:vAlign w:val="bottom"/>
            <w:tcBorders>
              <w:top w:val="single" w:sz="8" w:color="auto"/>
            </w:tcBorders>
          </w:tcPr>
          <w:p>
            <w:pPr>
              <w:ind w:left="60"/>
              <w:spacing w:after="0" w:line="187" w:lineRule="exact"/>
              <w:rPr>
                <w:sz w:val="20"/>
                <w:szCs w:val="20"/>
                <w:color w:val="auto"/>
              </w:rPr>
            </w:pPr>
            <w:r>
              <w:rPr>
                <w:rFonts w:ascii="Arial" w:cs="Arial" w:eastAsia="Arial" w:hAnsi="Arial"/>
                <w:sz w:val="18"/>
                <w:szCs w:val="18"/>
                <w:color w:val="auto"/>
              </w:rPr>
              <w:t>Name:</w:t>
            </w:r>
          </w:p>
        </w:tc>
        <w:tc>
          <w:tcPr>
            <w:tcW w:w="8060" w:type="dxa"/>
            <w:vAlign w:val="bottom"/>
            <w:tcBorders>
              <w:top w:val="single" w:sz="8" w:color="auto"/>
            </w:tcBorders>
          </w:tcPr>
          <w:p>
            <w:pPr>
              <w:ind w:left="260"/>
              <w:spacing w:after="0" w:line="187" w:lineRule="exact"/>
              <w:rPr>
                <w:sz w:val="20"/>
                <w:szCs w:val="20"/>
                <w:color w:val="auto"/>
              </w:rPr>
            </w:pPr>
            <w:r>
              <w:rPr>
                <w:rFonts w:ascii="Arial" w:cs="Arial" w:eastAsia="Arial" w:hAnsi="Arial"/>
                <w:sz w:val="18"/>
                <w:szCs w:val="18"/>
                <w:color w:val="auto"/>
              </w:rPr>
              <w:t>Leonard W. Mallett</w:t>
            </w:r>
          </w:p>
        </w:tc>
        <w:tc>
          <w:tcPr>
            <w:tcW w:w="0" w:type="dxa"/>
            <w:vAlign w:val="bottom"/>
          </w:tcPr>
          <w:p>
            <w:pPr>
              <w:spacing w:after="0"/>
              <w:rPr>
                <w:sz w:val="1"/>
                <w:szCs w:val="1"/>
                <w:color w:val="auto"/>
              </w:rPr>
            </w:pP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Title:</w:t>
            </w:r>
          </w:p>
        </w:tc>
        <w:tc>
          <w:tcPr>
            <w:tcW w:w="8060" w:type="dxa"/>
            <w:vAlign w:val="bottom"/>
          </w:tcPr>
          <w:p>
            <w:pPr>
              <w:ind w:left="260"/>
              <w:spacing w:after="0" w:line="202" w:lineRule="exact"/>
              <w:rPr>
                <w:sz w:val="20"/>
                <w:szCs w:val="20"/>
                <w:color w:val="auto"/>
              </w:rPr>
            </w:pPr>
            <w:r>
              <w:rPr>
                <w:rFonts w:ascii="Arial" w:cs="Arial" w:eastAsia="Arial" w:hAnsi="Arial"/>
                <w:sz w:val="18"/>
                <w:szCs w:val="18"/>
                <w:color w:val="auto"/>
              </w:rPr>
              <w:t>President, Chief Executive Officer and Director of Summit Midstream GP, LLC (the general</w:t>
            </w:r>
          </w:p>
        </w:tc>
        <w:tc>
          <w:tcPr>
            <w:tcW w:w="0" w:type="dxa"/>
            <w:vAlign w:val="bottom"/>
          </w:tcPr>
          <w:p>
            <w:pPr>
              <w:spacing w:after="0"/>
              <w:rPr>
                <w:sz w:val="1"/>
                <w:szCs w:val="1"/>
                <w:color w:val="auto"/>
              </w:rPr>
            </w:pPr>
          </w:p>
        </w:tc>
      </w:tr>
      <w:tr>
        <w:trPr>
          <w:trHeight w:val="216"/>
        </w:trPr>
        <w:tc>
          <w:tcPr>
            <w:tcW w:w="840" w:type="dxa"/>
            <w:vAlign w:val="bottom"/>
            <w:vMerge w:val="restart"/>
          </w:tcPr>
          <w:p>
            <w:pPr>
              <w:ind w:left="60"/>
              <w:spacing w:after="0"/>
              <w:rPr>
                <w:sz w:val="20"/>
                <w:szCs w:val="20"/>
                <w:color w:val="auto"/>
              </w:rPr>
            </w:pPr>
            <w:r>
              <w:rPr>
                <w:rFonts w:ascii="Arial" w:cs="Arial" w:eastAsia="Arial" w:hAnsi="Arial"/>
                <w:sz w:val="18"/>
                <w:szCs w:val="18"/>
                <w:color w:val="auto"/>
              </w:rPr>
              <w:t>Date:</w:t>
            </w:r>
          </w:p>
        </w:tc>
        <w:tc>
          <w:tcPr>
            <w:tcW w:w="8060" w:type="dxa"/>
            <w:vAlign w:val="bottom"/>
          </w:tcPr>
          <w:p>
            <w:pPr>
              <w:ind w:left="260"/>
              <w:spacing w:after="0"/>
              <w:rPr>
                <w:sz w:val="20"/>
                <w:szCs w:val="20"/>
                <w:color w:val="auto"/>
              </w:rPr>
            </w:pPr>
            <w:r>
              <w:rPr>
                <w:rFonts w:ascii="Arial" w:cs="Arial" w:eastAsia="Arial" w:hAnsi="Arial"/>
                <w:sz w:val="18"/>
                <w:szCs w:val="18"/>
                <w:color w:val="auto"/>
              </w:rPr>
              <w:t>partner of Summit Midstream Partners, LP)</w:t>
            </w:r>
          </w:p>
        </w:tc>
        <w:tc>
          <w:tcPr>
            <w:tcW w:w="0" w:type="dxa"/>
            <w:vAlign w:val="bottom"/>
          </w:tcPr>
          <w:p>
            <w:pPr>
              <w:spacing w:after="0"/>
              <w:rPr>
                <w:sz w:val="1"/>
                <w:szCs w:val="1"/>
                <w:color w:val="auto"/>
              </w:rPr>
            </w:pPr>
          </w:p>
        </w:tc>
      </w:tr>
      <w:tr>
        <w:trPr>
          <w:trHeight w:val="243"/>
        </w:trPr>
        <w:tc>
          <w:tcPr>
            <w:tcW w:w="840" w:type="dxa"/>
            <w:vAlign w:val="bottom"/>
            <w:vMerge w:val="continue"/>
          </w:tcPr>
          <w:p>
            <w:pPr>
              <w:spacing w:after="0"/>
              <w:rPr>
                <w:sz w:val="21"/>
                <w:szCs w:val="21"/>
                <w:color w:val="auto"/>
              </w:rPr>
            </w:pPr>
          </w:p>
        </w:tc>
        <w:tc>
          <w:tcPr>
            <w:tcW w:w="8060" w:type="dxa"/>
            <w:vAlign w:val="bottom"/>
          </w:tcPr>
          <w:p>
            <w:pPr>
              <w:ind w:left="260"/>
              <w:spacing w:after="0"/>
              <w:rPr>
                <w:sz w:val="20"/>
                <w:szCs w:val="20"/>
                <w:color w:val="auto"/>
              </w:rPr>
            </w:pPr>
            <w:r>
              <w:rPr>
                <w:rFonts w:ascii="Arial" w:cs="Arial" w:eastAsia="Arial" w:hAnsi="Arial"/>
                <w:sz w:val="18"/>
                <w:szCs w:val="18"/>
                <w:color w:val="auto"/>
              </w:rPr>
              <w:t>May 10, 2019</w:t>
            </w:r>
          </w:p>
        </w:tc>
        <w:tc>
          <w:tcPr>
            <w:tcW w:w="0" w:type="dxa"/>
            <w:vAlign w:val="bottom"/>
          </w:tcPr>
          <w:p>
            <w:pPr>
              <w:spacing w:after="0"/>
              <w:rPr>
                <w:sz w:val="1"/>
                <w:szCs w:val="1"/>
                <w:color w:val="auto"/>
              </w:rPr>
            </w:pPr>
          </w:p>
        </w:tc>
      </w:tr>
      <w:tr>
        <w:trPr>
          <w:trHeight w:val="631"/>
        </w:trPr>
        <w:tc>
          <w:tcPr>
            <w:tcW w:w="890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i w:val="1"/>
                <w:iCs w:val="1"/>
                <w:color w:val="auto"/>
              </w:rPr>
              <w:t>/s/ Marc D. Stratton</w:t>
            </w:r>
          </w:p>
        </w:tc>
        <w:tc>
          <w:tcPr>
            <w:tcW w:w="0" w:type="dxa"/>
            <w:vAlign w:val="bottom"/>
          </w:tcPr>
          <w:p>
            <w:pPr>
              <w:spacing w:after="0"/>
              <w:rPr>
                <w:sz w:val="1"/>
                <w:szCs w:val="1"/>
                <w:color w:val="auto"/>
              </w:rPr>
            </w:pPr>
          </w:p>
        </w:tc>
      </w:tr>
      <w:tr>
        <w:trPr>
          <w:trHeight w:val="187"/>
        </w:trPr>
        <w:tc>
          <w:tcPr>
            <w:tcW w:w="840" w:type="dxa"/>
            <w:vAlign w:val="bottom"/>
          </w:tcPr>
          <w:p>
            <w:pPr>
              <w:ind w:left="60"/>
              <w:spacing w:after="0" w:line="187" w:lineRule="exact"/>
              <w:rPr>
                <w:sz w:val="20"/>
                <w:szCs w:val="20"/>
                <w:color w:val="auto"/>
              </w:rPr>
            </w:pPr>
            <w:r>
              <w:rPr>
                <w:rFonts w:ascii="Arial" w:cs="Arial" w:eastAsia="Arial" w:hAnsi="Arial"/>
                <w:sz w:val="18"/>
                <w:szCs w:val="18"/>
                <w:color w:val="auto"/>
              </w:rPr>
              <w:t>Name:</w:t>
            </w:r>
          </w:p>
        </w:tc>
        <w:tc>
          <w:tcPr>
            <w:tcW w:w="8060" w:type="dxa"/>
            <w:vAlign w:val="bottom"/>
          </w:tcPr>
          <w:p>
            <w:pPr>
              <w:ind w:left="260"/>
              <w:spacing w:after="0" w:line="187" w:lineRule="exact"/>
              <w:rPr>
                <w:sz w:val="20"/>
                <w:szCs w:val="20"/>
                <w:color w:val="auto"/>
              </w:rPr>
            </w:pPr>
            <w:r>
              <w:rPr>
                <w:rFonts w:ascii="Arial" w:cs="Arial" w:eastAsia="Arial" w:hAnsi="Arial"/>
                <w:sz w:val="18"/>
                <w:szCs w:val="18"/>
                <w:color w:val="auto"/>
              </w:rPr>
              <w:t>Marc D. Stratton</w:t>
            </w:r>
          </w:p>
        </w:tc>
        <w:tc>
          <w:tcPr>
            <w:tcW w:w="0" w:type="dxa"/>
            <w:vAlign w:val="bottom"/>
          </w:tcPr>
          <w:p>
            <w:pPr>
              <w:spacing w:after="0"/>
              <w:rPr>
                <w:sz w:val="1"/>
                <w:szCs w:val="1"/>
                <w:color w:val="auto"/>
              </w:rPr>
            </w:pP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Title:</w:t>
            </w:r>
          </w:p>
        </w:tc>
        <w:tc>
          <w:tcPr>
            <w:tcW w:w="8060" w:type="dxa"/>
            <w:vAlign w:val="bottom"/>
          </w:tcPr>
          <w:p>
            <w:pPr>
              <w:ind w:left="260"/>
              <w:spacing w:after="0" w:line="202" w:lineRule="exact"/>
              <w:rPr>
                <w:sz w:val="20"/>
                <w:szCs w:val="20"/>
                <w:color w:val="auto"/>
              </w:rPr>
            </w:pPr>
            <w:r>
              <w:rPr>
                <w:rFonts w:ascii="Arial" w:cs="Arial" w:eastAsia="Arial" w:hAnsi="Arial"/>
                <w:sz w:val="18"/>
                <w:szCs w:val="18"/>
                <w:color w:val="auto"/>
              </w:rPr>
              <w:t>Executive Vice President and Chief Financial Officer of Summit Midstream GP, LLC (the general</w:t>
            </w:r>
          </w:p>
        </w:tc>
        <w:tc>
          <w:tcPr>
            <w:tcW w:w="0" w:type="dxa"/>
            <w:vAlign w:val="bottom"/>
          </w:tcPr>
          <w:p>
            <w:pPr>
              <w:spacing w:after="0"/>
              <w:rPr>
                <w:sz w:val="1"/>
                <w:szCs w:val="1"/>
                <w:color w:val="auto"/>
              </w:rPr>
            </w:pPr>
          </w:p>
        </w:tc>
      </w:tr>
      <w:tr>
        <w:trPr>
          <w:trHeight w:val="216"/>
        </w:trPr>
        <w:tc>
          <w:tcPr>
            <w:tcW w:w="840" w:type="dxa"/>
            <w:vAlign w:val="bottom"/>
            <w:vMerge w:val="restart"/>
          </w:tcPr>
          <w:p>
            <w:pPr>
              <w:ind w:left="60"/>
              <w:spacing w:after="0"/>
              <w:rPr>
                <w:sz w:val="20"/>
                <w:szCs w:val="20"/>
                <w:color w:val="auto"/>
              </w:rPr>
            </w:pPr>
            <w:r>
              <w:rPr>
                <w:rFonts w:ascii="Arial" w:cs="Arial" w:eastAsia="Arial" w:hAnsi="Arial"/>
                <w:sz w:val="18"/>
                <w:szCs w:val="18"/>
                <w:color w:val="auto"/>
              </w:rPr>
              <w:t>Date:</w:t>
            </w:r>
          </w:p>
        </w:tc>
        <w:tc>
          <w:tcPr>
            <w:tcW w:w="8060" w:type="dxa"/>
            <w:vAlign w:val="bottom"/>
          </w:tcPr>
          <w:p>
            <w:pPr>
              <w:ind w:left="260"/>
              <w:spacing w:after="0"/>
              <w:rPr>
                <w:sz w:val="20"/>
                <w:szCs w:val="20"/>
                <w:color w:val="auto"/>
              </w:rPr>
            </w:pPr>
            <w:r>
              <w:rPr>
                <w:rFonts w:ascii="Arial" w:cs="Arial" w:eastAsia="Arial" w:hAnsi="Arial"/>
                <w:sz w:val="18"/>
                <w:szCs w:val="18"/>
                <w:color w:val="auto"/>
              </w:rPr>
              <w:t>partner of Summit Midstream Partners, LP)</w:t>
            </w:r>
          </w:p>
        </w:tc>
        <w:tc>
          <w:tcPr>
            <w:tcW w:w="0" w:type="dxa"/>
            <w:vAlign w:val="bottom"/>
          </w:tcPr>
          <w:p>
            <w:pPr>
              <w:spacing w:after="0"/>
              <w:rPr>
                <w:sz w:val="1"/>
                <w:szCs w:val="1"/>
                <w:color w:val="auto"/>
              </w:rPr>
            </w:pPr>
          </w:p>
        </w:tc>
      </w:tr>
      <w:tr>
        <w:trPr>
          <w:trHeight w:val="243"/>
        </w:trPr>
        <w:tc>
          <w:tcPr>
            <w:tcW w:w="840" w:type="dxa"/>
            <w:vAlign w:val="bottom"/>
            <w:vMerge w:val="continue"/>
          </w:tcPr>
          <w:p>
            <w:pPr>
              <w:spacing w:after="0"/>
              <w:rPr>
                <w:sz w:val="21"/>
                <w:szCs w:val="21"/>
                <w:color w:val="auto"/>
              </w:rPr>
            </w:pPr>
          </w:p>
        </w:tc>
        <w:tc>
          <w:tcPr>
            <w:tcW w:w="8060" w:type="dxa"/>
            <w:vAlign w:val="bottom"/>
          </w:tcPr>
          <w:p>
            <w:pPr>
              <w:ind w:left="260"/>
              <w:spacing w:after="0"/>
              <w:rPr>
                <w:sz w:val="20"/>
                <w:szCs w:val="20"/>
                <w:color w:val="auto"/>
              </w:rPr>
            </w:pPr>
            <w:r>
              <w:rPr>
                <w:rFonts w:ascii="Arial" w:cs="Arial" w:eastAsia="Arial" w:hAnsi="Arial"/>
                <w:sz w:val="18"/>
                <w:szCs w:val="18"/>
                <w:color w:val="auto"/>
              </w:rPr>
              <w:t>May 10, 2019</w:t>
            </w:r>
          </w:p>
        </w:tc>
        <w:tc>
          <w:tcPr>
            <w:tcW w:w="0" w:type="dxa"/>
            <w:vAlign w:val="bottom"/>
          </w:tcPr>
          <w:p>
            <w:pPr>
              <w:spacing w:after="0"/>
              <w:rPr>
                <w:sz w:val="1"/>
                <w:szCs w:val="1"/>
                <w:color w:val="auto"/>
              </w:rPr>
            </w:pPr>
          </w:p>
        </w:tc>
      </w:tr>
      <w:tr>
        <w:trPr>
          <w:trHeight w:val="932"/>
        </w:trPr>
        <w:tc>
          <w:tcPr>
            <w:tcW w:w="840" w:type="dxa"/>
            <w:vAlign w:val="bottom"/>
          </w:tcPr>
          <w:p>
            <w:pPr>
              <w:spacing w:after="0"/>
              <w:rPr>
                <w:sz w:val="24"/>
                <w:szCs w:val="24"/>
                <w:color w:val="auto"/>
              </w:rPr>
            </w:pPr>
          </w:p>
        </w:tc>
        <w:tc>
          <w:tcPr>
            <w:tcW w:w="8060" w:type="dxa"/>
            <w:vAlign w:val="bottom"/>
          </w:tcPr>
          <w:p>
            <w:pPr>
              <w:ind w:left="4480"/>
              <w:spacing w:after="0"/>
              <w:rPr>
                <w:sz w:val="20"/>
                <w:szCs w:val="20"/>
                <w:color w:val="auto"/>
              </w:rPr>
            </w:pPr>
            <w:r>
              <w:rPr>
                <w:rFonts w:ascii="Arial" w:cs="Arial" w:eastAsia="Arial" w:hAnsi="Arial"/>
                <w:sz w:val="18"/>
                <w:szCs w:val="18"/>
                <w:color w:val="auto"/>
              </w:rPr>
              <w:t>EX 32.1-1</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decimal"/>
      <w:start w:val="2"/>
    </w:lvl>
    <w:lvl w:ilvl="1">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lowerRoman"/>
      <w:start w:val="3"/>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8" Type="http://schemas.openxmlformats.org/officeDocument/2006/relationships/image" Target="media/image91.png"/><Relationship Id="rId109" Type="http://schemas.openxmlformats.org/officeDocument/2006/relationships/image" Target="media/image92.png"/><Relationship Id="rId110" Type="http://schemas.openxmlformats.org/officeDocument/2006/relationships/image" Target="media/image93.png"/><Relationship Id="rId111" Type="http://schemas.openxmlformats.org/officeDocument/2006/relationships/image" Target="media/image94.png"/><Relationship Id="rId112" Type="http://schemas.openxmlformats.org/officeDocument/2006/relationships/image" Target="media/image95.png"/><Relationship Id="rId98" Type="http://schemas.openxmlformats.org/officeDocument/2006/relationships/hyperlink" Target="http://www.sec.gov/Archives/edgar/data/1549922/000156459019009022/smlp-ex31_11.htm" TargetMode="External"/><Relationship Id="rId99" Type="http://schemas.openxmlformats.org/officeDocument/2006/relationships/hyperlink" Target="http://www.sec.gov/Archives/edgar/data/1549922/000110465912067606/a12-22459_2ex3d2.htm" TargetMode="External"/><Relationship Id="rId100" Type="http://schemas.openxmlformats.org/officeDocument/2006/relationships/hyperlink" Target="http://www.sec.gov/Archives/edgar/data/1549922/000104746912008450/a2209444zex-3_1.htm" TargetMode="External"/><Relationship Id="rId101" Type="http://schemas.openxmlformats.org/officeDocument/2006/relationships/hyperlink" Target="http://www.sec.gov/Archives/edgar/data/1549922/000104746912008450/a2209444zex-3_4.htm" TargetMode="External"/><Relationship Id="rId102" Type="http://schemas.openxmlformats.org/officeDocument/2006/relationships/hyperlink" Target="http://www.sec.gov/Archives/edgar/data/1549922/000156459019000044/smlp-ex101_7.htm" TargetMode="External"/><Relationship Id="rId103" Type="http://schemas.openxmlformats.org/officeDocument/2006/relationships/hyperlink" Target="http://www.sec.gov/Archives/edgar/data/1549922/000156459019002191/smlp-ex101_6.htm" TargetMode="External"/><Relationship Id="rId104" Type="http://schemas.openxmlformats.org/officeDocument/2006/relationships/hyperlink" Target="http://www.sec.gov/Archives/edgar/data/1549922/000156459019004248/smlp-ex101_11.htm" TargetMode="External"/><Relationship Id="rId105" Type="http://schemas.openxmlformats.org/officeDocument/2006/relationships/hyperlink" Target="http://www.sec.gov/Archives/edgar/data/1549922/000156459019004248/smlp-ex102_9.htm" TargetMode="External"/><Relationship Id="rId106" Type="http://schemas.openxmlformats.org/officeDocument/2006/relationships/hyperlink" Target="http://www.sec.gov/Archives/edgar/data/1549922/000156459019004248/smlp-ex103_10.htm" TargetMode="External"/><Relationship Id="rId107" Type="http://schemas.openxmlformats.org/officeDocument/2006/relationships/hyperlink" Target="http://www.sec.gov/Archives/edgar/data/1549922/000156459019004248/smlp-ex104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2019-12-28T12:12:46Z</dcterms:created>
  <dcterms:modified xsi:type="dcterms:W3CDTF">2019-12-28T12:12:46Z</dcterms:modified>
</cp:coreProperties>
</file>