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Connect Midstream, LLC</w:t>
              </w:r>
            </w:hyperlink>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Summit Midstream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SMC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4020 MAPLE AVE</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60" w:type="dxa"/>
            <w:vAlign w:val="bottom"/>
            <w:gridSpan w:val="9"/>
          </w:tcPr>
          <w:p>
            <w:pPr>
              <w:ind w:left="160"/>
              <w:spacing w:after="0"/>
              <w:rPr>
                <w:sz w:val="20"/>
                <w:szCs w:val="20"/>
                <w:color w:val="auto"/>
              </w:rPr>
            </w:pPr>
            <w:r>
              <w:rPr>
                <w:rFonts w:ascii="Times New Roman" w:cs="Times New Roman" w:eastAsia="Times New Roman" w:hAnsi="Times New Roman"/>
                <w:sz w:val="17"/>
                <w:szCs w:val="17"/>
                <w:color w:val="0000FF"/>
              </w:rPr>
              <w:t>03/31/2026</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200</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0"/>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DALLAS</w:t>
            </w:r>
          </w:p>
        </w:tc>
        <w:tc>
          <w:tcPr>
            <w:tcW w:w="112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7"/>
                <w:szCs w:val="17"/>
                <w:color w:val="0000FF"/>
              </w:rPr>
              <w:t>TX</w:t>
            </w:r>
          </w:p>
        </w:tc>
        <w:tc>
          <w:tcPr>
            <w:tcW w:w="13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7"/>
                <w:szCs w:val="17"/>
                <w:color w:val="0000FF"/>
              </w:rPr>
              <w:t>75219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gridSpan w:val="2"/>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24"/>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4"/>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40" w:type="dxa"/>
            <w:vAlign w:val="bottom"/>
          </w:tcPr>
          <w:p>
            <w:pPr>
              <w:spacing w:after="0"/>
              <w:rPr>
                <w:sz w:val="15"/>
                <w:szCs w:val="15"/>
                <w:color w:val="auto"/>
              </w:rPr>
            </w:pPr>
          </w:p>
        </w:tc>
        <w:tc>
          <w:tcPr>
            <w:tcW w:w="1540" w:type="dxa"/>
            <w:vAlign w:val="bottom"/>
            <w:gridSpan w:val="5"/>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5"/>
                <w:szCs w:val="15"/>
                <w:color w:val="auto"/>
              </w:rPr>
            </w:pPr>
          </w:p>
        </w:tc>
        <w:tc>
          <w:tcPr>
            <w:tcW w:w="18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gridSpan w:val="5"/>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4"/>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4180" w:type="dxa"/>
            <w:vAlign w:val="bottom"/>
            <w:tcBorders>
              <w:bottom w:val="single" w:sz="8" w:color="2C2C2C"/>
            </w:tcBorders>
            <w:gridSpan w:val="12"/>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   03/31/2026</w:t>
            </w: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1,220,918</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31.08</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1,367,397</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80" w:type="dxa"/>
            <w:vAlign w:val="bottom"/>
            <w:gridSpan w:val="18"/>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5"/>
                <w:szCs w:val="15"/>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4"/>
          </w:tcPr>
          <w:p>
            <w:pPr>
              <w:spacing w:after="0"/>
              <w:rPr>
                <w:sz w:val="7"/>
                <w:szCs w:val="7"/>
                <w:color w:val="auto"/>
              </w:rPr>
            </w:pPr>
          </w:p>
        </w:tc>
        <w:tc>
          <w:tcPr>
            <w:tcW w:w="340" w:type="dxa"/>
            <w:vAlign w:val="bottom"/>
            <w:tcBorders>
              <w:bottom w:val="single" w:sz="8" w:color="2C2C2C"/>
            </w:tcBorders>
            <w:gridSpan w:val="2"/>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Connect Midstream, LLC</w:t>
              </w:r>
            </w:hyperlink>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4020 MAPLE AVE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200</w:t>
            </w: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75219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4"/>
          </w:tcPr>
          <w:p>
            <w:pPr>
              <w:spacing w:after="0"/>
              <w:rPr>
                <w:sz w:val="7"/>
                <w:szCs w:val="7"/>
                <w:color w:val="auto"/>
              </w:rPr>
            </w:pPr>
          </w:p>
        </w:tc>
        <w:tc>
          <w:tcPr>
            <w:tcW w:w="340" w:type="dxa"/>
            <w:vAlign w:val="bottom"/>
            <w:tcBorders>
              <w:bottom w:val="single" w:sz="8" w:color="2C2C2C"/>
            </w:tcBorders>
            <w:gridSpan w:val="2"/>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Tailwater Energy Fund III LP</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4020 MAPLE AVE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200</w:t>
            </w: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75219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Tailwater Capital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51911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5191125"/>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4020 MAPLE AVE</w:t>
            </w: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200</w:t>
            </w: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75219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gridSpan w:val="2"/>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Downie Jason H</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4020 MAPLE AVE</w:t>
            </w: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200</w:t>
            </w: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75219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gridSpan w:val="2"/>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Herring Edward</w:t>
              </w:r>
            </w:hyperlink>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4020 MAPLE AVE</w:t>
            </w: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1250</w:t>
            </w: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75219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held directly by Connect Midstream, LLC. Tailwater Energy Fund III LP is the sole member of Connect Midstream, LLC. TW GP EF-III LP is the general partner of Tailwater Energy Fund III LP. TW GP EF-III GP, LLC is the general partner of TW GP EF-III LP. Tailwater Capital LLC is the sole member of TW GP EF-III GP, LLC. Jason Downie and Edward Herring are each a Managing Partner of Tailwater Capital LLC. Each of the foregoing disclaim beneficial ownership of the reported securities directly held by Connect Midstream, LLC except to the extent of their respective pecuniary interest therein.</w:t>
      </w:r>
    </w:p>
    <w:p>
      <w:pPr>
        <w:sectPr>
          <w:pgSz w:w="11900" w:h="16838" w:orient="portrait"/>
          <w:cols w:equalWidth="0" w:num="1">
            <w:col w:w="10580"/>
          </w:cols>
          <w:pgMar w:left="480" w:top="111" w:right="839" w:bottom="1440" w:gutter="0" w:footer="0" w:header="0"/>
        </w:sectPr>
      </w:pP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Connect Midstream,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47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Jason H. Downie,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Tailwater Energy Fund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188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TW GP EF-III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03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TW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88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EF-III 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39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Tailwater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7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sole member,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04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3004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Jason H. Downie,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53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Tailwater Capital,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357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Jason H. Downie,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137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91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8700" w:space="60"/>
            <w:col w:w="1820"/>
          </w:cols>
          <w:pgMar w:left="480" w:top="111" w:right="839" w:bottom="1440" w:gutter="0" w:footer="0" w:header="0"/>
          <w:type w:val="continuous"/>
        </w:sectPr>
      </w:pPr>
    </w:p>
    <w:tbl>
      <w:tblPr>
        <w:tblLayout w:type="fixed"/>
        <w:tblInd w:w="656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Jason H. Downie</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04/13/2026</w:t>
            </w:r>
          </w:p>
        </w:tc>
      </w:tr>
      <w:tr>
        <w:trPr>
          <w:trHeight w:val="247"/>
        </w:trPr>
        <w:tc>
          <w:tcPr>
            <w:tcW w:w="1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Edward Herring</w:t>
            </w:r>
          </w:p>
        </w:tc>
        <w:tc>
          <w:tcPr>
            <w:tcW w:w="60" w:type="dxa"/>
            <w:vAlign w:val="bottom"/>
            <w:tcBorders>
              <w:top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04/13/2026</w:t>
            </w: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286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580"/>
      </w:cols>
      <w:pgMar w:left="480" w:top="111" w:right="8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13" Type="http://schemas.openxmlformats.org/officeDocument/2006/relationships/hyperlink" Target="http://www.sec.gov/cgi-bin/browse-edgar?action=getcompany&amp;CIK=0002045908" TargetMode="External"/><Relationship Id="rId14" Type="http://schemas.openxmlformats.org/officeDocument/2006/relationships/hyperlink" Target="http://www.sec.gov/cgi-bin/browse-edgar?action=getcompany&amp;CIK=0002024218" TargetMode="External"/><Relationship Id="rId15" Type="http://schemas.openxmlformats.org/officeDocument/2006/relationships/hyperlink" Target="http://www.sec.gov/cgi-bin/browse-edgar?action=getcompany&amp;CIK=0001710146" TargetMode="External"/><Relationship Id="rId17" Type="http://schemas.openxmlformats.org/officeDocument/2006/relationships/hyperlink" Target="http://www.sec.gov/cgi-bin/browse-edgar?action=getcompany&amp;CIK=0001615830" TargetMode="External"/><Relationship Id="rId19" Type="http://schemas.openxmlformats.org/officeDocument/2006/relationships/hyperlink" Target="http://www.sec.gov/cgi-bin/browse-edgar?action=getcompany&amp;CIK=0001351303" TargetMode="External"/><Relationship Id="rId20" Type="http://schemas.openxmlformats.org/officeDocument/2006/relationships/hyperlink" Target="http://www.sec.gov/cgi-bin/browse-edgar?action=getcompany&amp;CIK=00014831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2026-04-13T15:13:10Z</dcterms:created>
  <dcterms:modified xsi:type="dcterms:W3CDTF">2026-04-13T15:13:10Z</dcterms:modified>
</cp:coreProperties>
</file>