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-99695</wp:posOffset>
            </wp:positionV>
            <wp:extent cx="78105" cy="793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2020</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-89535</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71" w:lineRule="exact"/>
        <w:rPr>
          <w:sz w:val="24"/>
          <w:szCs w:val="24"/>
          <w:color w:val="auto"/>
        </w:rPr>
      </w:pPr>
    </w:p>
    <w:p>
      <w:pPr>
        <w:ind w:left="422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2"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Commission file number: 001-35666</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Summit Midstream Partners, LP</w:t>
      </w:r>
    </w:p>
    <w:p>
      <w:pPr>
        <w:spacing w:after="0" w:line="114" w:lineRule="exact"/>
        <w:rPr>
          <w:sz w:val="24"/>
          <w:szCs w:val="24"/>
          <w:color w:val="auto"/>
        </w:rPr>
      </w:pPr>
    </w:p>
    <w:tbl>
      <w:tblPr>
        <w:tblLayout w:type="fixed"/>
        <w:tblInd w:w="1380" w:type="dxa"/>
        <w:tblCellMar>
          <w:top w:w="0" w:type="dxa"/>
          <w:left w:w="0" w:type="dxa"/>
          <w:bottom w:w="0" w:type="dxa"/>
          <w:right w:w="0" w:type="dxa"/>
        </w:tblCellMar>
      </w:tblPr>
      <w:tr>
        <w:trPr>
          <w:trHeight w:val="195"/>
        </w:trPr>
        <w:tc>
          <w:tcPr>
            <w:tcW w:w="6320" w:type="dxa"/>
            <w:vAlign w:val="bottom"/>
          </w:tcPr>
          <w:p>
            <w:pPr>
              <w:jc w:val="center"/>
              <w:ind w:left="2079"/>
              <w:spacing w:after="0"/>
              <w:rPr>
                <w:sz w:val="20"/>
                <w:szCs w:val="20"/>
                <w:color w:val="auto"/>
              </w:rPr>
            </w:pPr>
            <w:r>
              <w:rPr>
                <w:rFonts w:ascii="Arial" w:cs="Arial" w:eastAsia="Arial" w:hAnsi="Arial"/>
                <w:sz w:val="16"/>
                <w:szCs w:val="16"/>
                <w:color w:val="auto"/>
              </w:rPr>
              <w:t>(Exact name of registrant as specified in its charter)</w:t>
            </w:r>
          </w:p>
        </w:tc>
        <w:tc>
          <w:tcPr>
            <w:tcW w:w="1420" w:type="dxa"/>
            <w:vAlign w:val="bottom"/>
          </w:tcPr>
          <w:p>
            <w:pPr>
              <w:spacing w:after="0"/>
              <w:rPr>
                <w:sz w:val="16"/>
                <w:szCs w:val="16"/>
                <w:color w:val="auto"/>
              </w:rPr>
            </w:pPr>
          </w:p>
        </w:tc>
      </w:tr>
      <w:tr>
        <w:trPr>
          <w:trHeight w:val="264"/>
        </w:trPr>
        <w:tc>
          <w:tcPr>
            <w:tcW w:w="6320" w:type="dxa"/>
            <w:vAlign w:val="bottom"/>
          </w:tcPr>
          <w:p>
            <w:pPr>
              <w:jc w:val="center"/>
              <w:ind w:right="3479"/>
              <w:spacing w:after="0"/>
              <w:rPr>
                <w:sz w:val="20"/>
                <w:szCs w:val="20"/>
                <w:color w:val="auto"/>
              </w:rPr>
            </w:pPr>
            <w:r>
              <w:rPr>
                <w:rFonts w:ascii="Arial" w:cs="Arial" w:eastAsia="Arial" w:hAnsi="Arial"/>
                <w:sz w:val="16"/>
                <w:szCs w:val="16"/>
                <w:b w:val="1"/>
                <w:bCs w:val="1"/>
                <w:color w:val="auto"/>
              </w:rPr>
              <w:t>Delaware</w:t>
            </w: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auto"/>
              </w:rPr>
              <w:t>45-5200503</w:t>
            </w:r>
          </w:p>
        </w:tc>
      </w:tr>
      <w:tr>
        <w:trPr>
          <w:trHeight w:val="189"/>
        </w:trPr>
        <w:tc>
          <w:tcPr>
            <w:tcW w:w="6320" w:type="dxa"/>
            <w:vAlign w:val="bottom"/>
          </w:tcPr>
          <w:p>
            <w:pPr>
              <w:jc w:val="center"/>
              <w:ind w:right="3479"/>
              <w:spacing w:after="0"/>
              <w:rPr>
                <w:sz w:val="20"/>
                <w:szCs w:val="20"/>
                <w:color w:val="auto"/>
              </w:rPr>
            </w:pPr>
            <w:r>
              <w:rPr>
                <w:rFonts w:ascii="Arial" w:cs="Arial" w:eastAsia="Arial" w:hAnsi="Arial"/>
                <w:sz w:val="16"/>
                <w:szCs w:val="16"/>
                <w:color w:val="auto"/>
              </w:rPr>
              <w:t>(State or other jurisdiction of</w:t>
            </w:r>
          </w:p>
        </w:tc>
        <w:tc>
          <w:tcPr>
            <w:tcW w:w="1420" w:type="dxa"/>
            <w:vAlign w:val="bottom"/>
          </w:tcPr>
          <w:p>
            <w:pPr>
              <w:jc w:val="center"/>
              <w:ind w:left="79"/>
              <w:spacing w:after="0"/>
              <w:rPr>
                <w:sz w:val="20"/>
                <w:szCs w:val="20"/>
                <w:color w:val="auto"/>
              </w:rPr>
            </w:pPr>
            <w:r>
              <w:rPr>
                <w:rFonts w:ascii="Arial" w:cs="Arial" w:eastAsia="Arial" w:hAnsi="Arial"/>
                <w:sz w:val="16"/>
                <w:szCs w:val="16"/>
                <w:color w:val="auto"/>
              </w:rPr>
              <w:t>(I.R.S. Employer</w:t>
            </w:r>
          </w:p>
        </w:tc>
      </w:tr>
      <w:tr>
        <w:trPr>
          <w:trHeight w:val="195"/>
        </w:trPr>
        <w:tc>
          <w:tcPr>
            <w:tcW w:w="6320" w:type="dxa"/>
            <w:vAlign w:val="bottom"/>
          </w:tcPr>
          <w:p>
            <w:pPr>
              <w:jc w:val="center"/>
              <w:ind w:right="3479"/>
              <w:spacing w:after="0"/>
              <w:rPr>
                <w:sz w:val="20"/>
                <w:szCs w:val="20"/>
                <w:color w:val="auto"/>
              </w:rPr>
            </w:pPr>
            <w:r>
              <w:rPr>
                <w:rFonts w:ascii="Arial" w:cs="Arial" w:eastAsia="Arial" w:hAnsi="Arial"/>
                <w:sz w:val="16"/>
                <w:szCs w:val="16"/>
                <w:color w:val="auto"/>
              </w:rPr>
              <w:t>incorporation or organization)</w:t>
            </w:r>
          </w:p>
        </w:tc>
        <w:tc>
          <w:tcPr>
            <w:tcW w:w="1420" w:type="dxa"/>
            <w:vAlign w:val="bottom"/>
          </w:tcPr>
          <w:p>
            <w:pPr>
              <w:jc w:val="center"/>
              <w:ind w:left="79"/>
              <w:spacing w:after="0"/>
              <w:rPr>
                <w:sz w:val="20"/>
                <w:szCs w:val="20"/>
                <w:color w:val="auto"/>
              </w:rPr>
            </w:pPr>
            <w:r>
              <w:rPr>
                <w:rFonts w:ascii="Arial" w:cs="Arial" w:eastAsia="Arial" w:hAnsi="Arial"/>
                <w:sz w:val="16"/>
                <w:szCs w:val="16"/>
                <w:color w:val="auto"/>
              </w:rPr>
              <w:t>Identification No.)</w:t>
            </w:r>
          </w:p>
        </w:tc>
      </w:tr>
      <w:tr>
        <w:trPr>
          <w:trHeight w:val="244"/>
        </w:trPr>
        <w:tc>
          <w:tcPr>
            <w:tcW w:w="6320" w:type="dxa"/>
            <w:vAlign w:val="bottom"/>
          </w:tcPr>
          <w:p>
            <w:pPr>
              <w:jc w:val="center"/>
              <w:ind w:right="3479"/>
              <w:spacing w:after="0"/>
              <w:rPr>
                <w:sz w:val="20"/>
                <w:szCs w:val="20"/>
                <w:color w:val="auto"/>
              </w:rPr>
            </w:pPr>
            <w:r>
              <w:rPr>
                <w:rFonts w:ascii="Arial" w:cs="Arial" w:eastAsia="Arial" w:hAnsi="Arial"/>
                <w:sz w:val="16"/>
                <w:szCs w:val="16"/>
                <w:b w:val="1"/>
                <w:bCs w:val="1"/>
                <w:color w:val="auto"/>
              </w:rPr>
              <w:t>910 Louisiana Street, Suite 4200</w:t>
            </w:r>
          </w:p>
        </w:tc>
        <w:tc>
          <w:tcPr>
            <w:tcW w:w="1420" w:type="dxa"/>
            <w:vAlign w:val="bottom"/>
          </w:tcPr>
          <w:p>
            <w:pPr>
              <w:spacing w:after="0"/>
              <w:rPr>
                <w:sz w:val="21"/>
                <w:szCs w:val="21"/>
                <w:color w:val="auto"/>
              </w:rPr>
            </w:pPr>
          </w:p>
        </w:tc>
      </w:tr>
      <w:tr>
        <w:trPr>
          <w:trHeight w:val="209"/>
        </w:trPr>
        <w:tc>
          <w:tcPr>
            <w:tcW w:w="6320" w:type="dxa"/>
            <w:vAlign w:val="bottom"/>
          </w:tcPr>
          <w:p>
            <w:pPr>
              <w:jc w:val="center"/>
              <w:ind w:right="3479"/>
              <w:spacing w:after="0"/>
              <w:rPr>
                <w:sz w:val="20"/>
                <w:szCs w:val="20"/>
                <w:color w:val="auto"/>
              </w:rPr>
            </w:pPr>
            <w:r>
              <w:rPr>
                <w:rFonts w:ascii="Arial" w:cs="Arial" w:eastAsia="Arial" w:hAnsi="Arial"/>
                <w:sz w:val="16"/>
                <w:szCs w:val="16"/>
                <w:b w:val="1"/>
                <w:bCs w:val="1"/>
                <w:color w:val="auto"/>
              </w:rPr>
              <w:t>Houston, TX</w:t>
            </w:r>
          </w:p>
        </w:tc>
        <w:tc>
          <w:tcPr>
            <w:tcW w:w="1420" w:type="dxa"/>
            <w:vAlign w:val="bottom"/>
          </w:tcPr>
          <w:p>
            <w:pPr>
              <w:jc w:val="right"/>
              <w:ind w:right="319"/>
              <w:spacing w:after="0"/>
              <w:rPr>
                <w:sz w:val="20"/>
                <w:szCs w:val="20"/>
                <w:color w:val="auto"/>
              </w:rPr>
            </w:pPr>
            <w:r>
              <w:rPr>
                <w:rFonts w:ascii="Arial" w:cs="Arial" w:eastAsia="Arial" w:hAnsi="Arial"/>
                <w:sz w:val="16"/>
                <w:szCs w:val="16"/>
                <w:b w:val="1"/>
                <w:bCs w:val="1"/>
                <w:color w:val="auto"/>
              </w:rPr>
              <w:t>77002</w:t>
            </w:r>
          </w:p>
        </w:tc>
      </w:tr>
      <w:tr>
        <w:trPr>
          <w:trHeight w:val="195"/>
        </w:trPr>
        <w:tc>
          <w:tcPr>
            <w:tcW w:w="6320" w:type="dxa"/>
            <w:vAlign w:val="bottom"/>
          </w:tcPr>
          <w:p>
            <w:pPr>
              <w:jc w:val="center"/>
              <w:ind w:right="3479"/>
              <w:spacing w:after="0"/>
              <w:rPr>
                <w:sz w:val="20"/>
                <w:szCs w:val="20"/>
                <w:color w:val="auto"/>
              </w:rPr>
            </w:pPr>
            <w:r>
              <w:rPr>
                <w:rFonts w:ascii="Arial" w:cs="Arial" w:eastAsia="Arial" w:hAnsi="Arial"/>
                <w:sz w:val="16"/>
                <w:szCs w:val="16"/>
                <w:color w:val="auto"/>
              </w:rPr>
              <w:t>(Address of principal executive offices)</w:t>
            </w:r>
          </w:p>
        </w:tc>
        <w:tc>
          <w:tcPr>
            <w:tcW w:w="1420" w:type="dxa"/>
            <w:vAlign w:val="bottom"/>
          </w:tcPr>
          <w:p>
            <w:pPr>
              <w:jc w:val="center"/>
              <w:ind w:left="99"/>
              <w:spacing w:after="0"/>
              <w:rPr>
                <w:sz w:val="20"/>
                <w:szCs w:val="20"/>
                <w:color w:val="auto"/>
              </w:rPr>
            </w:pPr>
            <w:r>
              <w:rPr>
                <w:rFonts w:ascii="Arial" w:cs="Arial" w:eastAsia="Arial" w:hAnsi="Arial"/>
                <w:sz w:val="16"/>
                <w:szCs w:val="16"/>
                <w:color w:val="auto"/>
              </w:rPr>
              <w:t>(Zip Code)</w:t>
            </w:r>
          </w:p>
        </w:tc>
      </w:tr>
      <w:tr>
        <w:trPr>
          <w:trHeight w:val="264"/>
        </w:trPr>
        <w:tc>
          <w:tcPr>
            <w:tcW w:w="6320" w:type="dxa"/>
            <w:vAlign w:val="bottom"/>
          </w:tcPr>
          <w:p>
            <w:pPr>
              <w:jc w:val="center"/>
              <w:ind w:left="2099"/>
              <w:spacing w:after="0"/>
              <w:rPr>
                <w:sz w:val="20"/>
                <w:szCs w:val="20"/>
                <w:color w:val="auto"/>
              </w:rPr>
            </w:pPr>
            <w:r>
              <w:rPr>
                <w:rFonts w:ascii="Arial" w:cs="Arial" w:eastAsia="Arial" w:hAnsi="Arial"/>
                <w:sz w:val="16"/>
                <w:szCs w:val="16"/>
                <w:b w:val="1"/>
                <w:bCs w:val="1"/>
                <w:color w:val="auto"/>
              </w:rPr>
              <w:t>(832) 413-4770</w:t>
            </w:r>
          </w:p>
        </w:tc>
        <w:tc>
          <w:tcPr>
            <w:tcW w:w="1420" w:type="dxa"/>
            <w:vAlign w:val="bottom"/>
          </w:tcPr>
          <w:p>
            <w:pPr>
              <w:spacing w:after="0"/>
              <w:rPr>
                <w:sz w:val="22"/>
                <w:szCs w:val="22"/>
                <w:color w:val="auto"/>
              </w:rPr>
            </w:pPr>
          </w:p>
        </w:tc>
      </w:tr>
      <w:tr>
        <w:trPr>
          <w:trHeight w:val="195"/>
        </w:trPr>
        <w:tc>
          <w:tcPr>
            <w:tcW w:w="6320" w:type="dxa"/>
            <w:vAlign w:val="bottom"/>
          </w:tcPr>
          <w:p>
            <w:pPr>
              <w:jc w:val="center"/>
              <w:ind w:left="2079"/>
              <w:spacing w:after="0"/>
              <w:rPr>
                <w:sz w:val="20"/>
                <w:szCs w:val="20"/>
                <w:color w:val="auto"/>
              </w:rPr>
            </w:pPr>
            <w:r>
              <w:rPr>
                <w:rFonts w:ascii="Arial" w:cs="Arial" w:eastAsia="Arial" w:hAnsi="Arial"/>
                <w:sz w:val="16"/>
                <w:szCs w:val="16"/>
                <w:color w:val="auto"/>
              </w:rPr>
              <w:t>(Registrant’s telephone number, including area code)</w:t>
            </w:r>
          </w:p>
        </w:tc>
        <w:tc>
          <w:tcPr>
            <w:tcW w:w="1420" w:type="dxa"/>
            <w:vAlign w:val="bottom"/>
          </w:tcPr>
          <w:p>
            <w:pPr>
              <w:spacing w:after="0"/>
              <w:rPr>
                <w:sz w:val="16"/>
                <w:szCs w:val="16"/>
                <w:color w:val="auto"/>
              </w:rPr>
            </w:pP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190"/>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Units</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SMLP</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33"/>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bl>
    <w:p>
      <w:pPr>
        <w:spacing w:after="0" w:line="164" w:lineRule="exact"/>
        <w:rPr>
          <w:sz w:val="24"/>
          <w:szCs w:val="24"/>
          <w:color w:val="auto"/>
        </w:rPr>
      </w:pPr>
    </w:p>
    <w:p>
      <w:pPr>
        <w:jc w:val="both"/>
        <w:ind w:right="4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9" w:lineRule="exact"/>
        <w:rPr>
          <w:sz w:val="24"/>
          <w:szCs w:val="24"/>
          <w:color w:val="auto"/>
        </w:rPr>
      </w:pPr>
    </w:p>
    <w:p>
      <w:pPr>
        <w:ind w:right="220"/>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 w:lineRule="exact"/>
        <w:rPr>
          <w:sz w:val="24"/>
          <w:szCs w:val="24"/>
          <w:color w:val="auto"/>
        </w:rPr>
      </w:pPr>
    </w:p>
    <w:p>
      <w:pPr>
        <w:ind w:left="400" w:hanging="392"/>
        <w:spacing w:after="0" w:line="184" w:lineRule="exact"/>
        <w:tabs>
          <w:tab w:leader="none" w:pos="4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8"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5" w:right="339" w:bottom="1440" w:gutter="0" w:footer="0" w:header="0"/>
        </w:sectPr>
      </w:pPr>
    </w:p>
    <w:p>
      <w:pPr>
        <w:spacing w:after="0" w:line="2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 w:lineRule="exact"/>
        <w:rPr>
          <w:sz w:val="24"/>
          <w:szCs w:val="24"/>
          <w:color w:val="auto"/>
        </w:rPr>
      </w:pPr>
    </w:p>
    <w:p>
      <w:pPr>
        <w:sectPr>
          <w:pgSz w:w="11900" w:h="16838" w:orient="portrait"/>
          <w:cols w:equalWidth="0" w:num="2">
            <w:col w:w="8400" w:space="720"/>
            <w:col w:w="2120"/>
          </w:cols>
          <w:pgMar w:left="320" w:top="215"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215" w:right="339" w:bottom="1440" w:gutter="0" w:footer="0" w:header="0"/>
          <w:type w:val="continuous"/>
        </w:sectPr>
      </w:pPr>
    </w:p>
    <w:p>
      <w:pPr>
        <w:spacing w:after="0" w:line="89"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 w:lineRule="exact"/>
        <w:rPr>
          <w:sz w:val="24"/>
          <w:szCs w:val="24"/>
          <w:color w:val="auto"/>
        </w:rPr>
      </w:pPr>
    </w:p>
    <w:p>
      <w:pPr>
        <w:spacing w:after="0" w:line="184" w:lineRule="exact"/>
        <w:tabs>
          <w:tab w:leader="none" w:pos="8480" w:val="left"/>
          <w:tab w:leader="none" w:pos="91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2020" w:type="dxa"/>
            <w:vAlign w:val="bottom"/>
          </w:tcPr>
          <w:p>
            <w:pPr>
              <w:spacing w:after="0"/>
              <w:rPr>
                <w:sz w:val="15"/>
                <w:szCs w:val="15"/>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July 31, 2020</w:t>
            </w:r>
          </w:p>
        </w:tc>
      </w:tr>
      <w:tr>
        <w:trPr>
          <w:trHeight w:val="217"/>
        </w:trPr>
        <w:tc>
          <w:tcPr>
            <w:tcW w:w="6640" w:type="dxa"/>
            <w:vAlign w:val="bottom"/>
            <w:gridSpan w:val="2"/>
          </w:tcPr>
          <w:p>
            <w:pPr>
              <w:jc w:val="center"/>
              <w:ind w:right="2000"/>
              <w:spacing w:after="0"/>
              <w:rPr>
                <w:sz w:val="20"/>
                <w:szCs w:val="20"/>
                <w:color w:val="auto"/>
              </w:rPr>
            </w:pPr>
            <w:r>
              <w:rPr>
                <w:rFonts w:ascii="Arial" w:cs="Arial" w:eastAsia="Arial" w:hAnsi="Arial"/>
                <w:sz w:val="16"/>
                <w:szCs w:val="16"/>
                <w:color w:val="auto"/>
              </w:rPr>
              <w:t>Common Units</w:t>
            </w:r>
          </w:p>
        </w:tc>
        <w:tc>
          <w:tcPr>
            <w:tcW w:w="4600" w:type="dxa"/>
            <w:vAlign w:val="bottom"/>
          </w:tcPr>
          <w:p>
            <w:pPr>
              <w:jc w:val="center"/>
              <w:spacing w:after="0"/>
              <w:rPr>
                <w:sz w:val="20"/>
                <w:szCs w:val="20"/>
                <w:color w:val="auto"/>
              </w:rPr>
            </w:pPr>
            <w:r>
              <w:rPr>
                <w:rFonts w:ascii="Arial" w:cs="Arial" w:eastAsia="Arial" w:hAnsi="Arial"/>
                <w:sz w:val="16"/>
                <w:szCs w:val="16"/>
                <w:color w:val="auto"/>
              </w:rPr>
              <w:t>55,880,540 units</w:t>
            </w:r>
          </w:p>
        </w:tc>
      </w:tr>
      <w:tr>
        <w:trPr>
          <w:trHeight w:val="594"/>
        </w:trPr>
        <w:tc>
          <w:tcPr>
            <w:tcW w:w="46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0" w:type="dxa"/>
            <w:vAlign w:val="bottom"/>
            <w:gridSpan w:val="8"/>
            <w:shd w:val="clear" w:color="auto" w:fill="CCEEFF"/>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COMMONLY USED OR DEFINED TERMS</w:t>
              </w:r>
            </w:hyperlink>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tc>
        <w:tc>
          <w:tcPr>
            <w:tcW w:w="9920" w:type="dxa"/>
            <w:vAlign w:val="bottom"/>
            <w:gridSpan w:val="7"/>
            <w:shd w:val="clear" w:color="auto" w:fill="CCEEFF"/>
          </w:tcPr>
          <w:p>
            <w:pPr>
              <w:ind w:left="200"/>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INFORMATION</w:t>
              </w:r>
            </w:hyperlink>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920" w:type="dxa"/>
            <w:vAlign w:val="bottom"/>
            <w:gridSpan w:val="7"/>
          </w:tcPr>
          <w:p>
            <w:pPr>
              <w:ind w:left="200"/>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Statements.</w:t>
              </w:r>
            </w:hyperlink>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9920" w:type="dxa"/>
            <w:vAlign w:val="bottom"/>
            <w:gridSpan w:val="7"/>
            <w:shd w:val="clear" w:color="auto" w:fill="CCEEFF"/>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Balance Sheets as of June 30, 2020 and December 31, 2019</w:t>
              </w:r>
            </w:hyperlink>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9920" w:type="dxa"/>
            <w:vAlign w:val="bottom"/>
            <w:gridSpan w:val="7"/>
          </w:tcPr>
          <w:p>
            <w:pPr>
              <w:ind w:left="200"/>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Operations for the three and six months ended June 30, 2020 and</w:t>
              </w:r>
            </w:hyperlink>
          </w:p>
        </w:tc>
        <w:tc>
          <w:tcPr>
            <w:tcW w:w="4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0000EE"/>
            </w:tcBorders>
            <w:gridSpan w:val="3"/>
          </w:tcPr>
          <w:p>
            <w:pPr>
              <w:ind w:left="160"/>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2019</w:t>
              </w:r>
            </w:hyperlink>
          </w:p>
        </w:tc>
        <w:tc>
          <w:tcPr>
            <w:tcW w:w="844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spacing w:after="0"/>
              <w:rPr>
                <w:sz w:val="15"/>
                <w:szCs w:val="15"/>
                <w:color w:val="auto"/>
              </w:rPr>
            </w:pPr>
          </w:p>
        </w:tc>
        <w:tc>
          <w:tcPr>
            <w:tcW w:w="9920" w:type="dxa"/>
            <w:vAlign w:val="bottom"/>
            <w:gridSpan w:val="7"/>
            <w:shd w:val="clear" w:color="auto" w:fill="CCEEFF"/>
          </w:tcPr>
          <w:p>
            <w:pPr>
              <w:ind w:left="2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Partners' Capital for the three and six months ended June 30, 2020</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500" w:type="dxa"/>
            <w:vAlign w:val="bottom"/>
            <w:tcBorders>
              <w:top w:val="single" w:sz="8" w:color="0000EE"/>
            </w:tcBorders>
            <w:gridSpan w:val="5"/>
            <w:shd w:val="clear" w:color="auto" w:fill="CCEEFF"/>
          </w:tcPr>
          <w:p>
            <w:pPr>
              <w:ind w:left="160"/>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and 2019</w:t>
              </w:r>
            </w:hyperlink>
          </w:p>
        </w:tc>
        <w:tc>
          <w:tcPr>
            <w:tcW w:w="2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8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9920" w:type="dxa"/>
            <w:vAlign w:val="bottom"/>
            <w:gridSpan w:val="7"/>
          </w:tcPr>
          <w:p>
            <w:pPr>
              <w:ind w:left="2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Unaudited Condensed Consolidated Statements of Cash Flows for the six months ended June 30, 2020 and 2019</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9920" w:type="dxa"/>
            <w:vAlign w:val="bottom"/>
            <w:gridSpan w:val="7"/>
            <w:shd w:val="clear" w:color="auto" w:fill="CCEEFF"/>
          </w:tcPr>
          <w:p>
            <w:pPr>
              <w:ind w:left="20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Notes to Unaudited Condensed Consolidated Financial Statements</w:t>
              </w:r>
            </w:hyperlink>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920" w:type="dxa"/>
            <w:vAlign w:val="bottom"/>
            <w:gridSpan w:val="7"/>
          </w:tcPr>
          <w:p>
            <w:pPr>
              <w:ind w:left="200"/>
              <w:spacing w:after="0" w:line="202" w:lineRule="exact"/>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20" w:type="dxa"/>
            <w:vAlign w:val="bottom"/>
            <w:gridSpan w:val="7"/>
            <w:shd w:val="clear" w:color="auto" w:fill="CCEEFF"/>
          </w:tcPr>
          <w:p>
            <w:pPr>
              <w:ind w:left="200"/>
              <w:spacing w:after="0" w:line="202"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Quantitative and Qualitative Disclosures about Market Risk.</w:t>
              </w:r>
            </w:hyperlink>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0" w:type="dxa"/>
            <w:vAlign w:val="bottom"/>
          </w:tcPr>
          <w:p>
            <w:pPr>
              <w:ind w:left="40"/>
              <w:spacing w:after="0"/>
              <w:rPr>
                <w:sz w:val="20"/>
                <w:szCs w:val="20"/>
                <w:color w:val="auto"/>
              </w:rPr>
            </w:pPr>
            <w:r>
              <w:rPr>
                <w:rFonts w:ascii="Arial" w:cs="Arial" w:eastAsia="Arial" w:hAnsi="Arial"/>
                <w:sz w:val="18"/>
                <w:szCs w:val="18"/>
                <w:color w:val="auto"/>
              </w:rPr>
              <w:t>Item 4.</w:t>
            </w:r>
          </w:p>
        </w:tc>
        <w:tc>
          <w:tcPr>
            <w:tcW w:w="9920" w:type="dxa"/>
            <w:vAlign w:val="bottom"/>
            <w:gridSpan w:val="7"/>
          </w:tcPr>
          <w:p>
            <w:pPr>
              <w:ind w:left="20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FF0FC"/>
          </w:tcPr>
          <w:p>
            <w:pPr>
              <w:ind w:left="40"/>
              <w:spacing w:after="0" w:line="202"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PART II</w:t>
              </w:r>
            </w:hyperlink>
          </w:p>
        </w:tc>
        <w:tc>
          <w:tcPr>
            <w:tcW w:w="9920" w:type="dxa"/>
            <w:vAlign w:val="bottom"/>
            <w:gridSpan w:val="7"/>
            <w:shd w:val="clear" w:color="auto" w:fill="CFF0FC"/>
          </w:tcPr>
          <w:p>
            <w:pPr>
              <w:ind w:left="160"/>
              <w:spacing w:after="0" w:line="202"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920" w:type="dxa"/>
            <w:vAlign w:val="bottom"/>
            <w:gridSpan w:val="7"/>
          </w:tcPr>
          <w:p>
            <w:pPr>
              <w:ind w:left="160"/>
              <w:spacing w:after="0" w:line="202"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Legal Proceedings.</w:t>
              </w:r>
            </w:hyperlink>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Item 1A.</w:t>
            </w:r>
          </w:p>
        </w:tc>
        <w:tc>
          <w:tcPr>
            <w:tcW w:w="9920" w:type="dxa"/>
            <w:vAlign w:val="bottom"/>
            <w:gridSpan w:val="7"/>
            <w:shd w:val="clear" w:color="auto" w:fill="CFF0FC"/>
          </w:tcPr>
          <w:p>
            <w:pPr>
              <w:ind w:left="160"/>
              <w:spacing w:after="0" w:line="202"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Risk Factors.</w:t>
              </w:r>
            </w:hyperlink>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920" w:type="dxa"/>
            <w:vAlign w:val="bottom"/>
            <w:gridSpan w:val="7"/>
          </w:tcPr>
          <w:p>
            <w:pPr>
              <w:ind w:left="160"/>
              <w:spacing w:after="0" w:line="202" w:lineRule="exact"/>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Other Information</w:t>
              </w:r>
            </w:hyperlink>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Item 6.</w:t>
            </w:r>
          </w:p>
        </w:tc>
        <w:tc>
          <w:tcPr>
            <w:tcW w:w="9920" w:type="dxa"/>
            <w:vAlign w:val="bottom"/>
            <w:gridSpan w:val="7"/>
            <w:shd w:val="clear" w:color="auto" w:fill="CFF0FC"/>
          </w:tcPr>
          <w:p>
            <w:pPr>
              <w:ind w:left="160"/>
              <w:spacing w:after="0" w:line="202" w:lineRule="exact"/>
              <w:rPr>
                <w:rFonts w:ascii="Arial" w:cs="Arial" w:eastAsia="Arial" w:hAnsi="Arial"/>
                <w:sz w:val="18"/>
                <w:szCs w:val="18"/>
                <w:color w:val="0000EE"/>
              </w:rPr>
            </w:pPr>
            <w:hyperlink w:anchor="page69">
              <w:r>
                <w:rPr>
                  <w:rFonts w:ascii="Arial" w:cs="Arial" w:eastAsia="Arial" w:hAnsi="Arial"/>
                  <w:sz w:val="18"/>
                  <w:szCs w:val="18"/>
                  <w:u w:val="single" w:color="auto"/>
                  <w:color w:val="0000EE"/>
                </w:rPr>
                <w:t>Exhibits</w:t>
              </w:r>
              <w:r>
                <w:rPr>
                  <w:rFonts w:ascii="Arial" w:cs="Arial" w:eastAsia="Arial" w:hAnsi="Arial"/>
                  <w:sz w:val="18"/>
                  <w:szCs w:val="18"/>
                  <w:color w:val="0000EE"/>
                </w:rPr>
                <w:t>.</w:t>
              </w:r>
            </w:hyperlink>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0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800" w:type="dxa"/>
            <w:vAlign w:val="bottom"/>
            <w:gridSpan w:val="8"/>
            <w:shd w:val="clear" w:color="auto" w:fill="CFF0FC"/>
          </w:tcPr>
          <w:p>
            <w:pPr>
              <w:spacing w:after="0" w:line="202" w:lineRule="exact"/>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880" w:type="dxa"/>
            <w:vAlign w:val="bottom"/>
          </w:tcPr>
          <w:p>
            <w:pPr>
              <w:spacing w:after="0"/>
              <w:rPr>
                <w:sz w:val="24"/>
                <w:szCs w:val="24"/>
                <w:color w:val="auto"/>
              </w:rPr>
            </w:pPr>
          </w:p>
        </w:tc>
        <w:tc>
          <w:tcPr>
            <w:tcW w:w="9540" w:type="dxa"/>
            <w:vAlign w:val="bottom"/>
            <w:gridSpan w:val="5"/>
          </w:tcPr>
          <w:p>
            <w:pPr>
              <w:ind w:left="47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5"/>
        </w:trPr>
        <w:tc>
          <w:tcPr>
            <w:tcW w:w="2660" w:type="dxa"/>
            <w:vAlign w:val="bottom"/>
          </w:tcPr>
          <w:p>
            <w:pPr>
              <w:spacing w:after="0"/>
              <w:rPr>
                <w:sz w:val="24"/>
                <w:szCs w:val="24"/>
                <w:color w:val="auto"/>
              </w:rPr>
            </w:pPr>
          </w:p>
        </w:tc>
        <w:tc>
          <w:tcPr>
            <w:tcW w:w="8580" w:type="dxa"/>
            <w:vAlign w:val="bottom"/>
          </w:tcPr>
          <w:p>
            <w:pPr>
              <w:ind w:left="900"/>
              <w:spacing w:after="0"/>
              <w:rPr>
                <w:sz w:val="20"/>
                <w:szCs w:val="20"/>
                <w:color w:val="auto"/>
              </w:rPr>
            </w:pPr>
            <w:r>
              <w:rPr>
                <w:rFonts w:ascii="Arial" w:cs="Arial" w:eastAsia="Arial" w:hAnsi="Arial"/>
                <w:sz w:val="22"/>
                <w:szCs w:val="22"/>
                <w:b w:val="1"/>
                <w:bCs w:val="1"/>
                <w:color w:val="auto"/>
              </w:rPr>
              <w:t>COMMONLY USED OR DEFINED TERMS</w:t>
            </w:r>
          </w:p>
        </w:tc>
      </w:tr>
      <w:tr>
        <w:trPr>
          <w:trHeight w:val="98"/>
        </w:trPr>
        <w:tc>
          <w:tcPr>
            <w:tcW w:w="2660" w:type="dxa"/>
            <w:vAlign w:val="bottom"/>
          </w:tcPr>
          <w:p>
            <w:pPr>
              <w:spacing w:after="0"/>
              <w:rPr>
                <w:sz w:val="8"/>
                <w:szCs w:val="8"/>
                <w:color w:val="auto"/>
              </w:rPr>
            </w:pPr>
          </w:p>
        </w:tc>
        <w:tc>
          <w:tcPr>
            <w:tcW w:w="8580" w:type="dxa"/>
            <w:vAlign w:val="bottom"/>
          </w:tcPr>
          <w:p>
            <w:pPr>
              <w:spacing w:after="0"/>
              <w:rPr>
                <w:sz w:val="8"/>
                <w:szCs w:val="8"/>
                <w:color w:val="auto"/>
              </w:rPr>
            </w:pP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2016 Drop Down</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Partnership's March 3, 2016 acquisition from SMP Holdings of substantially all</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of (i) the issued and outstanding membership interests in Summit Utica,</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Meadowlark Midstream and Tioga Midstream and (ii) SMP Holdings’ 40%</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ownership interest in Ohio Gathering</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5.5% Senior Notes</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Holdings' and Finance Corp.’s 5.5% senior unsecured notes due August</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2022</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5.75% Senior Notes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Holdings' and Finance Corp.’s 5.75% senior unsecured notes due April</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2025</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associated natural gas</w:t>
            </w:r>
          </w:p>
        </w:tc>
        <w:tc>
          <w:tcPr>
            <w:tcW w:w="8580" w:type="dxa"/>
            <w:vAlign w:val="bottom"/>
          </w:tcPr>
          <w:p>
            <w:pPr>
              <w:ind w:left="300"/>
              <w:spacing w:after="0"/>
              <w:rPr>
                <w:sz w:val="20"/>
                <w:szCs w:val="20"/>
                <w:color w:val="auto"/>
              </w:rPr>
            </w:pPr>
            <w:r>
              <w:rPr>
                <w:rFonts w:ascii="Arial" w:cs="Arial" w:eastAsia="Arial" w:hAnsi="Arial"/>
                <w:sz w:val="18"/>
                <w:szCs w:val="18"/>
                <w:color w:val="auto"/>
              </w:rPr>
              <w:t>a form of natural gas which is found with deposits of petroleum, either dissolved</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in the crude oil or as a free gas cap above the crude oil in the reservoir</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ASU</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Accounting Standards Update</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Bbl</w:t>
            </w:r>
          </w:p>
        </w:tc>
        <w:tc>
          <w:tcPr>
            <w:tcW w:w="8580" w:type="dxa"/>
            <w:vAlign w:val="bottom"/>
          </w:tcPr>
          <w:p>
            <w:pPr>
              <w:ind w:left="300"/>
              <w:spacing w:after="0"/>
              <w:rPr>
                <w:sz w:val="20"/>
                <w:szCs w:val="20"/>
                <w:color w:val="auto"/>
              </w:rPr>
            </w:pPr>
            <w:r>
              <w:rPr>
                <w:rFonts w:ascii="Arial" w:cs="Arial" w:eastAsia="Arial" w:hAnsi="Arial"/>
                <w:sz w:val="18"/>
                <w:szCs w:val="18"/>
                <w:color w:val="auto"/>
              </w:rPr>
              <w:t>one barrel; used for crude oil and produced water and equivalent to 42 U.S. gallons</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Bcf</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one billion cubic feet</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Bison Midstream</w:t>
            </w:r>
          </w:p>
        </w:tc>
        <w:tc>
          <w:tcPr>
            <w:tcW w:w="8580" w:type="dxa"/>
            <w:vAlign w:val="bottom"/>
          </w:tcPr>
          <w:p>
            <w:pPr>
              <w:ind w:left="300"/>
              <w:spacing w:after="0"/>
              <w:rPr>
                <w:sz w:val="20"/>
                <w:szCs w:val="20"/>
                <w:color w:val="auto"/>
              </w:rPr>
            </w:pPr>
            <w:r>
              <w:rPr>
                <w:rFonts w:ascii="Arial" w:cs="Arial" w:eastAsia="Arial" w:hAnsi="Arial"/>
                <w:sz w:val="18"/>
                <w:szCs w:val="18"/>
                <w:color w:val="auto"/>
              </w:rPr>
              <w:t>Bison Midstream,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Board of Directors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board of directors of our General Partner</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condensate</w:t>
            </w:r>
          </w:p>
        </w:tc>
        <w:tc>
          <w:tcPr>
            <w:tcW w:w="8580" w:type="dxa"/>
            <w:vAlign w:val="bottom"/>
          </w:tcPr>
          <w:p>
            <w:pPr>
              <w:ind w:left="300"/>
              <w:spacing w:after="0"/>
              <w:rPr>
                <w:sz w:val="20"/>
                <w:szCs w:val="20"/>
                <w:color w:val="auto"/>
              </w:rPr>
            </w:pPr>
            <w:r>
              <w:rPr>
                <w:rFonts w:ascii="Arial" w:cs="Arial" w:eastAsia="Arial" w:hAnsi="Arial"/>
                <w:sz w:val="18"/>
                <w:szCs w:val="18"/>
                <w:color w:val="auto"/>
              </w:rPr>
              <w:t>a natural gas liquid with a low vapor pressure, mainly composed of propane, butane,</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pentane and heavier hydrocarbon fractions</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Purchase Price</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deferred payment liability recognized in connection with the 2016 Drop Down, as</w:t>
            </w:r>
          </w:p>
        </w:tc>
      </w:tr>
      <w:tr>
        <w:trPr>
          <w:trHeight w:val="203"/>
        </w:trPr>
        <w:tc>
          <w:tcPr>
            <w:tcW w:w="2660" w:type="dxa"/>
            <w:vAlign w:val="bottom"/>
            <w:shd w:val="clear" w:color="auto" w:fill="CFF0FC"/>
          </w:tcPr>
          <w:p>
            <w:pPr>
              <w:ind w:left="580"/>
              <w:spacing w:after="0" w:line="203" w:lineRule="exact"/>
              <w:rPr>
                <w:sz w:val="20"/>
                <w:szCs w:val="20"/>
                <w:color w:val="auto"/>
              </w:rPr>
            </w:pPr>
            <w:r>
              <w:rPr>
                <w:rFonts w:ascii="Arial" w:cs="Arial" w:eastAsia="Arial" w:hAnsi="Arial"/>
                <w:sz w:val="18"/>
                <w:szCs w:val="18"/>
                <w:color w:val="auto"/>
              </w:rPr>
              <w:t>Obligation</w:t>
            </w: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subsequently amended</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DFW Midstream</w:t>
            </w:r>
          </w:p>
        </w:tc>
        <w:tc>
          <w:tcPr>
            <w:tcW w:w="8580" w:type="dxa"/>
            <w:vAlign w:val="bottom"/>
          </w:tcPr>
          <w:p>
            <w:pPr>
              <w:ind w:left="300"/>
              <w:spacing w:after="0"/>
              <w:rPr>
                <w:sz w:val="20"/>
                <w:szCs w:val="20"/>
                <w:color w:val="auto"/>
              </w:rPr>
            </w:pPr>
            <w:r>
              <w:rPr>
                <w:rFonts w:ascii="Arial" w:cs="Arial" w:eastAsia="Arial" w:hAnsi="Arial"/>
                <w:sz w:val="18"/>
                <w:szCs w:val="18"/>
                <w:color w:val="auto"/>
              </w:rPr>
              <w:t>DFW Midstream Services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DJ Basin</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Denver-Julesburg Basin</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Double E</w:t>
            </w:r>
          </w:p>
        </w:tc>
        <w:tc>
          <w:tcPr>
            <w:tcW w:w="8580" w:type="dxa"/>
            <w:vAlign w:val="bottom"/>
          </w:tcPr>
          <w:p>
            <w:pPr>
              <w:ind w:left="300"/>
              <w:spacing w:after="0"/>
              <w:rPr>
                <w:sz w:val="20"/>
                <w:szCs w:val="20"/>
                <w:color w:val="auto"/>
              </w:rPr>
            </w:pPr>
            <w:r>
              <w:rPr>
                <w:rFonts w:ascii="Arial" w:cs="Arial" w:eastAsia="Arial" w:hAnsi="Arial"/>
                <w:sz w:val="18"/>
                <w:szCs w:val="18"/>
                <w:color w:val="auto"/>
              </w:rPr>
              <w:t>Double E Pipeline, LLC</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Double E Project</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development and construction of a long-haul natural gas pipeline with an</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initial throughput capacity of 1.35 billion cubic feet per day that will provide</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transportation service from multiple receipt points in the Delaware Basin</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to various delivery points in and around the Waha Hub in Texas</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dry gas</w:t>
            </w:r>
          </w:p>
        </w:tc>
        <w:tc>
          <w:tcPr>
            <w:tcW w:w="8580" w:type="dxa"/>
            <w:vAlign w:val="bottom"/>
          </w:tcPr>
          <w:p>
            <w:pPr>
              <w:ind w:left="300"/>
              <w:spacing w:after="0"/>
              <w:rPr>
                <w:sz w:val="20"/>
                <w:szCs w:val="20"/>
                <w:color w:val="auto"/>
              </w:rPr>
            </w:pPr>
            <w:r>
              <w:rPr>
                <w:rFonts w:ascii="Arial" w:cs="Arial" w:eastAsia="Arial" w:hAnsi="Arial"/>
                <w:sz w:val="18"/>
                <w:szCs w:val="18"/>
                <w:color w:val="auto"/>
              </w:rPr>
              <w:t>natural gas primarily composed of methane where heavy hydrocarbons and water</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either do not exist or have been removed through processing or treating</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Energy Capital Partners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Energy Capital Partners II, LLC and its parallel and co-investment funds</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Epping</w:t>
            </w:r>
          </w:p>
        </w:tc>
        <w:tc>
          <w:tcPr>
            <w:tcW w:w="8580" w:type="dxa"/>
            <w:vAlign w:val="bottom"/>
          </w:tcPr>
          <w:p>
            <w:pPr>
              <w:ind w:left="300"/>
              <w:spacing w:after="0"/>
              <w:rPr>
                <w:sz w:val="20"/>
                <w:szCs w:val="20"/>
                <w:color w:val="auto"/>
              </w:rPr>
            </w:pPr>
            <w:r>
              <w:rPr>
                <w:rFonts w:ascii="Arial" w:cs="Arial" w:eastAsia="Arial" w:hAnsi="Arial"/>
                <w:sz w:val="18"/>
                <w:szCs w:val="18"/>
                <w:color w:val="auto"/>
              </w:rPr>
              <w:t>Epping Transmission Company,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EPU</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earnings or loss per unit</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FASB</w:t>
            </w:r>
          </w:p>
        </w:tc>
        <w:tc>
          <w:tcPr>
            <w:tcW w:w="8580" w:type="dxa"/>
            <w:vAlign w:val="bottom"/>
          </w:tcPr>
          <w:p>
            <w:pPr>
              <w:ind w:left="30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Finance Corp.</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Finance Corp.</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GAAP</w:t>
            </w:r>
          </w:p>
        </w:tc>
        <w:tc>
          <w:tcPr>
            <w:tcW w:w="8580" w:type="dxa"/>
            <w:vAlign w:val="bottom"/>
          </w:tcPr>
          <w:p>
            <w:pPr>
              <w:ind w:left="30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Partner</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GP, LLC</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GP</w:t>
            </w:r>
          </w:p>
        </w:tc>
        <w:tc>
          <w:tcPr>
            <w:tcW w:w="8580" w:type="dxa"/>
            <w:vAlign w:val="bottom"/>
          </w:tcPr>
          <w:p>
            <w:pPr>
              <w:ind w:left="300"/>
              <w:spacing w:after="0"/>
              <w:rPr>
                <w:sz w:val="20"/>
                <w:szCs w:val="20"/>
                <w:color w:val="auto"/>
              </w:rPr>
            </w:pPr>
            <w:r>
              <w:rPr>
                <w:rFonts w:ascii="Arial" w:cs="Arial" w:eastAsia="Arial" w:hAnsi="Arial"/>
                <w:sz w:val="18"/>
                <w:szCs w:val="18"/>
                <w:color w:val="auto"/>
              </w:rPr>
              <w:t>general partner</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Grand River</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Grand River Gathering, LLC</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Guarantor Subsidiaries</w:t>
            </w:r>
          </w:p>
        </w:tc>
        <w:tc>
          <w:tcPr>
            <w:tcW w:w="8580" w:type="dxa"/>
            <w:vAlign w:val="bottom"/>
          </w:tcPr>
          <w:p>
            <w:pPr>
              <w:ind w:left="300"/>
              <w:spacing w:after="0"/>
              <w:rPr>
                <w:sz w:val="20"/>
                <w:szCs w:val="20"/>
                <w:color w:val="auto"/>
              </w:rPr>
            </w:pPr>
            <w:r>
              <w:rPr>
                <w:rFonts w:ascii="Arial" w:cs="Arial" w:eastAsia="Arial" w:hAnsi="Arial"/>
                <w:sz w:val="18"/>
                <w:szCs w:val="18"/>
                <w:color w:val="auto"/>
              </w:rPr>
              <w:t>Bison Midstream and its subsidiaries, Grand River and its subsidiaries, DFW</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Midstream, Summit Marketing, Summit Permian, Permian Finance, OpCo,</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Summit Utica, Meadowlark Midstream, Summit Permian II and Mountaineer</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Midstream</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LIBOR</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Mbbl</w:t>
            </w:r>
          </w:p>
        </w:tc>
        <w:tc>
          <w:tcPr>
            <w:tcW w:w="8580" w:type="dxa"/>
            <w:vAlign w:val="bottom"/>
          </w:tcPr>
          <w:p>
            <w:pPr>
              <w:ind w:left="300"/>
              <w:spacing w:after="0"/>
              <w:rPr>
                <w:sz w:val="20"/>
                <w:szCs w:val="20"/>
                <w:color w:val="auto"/>
              </w:rPr>
            </w:pPr>
            <w:r>
              <w:rPr>
                <w:rFonts w:ascii="Arial" w:cs="Arial" w:eastAsia="Arial" w:hAnsi="Arial"/>
                <w:sz w:val="18"/>
                <w:szCs w:val="18"/>
                <w:color w:val="auto"/>
              </w:rPr>
              <w:t>one thousand barrels</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Mbbl/d</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one thousand barrels per day</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Mcf</w:t>
            </w:r>
          </w:p>
        </w:tc>
        <w:tc>
          <w:tcPr>
            <w:tcW w:w="8580" w:type="dxa"/>
            <w:vAlign w:val="bottom"/>
          </w:tcPr>
          <w:p>
            <w:pPr>
              <w:ind w:left="300"/>
              <w:spacing w:after="0"/>
              <w:rPr>
                <w:sz w:val="20"/>
                <w:szCs w:val="20"/>
                <w:color w:val="auto"/>
              </w:rPr>
            </w:pPr>
            <w:r>
              <w:rPr>
                <w:rFonts w:ascii="Arial" w:cs="Arial" w:eastAsia="Arial" w:hAnsi="Arial"/>
                <w:sz w:val="18"/>
                <w:szCs w:val="18"/>
                <w:color w:val="auto"/>
              </w:rPr>
              <w:t>one thousand cubic feet</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MD&amp;A</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Operations</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Meadowlark Midstream</w:t>
            </w:r>
          </w:p>
        </w:tc>
        <w:tc>
          <w:tcPr>
            <w:tcW w:w="8580" w:type="dxa"/>
            <w:vAlign w:val="bottom"/>
          </w:tcPr>
          <w:p>
            <w:pPr>
              <w:ind w:left="300"/>
              <w:spacing w:after="0"/>
              <w:rPr>
                <w:sz w:val="20"/>
                <w:szCs w:val="20"/>
                <w:color w:val="auto"/>
              </w:rPr>
            </w:pPr>
            <w:r>
              <w:rPr>
                <w:rFonts w:ascii="Arial" w:cs="Arial" w:eastAsia="Arial" w:hAnsi="Arial"/>
                <w:sz w:val="18"/>
                <w:szCs w:val="18"/>
                <w:color w:val="auto"/>
              </w:rPr>
              <w:t>Meadowlark Midstream Company,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MMcf</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one million cubic feet</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MMcf/d</w:t>
            </w:r>
          </w:p>
        </w:tc>
        <w:tc>
          <w:tcPr>
            <w:tcW w:w="8580" w:type="dxa"/>
            <w:vAlign w:val="bottom"/>
          </w:tcPr>
          <w:p>
            <w:pPr>
              <w:ind w:left="300"/>
              <w:spacing w:after="0"/>
              <w:rPr>
                <w:sz w:val="20"/>
                <w:szCs w:val="20"/>
                <w:color w:val="auto"/>
              </w:rPr>
            </w:pPr>
            <w:r>
              <w:rPr>
                <w:rFonts w:ascii="Arial" w:cs="Arial" w:eastAsia="Arial" w:hAnsi="Arial"/>
                <w:sz w:val="18"/>
                <w:szCs w:val="18"/>
                <w:color w:val="auto"/>
              </w:rPr>
              <w:t>one million cubic feet per day</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Mountaineer Midstream</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Mountaineer Midstream Company, LLC</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MVC</w:t>
            </w:r>
          </w:p>
        </w:tc>
        <w:tc>
          <w:tcPr>
            <w:tcW w:w="8580" w:type="dxa"/>
            <w:vAlign w:val="bottom"/>
          </w:tcPr>
          <w:p>
            <w:pPr>
              <w:ind w:left="300"/>
              <w:spacing w:after="0"/>
              <w:rPr>
                <w:sz w:val="20"/>
                <w:szCs w:val="20"/>
                <w:color w:val="auto"/>
              </w:rPr>
            </w:pPr>
            <w:r>
              <w:rPr>
                <w:rFonts w:ascii="Arial" w:cs="Arial" w:eastAsia="Arial" w:hAnsi="Arial"/>
                <w:sz w:val="18"/>
                <w:szCs w:val="18"/>
                <w:color w:val="auto"/>
              </w:rPr>
              <w:t>minimum volume commitment</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NGLs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natural gas liquids; the combination of ethane, propane, normal butane,</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iso-butane and natural gasolines that when removed from unprocessed</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natural gas streams become liquid under various levels of higher</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pressure and lower temperature</w:t>
            </w:r>
          </w:p>
        </w:tc>
      </w:tr>
      <w:tr>
        <w:trPr>
          <w:trHeight w:val="432"/>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auto"/>
              </w:rPr>
              <w:t>2</w:t>
            </w:r>
          </w:p>
        </w:tc>
      </w:tr>
      <w:tr>
        <w:trPr>
          <w:trHeight w:val="102"/>
        </w:trPr>
        <w:tc>
          <w:tcPr>
            <w:tcW w:w="2660" w:type="dxa"/>
            <w:vAlign w:val="bottom"/>
            <w:tcBorders>
              <w:bottom w:val="single" w:sz="8" w:color="9A9A9A"/>
            </w:tcBorders>
          </w:tcPr>
          <w:p>
            <w:pPr>
              <w:spacing w:after="0"/>
              <w:rPr>
                <w:sz w:val="8"/>
                <w:szCs w:val="8"/>
                <w:color w:val="auto"/>
              </w:rPr>
            </w:pPr>
          </w:p>
        </w:tc>
        <w:tc>
          <w:tcPr>
            <w:tcW w:w="8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40" w:type="dxa"/>
            <w:vAlign w:val="bottom"/>
          </w:tcPr>
          <w:p>
            <w:pPr>
              <w:ind w:left="380"/>
              <w:spacing w:after="0"/>
              <w:rPr>
                <w:sz w:val="20"/>
                <w:szCs w:val="20"/>
                <w:color w:val="auto"/>
              </w:rPr>
            </w:pPr>
            <w:r>
              <w:rPr>
                <w:rFonts w:ascii="Arial" w:cs="Arial" w:eastAsia="Arial" w:hAnsi="Arial"/>
                <w:sz w:val="18"/>
                <w:szCs w:val="18"/>
                <w:color w:val="auto"/>
              </w:rPr>
              <w:t>Niobrara G&amp;P</w:t>
            </w:r>
          </w:p>
        </w:tc>
        <w:tc>
          <w:tcPr>
            <w:tcW w:w="8600" w:type="dxa"/>
            <w:vAlign w:val="bottom"/>
          </w:tcPr>
          <w:p>
            <w:pPr>
              <w:ind w:left="320"/>
              <w:spacing w:after="0"/>
              <w:rPr>
                <w:sz w:val="20"/>
                <w:szCs w:val="20"/>
                <w:color w:val="auto"/>
              </w:rPr>
            </w:pPr>
            <w:r>
              <w:rPr>
                <w:rFonts w:ascii="Arial" w:cs="Arial" w:eastAsia="Arial" w:hAnsi="Arial"/>
                <w:sz w:val="18"/>
                <w:szCs w:val="18"/>
                <w:color w:val="auto"/>
              </w:rPr>
              <w:t>Niobrara Gathering and Processing system</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OCC</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Ohio Condensate Company, L.L.C.</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OGC</w:t>
            </w:r>
          </w:p>
        </w:tc>
        <w:tc>
          <w:tcPr>
            <w:tcW w:w="8600" w:type="dxa"/>
            <w:vAlign w:val="bottom"/>
          </w:tcPr>
          <w:p>
            <w:pPr>
              <w:ind w:left="320"/>
              <w:spacing w:after="0"/>
              <w:rPr>
                <w:sz w:val="20"/>
                <w:szCs w:val="20"/>
                <w:color w:val="auto"/>
              </w:rPr>
            </w:pPr>
            <w:r>
              <w:rPr>
                <w:rFonts w:ascii="Arial" w:cs="Arial" w:eastAsia="Arial" w:hAnsi="Arial"/>
                <w:sz w:val="18"/>
                <w:szCs w:val="18"/>
                <w:color w:val="auto"/>
              </w:rPr>
              <w:t>Ohio Gathering Company, L.L.C.</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Ohio Gathering</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Ohio Gathering Company, L.L.C. and Ohio Condensate Company, L.L.C.</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OpCo</w:t>
            </w:r>
          </w:p>
        </w:tc>
        <w:tc>
          <w:tcPr>
            <w:tcW w:w="8600" w:type="dxa"/>
            <w:vAlign w:val="bottom"/>
          </w:tcPr>
          <w:p>
            <w:pPr>
              <w:ind w:left="320"/>
              <w:spacing w:after="0"/>
              <w:rPr>
                <w:sz w:val="20"/>
                <w:szCs w:val="20"/>
                <w:color w:val="auto"/>
              </w:rPr>
            </w:pPr>
            <w:r>
              <w:rPr>
                <w:rFonts w:ascii="Arial" w:cs="Arial" w:eastAsia="Arial" w:hAnsi="Arial"/>
                <w:sz w:val="18"/>
                <w:szCs w:val="18"/>
                <w:color w:val="auto"/>
              </w:rPr>
              <w:t>Summit Midstream OpCo, LP</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Operator</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Operating Services Company, LLC</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play</w:t>
            </w:r>
          </w:p>
        </w:tc>
        <w:tc>
          <w:tcPr>
            <w:tcW w:w="8600" w:type="dxa"/>
            <w:vAlign w:val="bottom"/>
          </w:tcPr>
          <w:p>
            <w:pPr>
              <w:ind w:left="320"/>
              <w:spacing w:after="0"/>
              <w:rPr>
                <w:sz w:val="20"/>
                <w:szCs w:val="20"/>
                <w:color w:val="auto"/>
              </w:rPr>
            </w:pPr>
            <w:r>
              <w:rPr>
                <w:rFonts w:ascii="Arial" w:cs="Arial" w:eastAsia="Arial" w:hAnsi="Arial"/>
                <w:sz w:val="18"/>
                <w:szCs w:val="18"/>
                <w:color w:val="auto"/>
              </w:rPr>
              <w:t>a proven geological formation that contains commercial amounts of hydrocarbons</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Permian Finance</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Permian Finance, LLC</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Permian Holdco</w:t>
            </w:r>
          </w:p>
        </w:tc>
        <w:tc>
          <w:tcPr>
            <w:tcW w:w="8600" w:type="dxa"/>
            <w:vAlign w:val="bottom"/>
          </w:tcPr>
          <w:p>
            <w:pPr>
              <w:ind w:left="320"/>
              <w:spacing w:after="0"/>
              <w:rPr>
                <w:sz w:val="20"/>
                <w:szCs w:val="20"/>
                <w:color w:val="auto"/>
              </w:rPr>
            </w:pPr>
            <w:r>
              <w:rPr>
                <w:rFonts w:ascii="Arial" w:cs="Arial" w:eastAsia="Arial" w:hAnsi="Arial"/>
                <w:sz w:val="18"/>
                <w:szCs w:val="18"/>
                <w:color w:val="auto"/>
              </w:rPr>
              <w:t>Summit Permian Transmission Holdco, LLC</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Polar and Divide</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Polar and Divide system; collectively Polar Midstream and Epping</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Polar Midstream</w:t>
            </w:r>
          </w:p>
        </w:tc>
        <w:tc>
          <w:tcPr>
            <w:tcW w:w="8600" w:type="dxa"/>
            <w:vAlign w:val="bottom"/>
          </w:tcPr>
          <w:p>
            <w:pPr>
              <w:ind w:left="320"/>
              <w:spacing w:after="0"/>
              <w:rPr>
                <w:sz w:val="20"/>
                <w:szCs w:val="20"/>
                <w:color w:val="auto"/>
              </w:rPr>
            </w:pPr>
            <w:r>
              <w:rPr>
                <w:rFonts w:ascii="Arial" w:cs="Arial" w:eastAsia="Arial" w:hAnsi="Arial"/>
                <w:sz w:val="18"/>
                <w:szCs w:val="18"/>
                <w:color w:val="auto"/>
              </w:rPr>
              <w:t>Polar Midstream, LLC</w:t>
            </w:r>
          </w:p>
        </w:tc>
      </w:tr>
      <w:tr>
        <w:trPr>
          <w:trHeight w:val="215"/>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produced water</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water from underground geologic formations that is a by-product of natural gas and</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crude oil production</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Red Rock Gathering</w:t>
            </w:r>
          </w:p>
        </w:tc>
        <w:tc>
          <w:tcPr>
            <w:tcW w:w="8600" w:type="dxa"/>
            <w:vAlign w:val="bottom"/>
          </w:tcPr>
          <w:p>
            <w:pPr>
              <w:ind w:left="320"/>
              <w:spacing w:after="0"/>
              <w:rPr>
                <w:sz w:val="20"/>
                <w:szCs w:val="20"/>
                <w:color w:val="auto"/>
              </w:rPr>
            </w:pPr>
            <w:r>
              <w:rPr>
                <w:rFonts w:ascii="Arial" w:cs="Arial" w:eastAsia="Arial" w:hAnsi="Arial"/>
                <w:sz w:val="18"/>
                <w:szCs w:val="18"/>
                <w:color w:val="auto"/>
              </w:rPr>
              <w:t>Red Rock Gathering Company, LLC</w:t>
            </w:r>
          </w:p>
        </w:tc>
      </w:tr>
      <w:tr>
        <w:trPr>
          <w:trHeight w:val="215"/>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Revolving Credit Facility</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Third Amended and Restated Credit Agreement dated as of May 26, 2017, as</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amended by the First Amendment to Third Amended and Restated Credit</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Agreement dated as of September 22, 2017, the Second Amendment to Third</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Amended and Restated Credit Agreement dated as of June 26, 2019 and</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the Third Amendment to Third Amended and Restated Credit Agreement</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dated as of December 24, 2019</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SEC</w:t>
            </w:r>
          </w:p>
        </w:tc>
        <w:tc>
          <w:tcPr>
            <w:tcW w:w="8600" w:type="dxa"/>
            <w:vAlign w:val="bottom"/>
          </w:tcPr>
          <w:p>
            <w:pPr>
              <w:ind w:left="320"/>
              <w:spacing w:after="0"/>
              <w:rPr>
                <w:sz w:val="20"/>
                <w:szCs w:val="20"/>
                <w:color w:val="auto"/>
              </w:rPr>
            </w:pPr>
            <w:r>
              <w:rPr>
                <w:rFonts w:ascii="Arial" w:cs="Arial" w:eastAsia="Arial" w:hAnsi="Arial"/>
                <w:sz w:val="18"/>
                <w:szCs w:val="18"/>
                <w:color w:val="auto"/>
              </w:rPr>
              <w:t>Securities and Exchange Commission</w:t>
            </w:r>
          </w:p>
        </w:tc>
      </w:tr>
      <w:tr>
        <w:trPr>
          <w:trHeight w:val="215"/>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segment adjusted</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total revenues less total costs and expenses; plus (i) other income excluding interest</w:t>
            </w:r>
          </w:p>
        </w:tc>
      </w:tr>
      <w:tr>
        <w:trPr>
          <w:trHeight w:val="203"/>
        </w:trPr>
        <w:tc>
          <w:tcPr>
            <w:tcW w:w="264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EBITDA</w:t>
            </w:r>
          </w:p>
        </w:tc>
        <w:tc>
          <w:tcPr>
            <w:tcW w:w="86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income, (ii) our proportional adjusted EBITDA for equity method investees, (iii)</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depreciation and amortization, (iv) adjustments related to MVC shortfall</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based and noncash compensation, (vii) impairments and (viii) other noncash</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expenses or losses, less other noncash income or gains</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Senior Notes</w:t>
            </w:r>
          </w:p>
        </w:tc>
        <w:tc>
          <w:tcPr>
            <w:tcW w:w="8600" w:type="dxa"/>
            <w:vAlign w:val="bottom"/>
          </w:tcPr>
          <w:p>
            <w:pPr>
              <w:ind w:left="320"/>
              <w:spacing w:after="0"/>
              <w:rPr>
                <w:sz w:val="20"/>
                <w:szCs w:val="20"/>
                <w:color w:val="auto"/>
              </w:rPr>
            </w:pPr>
            <w:r>
              <w:rPr>
                <w:rFonts w:ascii="Arial" w:cs="Arial" w:eastAsia="Arial" w:hAnsi="Arial"/>
                <w:sz w:val="18"/>
                <w:szCs w:val="18"/>
                <w:color w:val="auto"/>
              </w:rPr>
              <w:t>The 5.5% Senior Notes and the 5.75% Senior Notes, collectively</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Series A Preferred Units</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Series A Fixed-to-Floating Rate Cumulative Redeemable Perpetual Preferred Units</w:t>
            </w:r>
          </w:p>
        </w:tc>
      </w:tr>
      <w:tr>
        <w:trPr>
          <w:trHeight w:val="215"/>
        </w:trPr>
        <w:tc>
          <w:tcPr>
            <w:tcW w:w="2640" w:type="dxa"/>
            <w:vAlign w:val="bottom"/>
          </w:tcPr>
          <w:p>
            <w:pPr>
              <w:ind w:left="380"/>
              <w:spacing w:after="0"/>
              <w:rPr>
                <w:sz w:val="20"/>
                <w:szCs w:val="20"/>
                <w:color w:val="auto"/>
              </w:rPr>
            </w:pPr>
            <w:r>
              <w:rPr>
                <w:rFonts w:ascii="Arial" w:cs="Arial" w:eastAsia="Arial" w:hAnsi="Arial"/>
                <w:sz w:val="18"/>
                <w:szCs w:val="18"/>
                <w:color w:val="auto"/>
              </w:rPr>
              <w:t>shortfall payment</w:t>
            </w:r>
          </w:p>
        </w:tc>
        <w:tc>
          <w:tcPr>
            <w:tcW w:w="8600" w:type="dxa"/>
            <w:vAlign w:val="bottom"/>
          </w:tcPr>
          <w:p>
            <w:pPr>
              <w:ind w:left="320"/>
              <w:spacing w:after="0"/>
              <w:rPr>
                <w:sz w:val="20"/>
                <w:szCs w:val="20"/>
                <w:color w:val="auto"/>
              </w:rPr>
            </w:pPr>
            <w:r>
              <w:rPr>
                <w:rFonts w:ascii="Arial" w:cs="Arial" w:eastAsia="Arial" w:hAnsi="Arial"/>
                <w:sz w:val="18"/>
                <w:szCs w:val="18"/>
                <w:color w:val="auto"/>
              </w:rPr>
              <w:t>the payment received from a counterparty when its volume throughput does not</w:t>
            </w:r>
          </w:p>
        </w:tc>
      </w:tr>
      <w:tr>
        <w:trPr>
          <w:trHeight w:val="203"/>
        </w:trPr>
        <w:tc>
          <w:tcPr>
            <w:tcW w:w="2640" w:type="dxa"/>
            <w:vAlign w:val="bottom"/>
          </w:tcPr>
          <w:p>
            <w:pPr>
              <w:spacing w:after="0"/>
              <w:rPr>
                <w:sz w:val="17"/>
                <w:szCs w:val="17"/>
                <w:color w:val="auto"/>
              </w:rPr>
            </w:pPr>
          </w:p>
        </w:tc>
        <w:tc>
          <w:tcPr>
            <w:tcW w:w="8600" w:type="dxa"/>
            <w:vAlign w:val="bottom"/>
          </w:tcPr>
          <w:p>
            <w:pPr>
              <w:ind w:left="520"/>
              <w:spacing w:after="0" w:line="203" w:lineRule="exact"/>
              <w:rPr>
                <w:sz w:val="20"/>
                <w:szCs w:val="20"/>
                <w:color w:val="auto"/>
              </w:rPr>
            </w:pPr>
            <w:r>
              <w:rPr>
                <w:rFonts w:ascii="Arial" w:cs="Arial" w:eastAsia="Arial" w:hAnsi="Arial"/>
                <w:sz w:val="18"/>
                <w:szCs w:val="18"/>
                <w:color w:val="auto"/>
              </w:rPr>
              <w:t>meet its MVC for the applicable period</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SMLP</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Partners, LP</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SMLP Holdings</w:t>
            </w:r>
          </w:p>
        </w:tc>
        <w:tc>
          <w:tcPr>
            <w:tcW w:w="8600" w:type="dxa"/>
            <w:vAlign w:val="bottom"/>
          </w:tcPr>
          <w:p>
            <w:pPr>
              <w:ind w:left="320"/>
              <w:spacing w:after="0"/>
              <w:rPr>
                <w:sz w:val="20"/>
                <w:szCs w:val="20"/>
                <w:color w:val="auto"/>
              </w:rPr>
            </w:pPr>
            <w:r>
              <w:rPr>
                <w:rFonts w:ascii="Arial" w:cs="Arial" w:eastAsia="Arial" w:hAnsi="Arial"/>
                <w:sz w:val="18"/>
                <w:szCs w:val="18"/>
                <w:color w:val="auto"/>
              </w:rPr>
              <w:t>SMLP Holdings, LLC</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SMLP LTIP</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SMLP Long-Term Incentive Plan</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SMP Holdings</w:t>
            </w:r>
          </w:p>
        </w:tc>
        <w:tc>
          <w:tcPr>
            <w:tcW w:w="8600" w:type="dxa"/>
            <w:vAlign w:val="bottom"/>
          </w:tcPr>
          <w:p>
            <w:pPr>
              <w:ind w:left="320"/>
              <w:spacing w:after="0"/>
              <w:rPr>
                <w:sz w:val="20"/>
                <w:szCs w:val="20"/>
                <w:color w:val="auto"/>
              </w:rPr>
            </w:pPr>
            <w:r>
              <w:rPr>
                <w:rFonts w:ascii="Arial" w:cs="Arial" w:eastAsia="Arial" w:hAnsi="Arial"/>
                <w:sz w:val="18"/>
                <w:szCs w:val="18"/>
                <w:color w:val="auto"/>
              </w:rPr>
              <w:t>Summit Midstream Partners Holdings, LLC</w:t>
            </w:r>
          </w:p>
        </w:tc>
      </w:tr>
      <w:tr>
        <w:trPr>
          <w:trHeight w:val="215"/>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SMPH Term Loan</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Term Loan Agreement, dated as of March 21, 2017, among SMP Holdings,</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as borrower, the lenders party thereto and Credit Suisse AG, Cayman Islands</w:t>
            </w:r>
          </w:p>
        </w:tc>
      </w:tr>
      <w:tr>
        <w:trPr>
          <w:trHeight w:val="203"/>
        </w:trPr>
        <w:tc>
          <w:tcPr>
            <w:tcW w:w="2640" w:type="dxa"/>
            <w:vAlign w:val="bottom"/>
            <w:shd w:val="clear" w:color="auto" w:fill="CFF0FC"/>
          </w:tcPr>
          <w:p>
            <w:pPr>
              <w:spacing w:after="0"/>
              <w:rPr>
                <w:sz w:val="17"/>
                <w:szCs w:val="17"/>
                <w:color w:val="auto"/>
              </w:rPr>
            </w:pPr>
          </w:p>
        </w:tc>
        <w:tc>
          <w:tcPr>
            <w:tcW w:w="860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Branch, as Administrative Agent and Collateral Agent</w:t>
            </w:r>
          </w:p>
        </w:tc>
      </w:tr>
      <w:tr>
        <w:trPr>
          <w:trHeight w:val="215"/>
        </w:trPr>
        <w:tc>
          <w:tcPr>
            <w:tcW w:w="2640" w:type="dxa"/>
            <w:vAlign w:val="bottom"/>
          </w:tcPr>
          <w:p>
            <w:pPr>
              <w:ind w:left="380"/>
              <w:spacing w:after="0"/>
              <w:rPr>
                <w:sz w:val="20"/>
                <w:szCs w:val="20"/>
                <w:color w:val="auto"/>
              </w:rPr>
            </w:pPr>
            <w:r>
              <w:rPr>
                <w:rFonts w:ascii="Arial" w:cs="Arial" w:eastAsia="Arial" w:hAnsi="Arial"/>
                <w:sz w:val="18"/>
                <w:szCs w:val="18"/>
                <w:color w:val="auto"/>
              </w:rPr>
              <w:t>Subsidiary Series A</w:t>
            </w:r>
          </w:p>
        </w:tc>
        <w:tc>
          <w:tcPr>
            <w:tcW w:w="8600" w:type="dxa"/>
            <w:vAlign w:val="bottom"/>
          </w:tcPr>
          <w:p>
            <w:pPr>
              <w:ind w:left="320"/>
              <w:spacing w:after="0"/>
              <w:rPr>
                <w:sz w:val="20"/>
                <w:szCs w:val="20"/>
                <w:color w:val="auto"/>
              </w:rPr>
            </w:pPr>
            <w:r>
              <w:rPr>
                <w:rFonts w:ascii="Arial" w:cs="Arial" w:eastAsia="Arial" w:hAnsi="Arial"/>
                <w:sz w:val="18"/>
                <w:szCs w:val="18"/>
                <w:color w:val="auto"/>
              </w:rPr>
              <w:t>Series A Fixed Rate Cumulative Redeemable Preferred Units issued by Permian</w:t>
            </w:r>
          </w:p>
        </w:tc>
      </w:tr>
      <w:tr>
        <w:trPr>
          <w:trHeight w:val="203"/>
        </w:trPr>
        <w:tc>
          <w:tcPr>
            <w:tcW w:w="2640" w:type="dxa"/>
            <w:vAlign w:val="bottom"/>
          </w:tcPr>
          <w:p>
            <w:pPr>
              <w:ind w:left="580"/>
              <w:spacing w:after="0" w:line="203" w:lineRule="exact"/>
              <w:rPr>
                <w:sz w:val="20"/>
                <w:szCs w:val="20"/>
                <w:color w:val="auto"/>
              </w:rPr>
            </w:pPr>
            <w:r>
              <w:rPr>
                <w:rFonts w:ascii="Arial" w:cs="Arial" w:eastAsia="Arial" w:hAnsi="Arial"/>
                <w:sz w:val="18"/>
                <w:szCs w:val="18"/>
                <w:color w:val="auto"/>
              </w:rPr>
              <w:t>Preferred Units</w:t>
            </w:r>
          </w:p>
        </w:tc>
        <w:tc>
          <w:tcPr>
            <w:tcW w:w="8600" w:type="dxa"/>
            <w:vAlign w:val="bottom"/>
          </w:tcPr>
          <w:p>
            <w:pPr>
              <w:ind w:left="520"/>
              <w:spacing w:after="0" w:line="203" w:lineRule="exact"/>
              <w:rPr>
                <w:sz w:val="20"/>
                <w:szCs w:val="20"/>
                <w:color w:val="auto"/>
              </w:rPr>
            </w:pPr>
            <w:r>
              <w:rPr>
                <w:rFonts w:ascii="Arial" w:cs="Arial" w:eastAsia="Arial" w:hAnsi="Arial"/>
                <w:sz w:val="18"/>
                <w:szCs w:val="18"/>
                <w:color w:val="auto"/>
              </w:rPr>
              <w:t>Holdco</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Holdings</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Holdings, LLC</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Summit Investments</w:t>
            </w:r>
          </w:p>
        </w:tc>
        <w:tc>
          <w:tcPr>
            <w:tcW w:w="8600" w:type="dxa"/>
            <w:vAlign w:val="bottom"/>
          </w:tcPr>
          <w:p>
            <w:pPr>
              <w:ind w:left="320"/>
              <w:spacing w:after="0"/>
              <w:rPr>
                <w:sz w:val="20"/>
                <w:szCs w:val="20"/>
                <w:color w:val="auto"/>
              </w:rPr>
            </w:pPr>
            <w:r>
              <w:rPr>
                <w:rFonts w:ascii="Arial" w:cs="Arial" w:eastAsia="Arial" w:hAnsi="Arial"/>
                <w:sz w:val="18"/>
                <w:szCs w:val="18"/>
                <w:color w:val="auto"/>
              </w:rPr>
              <w:t>Summit Midstream Partners, LLC</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Marketing</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Marketing, LLC</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Summit Niobrara</w:t>
            </w:r>
          </w:p>
        </w:tc>
        <w:tc>
          <w:tcPr>
            <w:tcW w:w="8600" w:type="dxa"/>
            <w:vAlign w:val="bottom"/>
          </w:tcPr>
          <w:p>
            <w:pPr>
              <w:ind w:left="320"/>
              <w:spacing w:after="0"/>
              <w:rPr>
                <w:sz w:val="20"/>
                <w:szCs w:val="20"/>
                <w:color w:val="auto"/>
              </w:rPr>
            </w:pPr>
            <w:r>
              <w:rPr>
                <w:rFonts w:ascii="Arial" w:cs="Arial" w:eastAsia="Arial" w:hAnsi="Arial"/>
                <w:sz w:val="18"/>
                <w:szCs w:val="18"/>
                <w:color w:val="auto"/>
              </w:rPr>
              <w:t>Summit Midstream Niobrara, LLC</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Permian, LLC</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Summit Permian II</w:t>
            </w:r>
          </w:p>
        </w:tc>
        <w:tc>
          <w:tcPr>
            <w:tcW w:w="8600" w:type="dxa"/>
            <w:vAlign w:val="bottom"/>
          </w:tcPr>
          <w:p>
            <w:pPr>
              <w:ind w:left="320"/>
              <w:spacing w:after="0"/>
              <w:rPr>
                <w:sz w:val="20"/>
                <w:szCs w:val="20"/>
                <w:color w:val="auto"/>
              </w:rPr>
            </w:pPr>
            <w:r>
              <w:rPr>
                <w:rFonts w:ascii="Arial" w:cs="Arial" w:eastAsia="Arial" w:hAnsi="Arial"/>
                <w:sz w:val="18"/>
                <w:szCs w:val="18"/>
                <w:color w:val="auto"/>
              </w:rPr>
              <w:t>Summit Midstream Permian II, LLC</w:t>
            </w:r>
          </w:p>
        </w:tc>
      </w:tr>
      <w:tr>
        <w:trPr>
          <w:trHeight w:val="215"/>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Permian Transmission, LLC</w:t>
            </w:r>
          </w:p>
        </w:tc>
      </w:tr>
      <w:tr>
        <w:trPr>
          <w:trHeight w:val="203"/>
        </w:trPr>
        <w:tc>
          <w:tcPr>
            <w:tcW w:w="2640" w:type="dxa"/>
            <w:vAlign w:val="bottom"/>
            <w:shd w:val="clear" w:color="auto" w:fill="CFF0FC"/>
          </w:tcPr>
          <w:p>
            <w:pPr>
              <w:ind w:left="580"/>
              <w:spacing w:after="0" w:line="203" w:lineRule="exact"/>
              <w:rPr>
                <w:sz w:val="20"/>
                <w:szCs w:val="20"/>
                <w:color w:val="auto"/>
              </w:rPr>
            </w:pPr>
            <w:r>
              <w:rPr>
                <w:rFonts w:ascii="Arial" w:cs="Arial" w:eastAsia="Arial" w:hAnsi="Arial"/>
                <w:sz w:val="18"/>
                <w:szCs w:val="18"/>
                <w:color w:val="auto"/>
              </w:rPr>
              <w:t>Transmission</w:t>
            </w:r>
          </w:p>
        </w:tc>
        <w:tc>
          <w:tcPr>
            <w:tcW w:w="8600" w:type="dxa"/>
            <w:vAlign w:val="bottom"/>
            <w:shd w:val="clear" w:color="auto" w:fill="CFF0FC"/>
          </w:tcPr>
          <w:p>
            <w:pPr>
              <w:spacing w:after="0"/>
              <w:rPr>
                <w:sz w:val="17"/>
                <w:szCs w:val="17"/>
                <w:color w:val="auto"/>
              </w:rPr>
            </w:pP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Summit Utica</w:t>
            </w:r>
          </w:p>
        </w:tc>
        <w:tc>
          <w:tcPr>
            <w:tcW w:w="8600" w:type="dxa"/>
            <w:vAlign w:val="bottom"/>
          </w:tcPr>
          <w:p>
            <w:pPr>
              <w:ind w:left="320"/>
              <w:spacing w:after="0"/>
              <w:rPr>
                <w:sz w:val="20"/>
                <w:szCs w:val="20"/>
                <w:color w:val="auto"/>
              </w:rPr>
            </w:pPr>
            <w:r>
              <w:rPr>
                <w:rFonts w:ascii="Arial" w:cs="Arial" w:eastAsia="Arial" w:hAnsi="Arial"/>
                <w:sz w:val="18"/>
                <w:szCs w:val="18"/>
                <w:color w:val="auto"/>
              </w:rPr>
              <w:t>Summit Midstream Utica, LLC</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the Company</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Partners, LLC and its subsidiaries</w:t>
            </w:r>
          </w:p>
        </w:tc>
      </w:tr>
      <w:tr>
        <w:trPr>
          <w:trHeight w:val="216"/>
        </w:trPr>
        <w:tc>
          <w:tcPr>
            <w:tcW w:w="2640" w:type="dxa"/>
            <w:vAlign w:val="bottom"/>
          </w:tcPr>
          <w:p>
            <w:pPr>
              <w:ind w:left="380"/>
              <w:spacing w:after="0"/>
              <w:rPr>
                <w:sz w:val="20"/>
                <w:szCs w:val="20"/>
                <w:color w:val="auto"/>
              </w:rPr>
            </w:pPr>
            <w:r>
              <w:rPr>
                <w:rFonts w:ascii="Arial" w:cs="Arial" w:eastAsia="Arial" w:hAnsi="Arial"/>
                <w:sz w:val="18"/>
                <w:szCs w:val="18"/>
                <w:color w:val="auto"/>
              </w:rPr>
              <w:t>the Partnership</w:t>
            </w:r>
          </w:p>
        </w:tc>
        <w:tc>
          <w:tcPr>
            <w:tcW w:w="8600" w:type="dxa"/>
            <w:vAlign w:val="bottom"/>
          </w:tcPr>
          <w:p>
            <w:pPr>
              <w:ind w:left="320"/>
              <w:spacing w:after="0"/>
              <w:rPr>
                <w:sz w:val="20"/>
                <w:szCs w:val="20"/>
                <w:color w:val="auto"/>
              </w:rPr>
            </w:pPr>
            <w:r>
              <w:rPr>
                <w:rFonts w:ascii="Arial" w:cs="Arial" w:eastAsia="Arial" w:hAnsi="Arial"/>
                <w:sz w:val="18"/>
                <w:szCs w:val="18"/>
                <w:color w:val="auto"/>
              </w:rPr>
              <w:t>Summit Midstream Partners, LP and its subsidiaries</w:t>
            </w:r>
          </w:p>
        </w:tc>
      </w:tr>
      <w:tr>
        <w:trPr>
          <w:trHeight w:val="215"/>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the Partnership</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Fourth Amended and Restated Agreement of Limited Partnership of the</w:t>
            </w:r>
          </w:p>
        </w:tc>
      </w:tr>
      <w:tr>
        <w:trPr>
          <w:trHeight w:val="203"/>
        </w:trPr>
        <w:tc>
          <w:tcPr>
            <w:tcW w:w="2640" w:type="dxa"/>
            <w:vAlign w:val="bottom"/>
            <w:shd w:val="clear" w:color="auto" w:fill="CFF0FC"/>
          </w:tcPr>
          <w:p>
            <w:pPr>
              <w:ind w:left="560"/>
              <w:spacing w:after="0" w:line="203" w:lineRule="exact"/>
              <w:rPr>
                <w:sz w:val="20"/>
                <w:szCs w:val="20"/>
                <w:color w:val="auto"/>
              </w:rPr>
            </w:pPr>
            <w:r>
              <w:rPr>
                <w:rFonts w:ascii="Arial" w:cs="Arial" w:eastAsia="Arial" w:hAnsi="Arial"/>
                <w:sz w:val="18"/>
                <w:szCs w:val="18"/>
                <w:color w:val="auto"/>
              </w:rPr>
              <w:t>Agreement</w:t>
            </w:r>
          </w:p>
        </w:tc>
        <w:tc>
          <w:tcPr>
            <w:tcW w:w="860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Partnership</w:t>
            </w:r>
          </w:p>
        </w:tc>
      </w:tr>
      <w:tr>
        <w:trPr>
          <w:trHeight w:val="215"/>
        </w:trPr>
        <w:tc>
          <w:tcPr>
            <w:tcW w:w="2640" w:type="dxa"/>
            <w:vAlign w:val="bottom"/>
          </w:tcPr>
          <w:p>
            <w:pPr>
              <w:ind w:left="380"/>
              <w:spacing w:after="0"/>
              <w:rPr>
                <w:sz w:val="20"/>
                <w:szCs w:val="20"/>
                <w:color w:val="auto"/>
              </w:rPr>
            </w:pPr>
            <w:r>
              <w:rPr>
                <w:rFonts w:ascii="Arial" w:cs="Arial" w:eastAsia="Arial" w:hAnsi="Arial"/>
                <w:sz w:val="18"/>
                <w:szCs w:val="18"/>
                <w:color w:val="auto"/>
              </w:rPr>
              <w:t>throughput volume</w:t>
            </w:r>
          </w:p>
        </w:tc>
        <w:tc>
          <w:tcPr>
            <w:tcW w:w="8600" w:type="dxa"/>
            <w:vAlign w:val="bottom"/>
          </w:tcPr>
          <w:p>
            <w:pPr>
              <w:ind w:left="320"/>
              <w:spacing w:after="0"/>
              <w:rPr>
                <w:sz w:val="20"/>
                <w:szCs w:val="20"/>
                <w:color w:val="auto"/>
              </w:rPr>
            </w:pPr>
            <w:r>
              <w:rPr>
                <w:rFonts w:ascii="Arial" w:cs="Arial" w:eastAsia="Arial" w:hAnsi="Arial"/>
                <w:sz w:val="18"/>
                <w:szCs w:val="18"/>
                <w:color w:val="auto"/>
              </w:rPr>
              <w:t>the volume of natural gas, crude oil or produced water gathered, transported or</w:t>
            </w:r>
          </w:p>
        </w:tc>
      </w:tr>
      <w:tr>
        <w:trPr>
          <w:trHeight w:val="203"/>
        </w:trPr>
        <w:tc>
          <w:tcPr>
            <w:tcW w:w="2640" w:type="dxa"/>
            <w:vAlign w:val="bottom"/>
          </w:tcPr>
          <w:p>
            <w:pPr>
              <w:spacing w:after="0"/>
              <w:rPr>
                <w:sz w:val="17"/>
                <w:szCs w:val="17"/>
                <w:color w:val="auto"/>
              </w:rPr>
            </w:pPr>
          </w:p>
        </w:tc>
        <w:tc>
          <w:tcPr>
            <w:tcW w:w="8600" w:type="dxa"/>
            <w:vAlign w:val="bottom"/>
          </w:tcPr>
          <w:p>
            <w:pPr>
              <w:ind w:left="520"/>
              <w:spacing w:after="0" w:line="202" w:lineRule="exact"/>
              <w:rPr>
                <w:sz w:val="20"/>
                <w:szCs w:val="20"/>
                <w:color w:val="auto"/>
              </w:rPr>
            </w:pPr>
            <w:r>
              <w:rPr>
                <w:rFonts w:ascii="Arial" w:cs="Arial" w:eastAsia="Arial" w:hAnsi="Arial"/>
                <w:sz w:val="18"/>
                <w:szCs w:val="18"/>
                <w:color w:val="auto"/>
              </w:rPr>
              <w:t>passing through a pipeline, plant or other facility during a particular period;</w:t>
            </w:r>
          </w:p>
        </w:tc>
      </w:tr>
      <w:tr>
        <w:trPr>
          <w:trHeight w:val="203"/>
        </w:trPr>
        <w:tc>
          <w:tcPr>
            <w:tcW w:w="2640" w:type="dxa"/>
            <w:vAlign w:val="bottom"/>
          </w:tcPr>
          <w:p>
            <w:pPr>
              <w:spacing w:after="0"/>
              <w:rPr>
                <w:sz w:val="17"/>
                <w:szCs w:val="17"/>
                <w:color w:val="auto"/>
              </w:rPr>
            </w:pPr>
          </w:p>
        </w:tc>
        <w:tc>
          <w:tcPr>
            <w:tcW w:w="8600" w:type="dxa"/>
            <w:vAlign w:val="bottom"/>
          </w:tcPr>
          <w:p>
            <w:pPr>
              <w:ind w:left="520"/>
              <w:spacing w:after="0" w:line="203" w:lineRule="exact"/>
              <w:rPr>
                <w:sz w:val="20"/>
                <w:szCs w:val="20"/>
                <w:color w:val="auto"/>
              </w:rPr>
            </w:pPr>
            <w:r>
              <w:rPr>
                <w:rFonts w:ascii="Arial" w:cs="Arial" w:eastAsia="Arial" w:hAnsi="Arial"/>
                <w:sz w:val="18"/>
                <w:szCs w:val="18"/>
                <w:color w:val="auto"/>
              </w:rPr>
              <w:t>also referred to as volume throughput</w:t>
            </w:r>
          </w:p>
        </w:tc>
      </w:tr>
      <w:tr>
        <w:trPr>
          <w:trHeight w:val="216"/>
        </w:trPr>
        <w:tc>
          <w:tcPr>
            <w:tcW w:w="2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Tioga Midstream</w:t>
            </w:r>
          </w:p>
        </w:tc>
        <w:tc>
          <w:tcPr>
            <w:tcW w:w="86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Tioga Midstream, LLC</w:t>
            </w:r>
          </w:p>
        </w:tc>
      </w:tr>
      <w:tr>
        <w:trPr>
          <w:trHeight w:val="432"/>
        </w:trPr>
        <w:tc>
          <w:tcPr>
            <w:tcW w:w="2640" w:type="dxa"/>
            <w:vAlign w:val="bottom"/>
          </w:tcPr>
          <w:p>
            <w:pPr>
              <w:spacing w:after="0"/>
              <w:rPr>
                <w:sz w:val="24"/>
                <w:szCs w:val="24"/>
                <w:color w:val="auto"/>
              </w:rPr>
            </w:pPr>
          </w:p>
        </w:tc>
        <w:tc>
          <w:tcPr>
            <w:tcW w:w="8600" w:type="dxa"/>
            <w:vAlign w:val="bottom"/>
          </w:tcPr>
          <w:p>
            <w:pPr>
              <w:ind w:left="2940"/>
              <w:spacing w:after="0"/>
              <w:rPr>
                <w:sz w:val="20"/>
                <w:szCs w:val="20"/>
                <w:color w:val="auto"/>
              </w:rPr>
            </w:pPr>
            <w:r>
              <w:rPr>
                <w:rFonts w:ascii="Arial" w:cs="Arial" w:eastAsia="Arial" w:hAnsi="Arial"/>
                <w:sz w:val="18"/>
                <w:szCs w:val="18"/>
                <w:color w:val="auto"/>
              </w:rPr>
              <w:t>3</w:t>
            </w:r>
          </w:p>
        </w:tc>
      </w:tr>
      <w:tr>
        <w:trPr>
          <w:trHeight w:val="102"/>
        </w:trPr>
        <w:tc>
          <w:tcPr>
            <w:tcW w:w="2640" w:type="dxa"/>
            <w:vAlign w:val="bottom"/>
            <w:tcBorders>
              <w:bottom w:val="single" w:sz="8" w:color="9A9A9A"/>
            </w:tcBorders>
          </w:tcPr>
          <w:p>
            <w:pPr>
              <w:spacing w:after="0"/>
              <w:rPr>
                <w:sz w:val="8"/>
                <w:szCs w:val="8"/>
                <w:color w:val="auto"/>
              </w:rPr>
            </w:pPr>
          </w:p>
        </w:tc>
        <w:tc>
          <w:tcPr>
            <w:tcW w:w="8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660" w:type="dxa"/>
            <w:vAlign w:val="bottom"/>
          </w:tcPr>
          <w:p>
            <w:pPr>
              <w:ind w:left="380"/>
              <w:spacing w:after="0"/>
              <w:rPr>
                <w:sz w:val="20"/>
                <w:szCs w:val="20"/>
                <w:color w:val="auto"/>
              </w:rPr>
            </w:pPr>
            <w:r>
              <w:rPr>
                <w:rFonts w:ascii="Arial" w:cs="Arial" w:eastAsia="Arial" w:hAnsi="Arial"/>
                <w:sz w:val="18"/>
                <w:szCs w:val="18"/>
                <w:color w:val="auto"/>
              </w:rPr>
              <w:t>unconventional resource</w:t>
            </w:r>
          </w:p>
        </w:tc>
        <w:tc>
          <w:tcPr>
            <w:tcW w:w="8580" w:type="dxa"/>
            <w:vAlign w:val="bottom"/>
          </w:tcPr>
          <w:p>
            <w:pPr>
              <w:ind w:left="300"/>
              <w:spacing w:after="0"/>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03"/>
        </w:trPr>
        <w:tc>
          <w:tcPr>
            <w:tcW w:w="2660" w:type="dxa"/>
            <w:vAlign w:val="bottom"/>
          </w:tcPr>
          <w:p>
            <w:pPr>
              <w:ind w:left="580"/>
              <w:spacing w:after="0" w:line="202" w:lineRule="exact"/>
              <w:rPr>
                <w:sz w:val="20"/>
                <w:szCs w:val="20"/>
                <w:color w:val="auto"/>
              </w:rPr>
            </w:pPr>
            <w:r>
              <w:rPr>
                <w:rFonts w:ascii="Arial" w:cs="Arial" w:eastAsia="Arial" w:hAnsi="Arial"/>
                <w:sz w:val="18"/>
                <w:szCs w:val="18"/>
                <w:color w:val="auto"/>
              </w:rPr>
              <w:t>basin</w:t>
            </w: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sources that require hydraulic fracturing as part of the completion process, for</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instance, natural gas produced from shale formations and coalbeds; also</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referred to as an unconventional resource play</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wellhead</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equipment at the surface of a well, used to control the well's pressure; also, the</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point at which the hydrocarbons and water exit the ground</w:t>
            </w:r>
          </w:p>
        </w:tc>
      </w:tr>
      <w:tr>
        <w:trPr>
          <w:trHeight w:val="675"/>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auto"/>
              </w:rPr>
              <w:t>4</w:t>
            </w:r>
          </w:p>
        </w:tc>
      </w:tr>
      <w:tr>
        <w:trPr>
          <w:trHeight w:val="102"/>
        </w:trPr>
        <w:tc>
          <w:tcPr>
            <w:tcW w:w="2660" w:type="dxa"/>
            <w:vAlign w:val="bottom"/>
            <w:tcBorders>
              <w:bottom w:val="single" w:sz="8" w:color="9A9A9A"/>
            </w:tcBorders>
          </w:tcPr>
          <w:p>
            <w:pPr>
              <w:spacing w:after="0"/>
              <w:rPr>
                <w:sz w:val="8"/>
                <w:szCs w:val="8"/>
                <w:color w:val="auto"/>
              </w:rPr>
            </w:pPr>
          </w:p>
        </w:tc>
        <w:tc>
          <w:tcPr>
            <w:tcW w:w="8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56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2019</w:t>
            </w:r>
          </w:p>
        </w:tc>
      </w:tr>
      <w:tr>
        <w:trPr>
          <w:trHeight w:val="169"/>
        </w:trPr>
        <w:tc>
          <w:tcPr>
            <w:tcW w:w="7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(In thousands, except unit amounts)</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36,571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9,530</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5,048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27,392</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77,199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97,418</w:t>
            </w:r>
          </w:p>
        </w:tc>
      </w:tr>
      <w:tr>
        <w:trPr>
          <w:trHeight w:val="216"/>
        </w:trPr>
        <w:tc>
          <w:tcPr>
            <w:tcW w:w="75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4,252</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5,521</w:t>
            </w:r>
          </w:p>
        </w:tc>
      </w:tr>
      <w:tr>
        <w:trPr>
          <w:trHeight w:val="21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123,070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139,861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1,855,889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1,882,489</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215,901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232,278</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Investment in equity method investees</w:t>
            </w:r>
          </w:p>
        </w:tc>
        <w:tc>
          <w:tcPr>
            <w:tcW w:w="3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383,058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309,728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8,584</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9,742</w:t>
            </w:r>
          </w:p>
        </w:tc>
      </w:tr>
      <w:tr>
        <w:trPr>
          <w:trHeight w:val="250"/>
        </w:trPr>
        <w:tc>
          <w:tcPr>
            <w:tcW w:w="7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2,586,502</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2,574,098</w:t>
            </w:r>
          </w:p>
        </w:tc>
      </w:tr>
      <w:tr>
        <w:trPr>
          <w:trHeight w:val="197"/>
        </w:trPr>
        <w:tc>
          <w:tcPr>
            <w:tcW w:w="7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Liabilities and Capital</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18,422</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24,415</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11,331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11,339</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15,354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13,493</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 valorem taxes payable</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6,307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8,477</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11,737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12,346</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environmental remediation</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1,795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1,725</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9,859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12,206</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Short-term debt and current portion of long-term debt</w:t>
            </w: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38,000</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5,546</w:t>
            </w:r>
          </w:p>
        </w:tc>
      </w:tr>
      <w:tr>
        <w:trPr>
          <w:trHeight w:val="210"/>
        </w:trPr>
        <w:tc>
          <w:tcPr>
            <w:tcW w:w="75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112,805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89,547</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1,545,133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1,622,279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Noncurrent deferred revenue</w:t>
            </w:r>
          </w:p>
        </w:tc>
        <w:tc>
          <w:tcPr>
            <w:tcW w:w="320" w:type="dxa"/>
            <w:vAlign w:val="bottom"/>
          </w:tcPr>
          <w:p>
            <w:pPr>
              <w:spacing w:after="0"/>
              <w:rPr>
                <w:sz w:val="18"/>
                <w:szCs w:val="18"/>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42,348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38,709</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environmental remediation</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2,311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2,926</w:t>
            </w: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8,618</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7,951</w:t>
            </w:r>
          </w:p>
        </w:tc>
      </w:tr>
      <w:tr>
        <w:trPr>
          <w:trHeight w:val="210"/>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1,711,215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1,761,412</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Commitments and contingencies (Note 15)</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Mezzanine Capital</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Subsidiary Series A Preferred Units (82,400 units issued and</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outstanding at June 30, 2020 and 30,058 units issued and</w:t>
            </w: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75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outstanding at December 31, 2019)</w:t>
            </w: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78,563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27,450</w:t>
            </w:r>
          </w:p>
        </w:tc>
      </w:tr>
      <w:tr>
        <w:trPr>
          <w:trHeight w:val="216"/>
        </w:trPr>
        <w:tc>
          <w:tcPr>
            <w:tcW w:w="7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8"/>
                <w:szCs w:val="18"/>
                <w:color w:val="auto"/>
              </w:rPr>
              <w:t>Series A Preferred Units (300,000 units issued and outstanding at</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7520" w:type="dxa"/>
            <w:vAlign w:val="bottom"/>
          </w:tcPr>
          <w:p>
            <w:pPr>
              <w:ind w:left="200"/>
              <w:spacing w:after="0" w:line="203" w:lineRule="exact"/>
              <w:rPr>
                <w:sz w:val="20"/>
                <w:szCs w:val="20"/>
                <w:color w:val="auto"/>
              </w:rPr>
            </w:pPr>
            <w:r>
              <w:rPr>
                <w:rFonts w:ascii="Arial" w:cs="Arial" w:eastAsia="Arial" w:hAnsi="Arial"/>
                <w:sz w:val="18"/>
                <w:szCs w:val="18"/>
                <w:color w:val="auto"/>
              </w:rPr>
              <w:t>June 30, 2020 and December 31, 2019)</w:t>
            </w:r>
          </w:p>
        </w:tc>
        <w:tc>
          <w:tcPr>
            <w:tcW w:w="320" w:type="dxa"/>
            <w:vAlign w:val="bottom"/>
          </w:tcPr>
          <w:p>
            <w:pPr>
              <w:spacing w:after="0"/>
              <w:rPr>
                <w:sz w:val="17"/>
                <w:szCs w:val="17"/>
                <w:color w:val="auto"/>
              </w:rPr>
            </w:pPr>
          </w:p>
        </w:tc>
        <w:tc>
          <w:tcPr>
            <w:tcW w:w="14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307,866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293,616</w:t>
            </w:r>
          </w:p>
        </w:tc>
      </w:tr>
      <w:tr>
        <w:trPr>
          <w:trHeight w:val="215"/>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Common limited partner capital (43,543,056 units issued and outstanding</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at June 30, 2020 and 45,318,866 units issued and outstanding</w:t>
            </w: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03"/>
        </w:trPr>
        <w:tc>
          <w:tcPr>
            <w:tcW w:w="75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at December 31, 2019)</w:t>
            </w:r>
          </w:p>
        </w:tc>
        <w:tc>
          <w:tcPr>
            <w:tcW w:w="32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488,858</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305,550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186,070</w:t>
            </w:r>
          </w:p>
        </w:tc>
      </w:tr>
      <w:tr>
        <w:trPr>
          <w:trHeight w:val="210"/>
        </w:trPr>
        <w:tc>
          <w:tcPr>
            <w:tcW w:w="75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partners' capital</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796,724</w:t>
            </w: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785,236</w:t>
            </w:r>
          </w:p>
        </w:tc>
      </w:tr>
      <w:tr>
        <w:trPr>
          <w:trHeight w:val="209"/>
        </w:trPr>
        <w:tc>
          <w:tcPr>
            <w:tcW w:w="7520" w:type="dxa"/>
            <w:vAlign w:val="bottom"/>
          </w:tcPr>
          <w:p>
            <w:pPr>
              <w:ind w:left="380"/>
              <w:spacing w:after="0"/>
              <w:rPr>
                <w:sz w:val="20"/>
                <w:szCs w:val="20"/>
                <w:color w:val="auto"/>
              </w:rPr>
            </w:pPr>
            <w:r>
              <w:rPr>
                <w:rFonts w:ascii="Arial" w:cs="Arial" w:eastAsia="Arial" w:hAnsi="Arial"/>
                <w:sz w:val="18"/>
                <w:szCs w:val="18"/>
                <w:color w:val="auto"/>
              </w:rPr>
              <w:t>Total liabilities, mezzanine capital and partners' capital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2,586,502</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2,574,098</w:t>
            </w:r>
          </w:p>
        </w:tc>
      </w:tr>
      <w:tr>
        <w:trPr>
          <w:trHeight w:val="20"/>
        </w:trPr>
        <w:tc>
          <w:tcPr>
            <w:tcW w:w="7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per-unit amounts)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73,911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75,107</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157,703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162,071</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10,683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18,291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24,463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56,219</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7,413</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6,288</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14,744</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12,804</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92,007</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99,686</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196,910</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231,094</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6,088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11,571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14,313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43,330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21,152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24,318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42,963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48,540</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12,786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10,565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29,347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28,950</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29,630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26,837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59,296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54,601</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1,207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Gain on asset sales, net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4,475</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45,021</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71,236</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73,170</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151,446</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221,627</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(22,343)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(45,818)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(45,085)</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Gain on early extinguishment of debt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54,235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54,235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Pr>
          <w:p>
            <w:pPr>
              <w:ind w:left="260"/>
              <w:spacing w:after="0"/>
              <w:rPr>
                <w:sz w:val="20"/>
                <w:szCs w:val="20"/>
                <w:color w:val="auto"/>
              </w:rPr>
            </w:pPr>
            <w:r>
              <w:rPr>
                <w:rFonts w:ascii="Arial" w:cs="Arial" w:eastAsia="Arial" w:hAnsi="Arial"/>
                <w:sz w:val="18"/>
                <w:szCs w:val="18"/>
                <w:color w:val="auto"/>
              </w:rPr>
              <w:t>Income (loss) before income taxes and income</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400"/>
              <w:spacing w:after="0" w:line="203" w:lineRule="exact"/>
              <w:rPr>
                <w:sz w:val="20"/>
                <w:szCs w:val="20"/>
                <w:color w:val="auto"/>
              </w:rPr>
            </w:pPr>
            <w:r>
              <w:rPr>
                <w:rFonts w:ascii="Arial" w:cs="Arial" w:eastAsia="Arial" w:hAnsi="Arial"/>
                <w:sz w:val="18"/>
                <w:szCs w:val="18"/>
                <w:color w:val="auto"/>
              </w:rPr>
              <w:t>(loss) from equity method investees</w:t>
            </w:r>
          </w:p>
        </w:tc>
        <w:tc>
          <w:tcPr>
            <w:tcW w:w="160" w:type="dxa"/>
            <w:vAlign w:val="bottom"/>
          </w:tcPr>
          <w:p>
            <w:pPr>
              <w:spacing w:after="0"/>
              <w:rPr>
                <w:sz w:val="17"/>
                <w:szCs w:val="17"/>
                <w:color w:val="auto"/>
              </w:rPr>
            </w:pPr>
          </w:p>
        </w:tc>
        <w:tc>
          <w:tcPr>
            <w:tcW w:w="10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53,292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4,256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53,730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(35,326)</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equity method investees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3,040</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6,351</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56,721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3,028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60,483</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(37,252)</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Less: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 attributable to noncontrolling interest</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(3,274)</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(26,911)</w:t>
            </w:r>
          </w:p>
        </w:tc>
        <w:tc>
          <w:tcPr>
            <w:tcW w:w="0" w:type="dxa"/>
            <w:vAlign w:val="bottom"/>
          </w:tcPr>
          <w:p>
            <w:pPr>
              <w:spacing w:after="0"/>
              <w:rPr>
                <w:sz w:val="1"/>
                <w:szCs w:val="1"/>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Net income (loss) attributable to limited partners</w:t>
            </w:r>
          </w:p>
        </w:tc>
        <w:tc>
          <w:tcPr>
            <w:tcW w:w="1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58,114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4,369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63,757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(10,341)</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attributable to Series A Preferred Units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7,125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7,125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14,250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1,397</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2,342</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common limited partners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49,592</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47,165</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(24,591)</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per limited partner unit: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Common unit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1.06</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Common units – basic</w:t>
            </w:r>
          </w:p>
        </w:tc>
        <w:tc>
          <w:tcPr>
            <w:tcW w:w="16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44,650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45,319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44,985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45,319</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units – diluted</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46,737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45,319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46,323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45,319</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PARTNERS' CAPITAL</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Noncontrolling Interest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Partners' Capital</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56"/>
        </w:trPr>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2"/>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Series A</w:t>
            </w: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1200" w:type="dxa"/>
            <w:vAlign w:val="bottom"/>
          </w:tcPr>
          <w:p>
            <w:pPr>
              <w:jc w:val="center"/>
              <w:ind w:right="153"/>
              <w:spacing w:after="0"/>
              <w:rPr>
                <w:sz w:val="20"/>
                <w:szCs w:val="20"/>
                <w:color w:val="auto"/>
              </w:rPr>
            </w:pPr>
            <w:r>
              <w:rPr>
                <w:rFonts w:ascii="Arial" w:cs="Arial" w:eastAsia="Arial" w:hAnsi="Arial"/>
                <w:sz w:val="14"/>
                <w:szCs w:val="14"/>
                <w:b w:val="1"/>
                <w:bCs w:val="1"/>
                <w:color w:val="auto"/>
                <w:w w:val="99"/>
              </w:rPr>
              <w:t>Series A</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5"/>
        </w:trPr>
        <w:tc>
          <w:tcPr>
            <w:tcW w:w="4140" w:type="dxa"/>
            <w:vAlign w:val="bottom"/>
          </w:tcPr>
          <w:p>
            <w:pPr>
              <w:spacing w:after="0"/>
              <w:rPr>
                <w:sz w:val="15"/>
                <w:szCs w:val="15"/>
                <w:color w:val="auto"/>
              </w:rPr>
            </w:pPr>
          </w:p>
        </w:tc>
        <w:tc>
          <w:tcPr>
            <w:tcW w:w="14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Preferred Units</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Interests (1)</w:t>
            </w:r>
          </w:p>
        </w:tc>
        <w:tc>
          <w:tcPr>
            <w:tcW w:w="132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rPr>
              <w:t>Preferred Units</w:t>
            </w: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Partners' Capital</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r>
      <w:tr>
        <w:trPr>
          <w:trHeight w:val="169"/>
        </w:trPr>
        <w:tc>
          <w:tcPr>
            <w:tcW w:w="4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right="113"/>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2020</w:t>
            </w: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293,616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186,070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305,550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785,236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2,817</w:t>
            </w: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cash distributions to SMLP unitholders</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2,723</w:t>
            </w:r>
          </w:p>
        </w:tc>
      </w:tr>
      <w:tr>
        <w:trPr>
          <w:trHeight w:val="215"/>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Effect of common unit issuances under</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03"/>
        </w:trPr>
        <w:tc>
          <w:tcPr>
            <w:tcW w:w="414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SMLP LTIP</w:t>
            </w:r>
          </w:p>
        </w:tc>
        <w:tc>
          <w:tcPr>
            <w:tcW w:w="2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2,322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(2,322)</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w:t>
            </w:r>
          </w:p>
        </w:tc>
      </w:tr>
      <w:tr>
        <w:trPr>
          <w:trHeight w:val="215"/>
        </w:trPr>
        <w:tc>
          <w:tcPr>
            <w:tcW w:w="4140" w:type="dxa"/>
            <w:vAlign w:val="bottom"/>
          </w:tcPr>
          <w:p>
            <w:pPr>
              <w:spacing w:after="0"/>
              <w:rPr>
                <w:sz w:val="20"/>
                <w:szCs w:val="20"/>
                <w:color w:val="auto"/>
              </w:rPr>
            </w:pPr>
            <w:r>
              <w:rPr>
                <w:rFonts w:ascii="Arial" w:cs="Arial" w:eastAsia="Arial" w:hAnsi="Arial"/>
                <w:sz w:val="18"/>
                <w:szCs w:val="18"/>
                <w:color w:val="auto"/>
              </w:rPr>
              <w:t>Tax withholdings and associated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payments on vested SMLP LTIP</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140" w:type="dxa"/>
            <w:vAlign w:val="bottom"/>
          </w:tcPr>
          <w:p>
            <w:pPr>
              <w:ind w:left="200"/>
              <w:spacing w:after="0" w:line="203" w:lineRule="exact"/>
              <w:rPr>
                <w:sz w:val="20"/>
                <w:szCs w:val="20"/>
                <w:color w:val="auto"/>
              </w:rPr>
            </w:pPr>
            <w:r>
              <w:rPr>
                <w:rFonts w:ascii="Arial" w:cs="Arial" w:eastAsia="Arial" w:hAnsi="Arial"/>
                <w:sz w:val="18"/>
                <w:szCs w:val="18"/>
                <w:color w:val="auto"/>
              </w:rPr>
              <w:t>awards</w:t>
            </w:r>
          </w:p>
        </w:tc>
        <w:tc>
          <w:tcPr>
            <w:tcW w:w="200" w:type="dxa"/>
            <w:vAlign w:val="bottom"/>
          </w:tcPr>
          <w:p>
            <w:pPr>
              <w:spacing w:after="0"/>
              <w:rPr>
                <w:sz w:val="17"/>
                <w:szCs w:val="17"/>
                <w:color w:val="auto"/>
              </w:rPr>
            </w:pPr>
          </w:p>
        </w:tc>
        <w:tc>
          <w:tcPr>
            <w:tcW w:w="12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(984)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3"/>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(984)</w:t>
            </w:r>
          </w:p>
        </w:tc>
      </w:tr>
      <w:tr>
        <w:trPr>
          <w:trHeight w:val="210"/>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March 31, 2020</w:t>
            </w: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300,741</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182,213</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300,801</w:t>
            </w:r>
          </w:p>
        </w:tc>
        <w:tc>
          <w:tcPr>
            <w:tcW w:w="1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783,755</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4,750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49,592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55,324</w:t>
            </w: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Unit-based compensation</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1,846</w:t>
            </w:r>
          </w:p>
        </w:tc>
      </w:tr>
      <w:tr>
        <w:trPr>
          <w:trHeight w:val="215"/>
        </w:trPr>
        <w:tc>
          <w:tcPr>
            <w:tcW w:w="4140" w:type="dxa"/>
            <w:vAlign w:val="bottom"/>
          </w:tcPr>
          <w:p>
            <w:pPr>
              <w:spacing w:after="0"/>
              <w:rPr>
                <w:sz w:val="20"/>
                <w:szCs w:val="20"/>
                <w:color w:val="auto"/>
              </w:rPr>
            </w:pPr>
            <w:r>
              <w:rPr>
                <w:rFonts w:ascii="Arial" w:cs="Arial" w:eastAsia="Arial" w:hAnsi="Arial"/>
                <w:sz w:val="18"/>
                <w:szCs w:val="18"/>
                <w:color w:val="auto"/>
              </w:rPr>
              <w:t>Tax withholdings and associated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payments on vested SMLP LTIP</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4140" w:type="dxa"/>
            <w:vAlign w:val="bottom"/>
          </w:tcPr>
          <w:p>
            <w:pPr>
              <w:ind w:left="200"/>
              <w:spacing w:after="0" w:line="203" w:lineRule="exact"/>
              <w:rPr>
                <w:sz w:val="20"/>
                <w:szCs w:val="20"/>
                <w:color w:val="auto"/>
              </w:rPr>
            </w:pPr>
            <w:r>
              <w:rPr>
                <w:rFonts w:ascii="Arial" w:cs="Arial" w:eastAsia="Arial" w:hAnsi="Arial"/>
                <w:sz w:val="18"/>
                <w:szCs w:val="18"/>
                <w:color w:val="auto"/>
              </w:rPr>
              <w:t>awards</w:t>
            </w:r>
          </w:p>
        </w:tc>
        <w:tc>
          <w:tcPr>
            <w:tcW w:w="200" w:type="dxa"/>
            <w:vAlign w:val="bottom"/>
          </w:tcPr>
          <w:p>
            <w:pPr>
              <w:spacing w:after="0"/>
              <w:rPr>
                <w:sz w:val="17"/>
                <w:szCs w:val="17"/>
                <w:color w:val="auto"/>
              </w:rPr>
            </w:pPr>
          </w:p>
        </w:tc>
        <w:tc>
          <w:tcPr>
            <w:tcW w:w="12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(62)</w:t>
            </w:r>
          </w:p>
        </w:tc>
      </w:tr>
      <w:tr>
        <w:trPr>
          <w:trHeight w:val="215"/>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GP Buy-In Transaction assumption of</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02"/>
        </w:trPr>
        <w:tc>
          <w:tcPr>
            <w:tcW w:w="41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noncontrolling</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203"/>
        </w:trPr>
        <w:tc>
          <w:tcPr>
            <w:tcW w:w="414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interest in SMLP</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(305,491)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(182,117)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305,491</w:t>
            </w: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182,117</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w:t>
            </w:r>
          </w:p>
        </w:tc>
      </w:tr>
      <w:tr>
        <w:trPr>
          <w:trHeight w:val="215"/>
        </w:trPr>
        <w:tc>
          <w:tcPr>
            <w:tcW w:w="4140" w:type="dxa"/>
            <w:vAlign w:val="bottom"/>
          </w:tcPr>
          <w:p>
            <w:pPr>
              <w:spacing w:after="0"/>
              <w:rPr>
                <w:sz w:val="20"/>
                <w:szCs w:val="20"/>
                <w:color w:val="auto"/>
              </w:rPr>
            </w:pPr>
            <w:r>
              <w:rPr>
                <w:rFonts w:ascii="Arial" w:cs="Arial" w:eastAsia="Arial" w:hAnsi="Arial"/>
                <w:sz w:val="18"/>
                <w:szCs w:val="18"/>
                <w:color w:val="auto"/>
              </w:rPr>
              <w:t>Repurchase of common units under GP Buy-In</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4140" w:type="dxa"/>
            <w:vAlign w:val="bottom"/>
          </w:tcPr>
          <w:p>
            <w:pPr>
              <w:ind w:left="200"/>
              <w:spacing w:after="0" w:line="203" w:lineRule="exact"/>
              <w:rPr>
                <w:sz w:val="20"/>
                <w:szCs w:val="20"/>
                <w:color w:val="auto"/>
              </w:rPr>
            </w:pPr>
            <w:r>
              <w:rPr>
                <w:rFonts w:ascii="Arial" w:cs="Arial" w:eastAsia="Arial" w:hAnsi="Arial"/>
                <w:sz w:val="18"/>
                <w:szCs w:val="18"/>
                <w:color w:val="auto"/>
              </w:rPr>
              <w:t>Transaction</w:t>
            </w:r>
          </w:p>
        </w:tc>
        <w:tc>
          <w:tcPr>
            <w:tcW w:w="200" w:type="dxa"/>
            <w:vAlign w:val="bottom"/>
          </w:tcPr>
          <w:p>
            <w:pPr>
              <w:spacing w:after="0"/>
              <w:rPr>
                <w:sz w:val="17"/>
                <w:szCs w:val="17"/>
                <w:color w:val="auto"/>
              </w:rPr>
            </w:pPr>
          </w:p>
        </w:tc>
        <w:tc>
          <w:tcPr>
            <w:tcW w:w="122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tcPr>
          <w:p>
            <w:pPr>
              <w:jc w:val="right"/>
              <w:ind w:right="33"/>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(44,078)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(44,078)</w:t>
            </w: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4140" w:type="dxa"/>
            <w:vAlign w:val="bottom"/>
          </w:tcPr>
          <w:p>
            <w:pPr>
              <w:spacing w:after="0"/>
              <w:rPr>
                <w:sz w:val="20"/>
                <w:szCs w:val="20"/>
                <w:color w:val="auto"/>
              </w:rPr>
            </w:pPr>
            <w:r>
              <w:rPr>
                <w:rFonts w:ascii="Arial" w:cs="Arial" w:eastAsia="Arial" w:hAnsi="Arial"/>
                <w:sz w:val="18"/>
                <w:szCs w:val="18"/>
                <w:b w:val="1"/>
                <w:bCs w:val="1"/>
                <w:color w:val="auto"/>
              </w:rPr>
              <w:t>Partners' capital, June 30, 2020</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307,866</w:t>
            </w:r>
          </w:p>
        </w:tc>
        <w:tc>
          <w:tcPr>
            <w:tcW w:w="6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488,858</w:t>
            </w:r>
          </w:p>
        </w:tc>
        <w:tc>
          <w:tcPr>
            <w:tcW w:w="12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796,724</w:t>
            </w:r>
          </w:p>
        </w:tc>
      </w:tr>
      <w:tr>
        <w:trPr>
          <w:trHeight w:val="20"/>
        </w:trPr>
        <w:tc>
          <w:tcPr>
            <w:tcW w:w="4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7</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4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center"/>
        <w:spacing w:after="0" w:line="241" w:lineRule="auto"/>
        <w:rPr>
          <w:sz w:val="20"/>
          <w:szCs w:val="20"/>
          <w:color w:val="auto"/>
        </w:rPr>
      </w:pPr>
      <w:r>
        <w:rPr>
          <w:rFonts w:ascii="Arial" w:cs="Arial" w:eastAsia="Arial" w:hAnsi="Arial"/>
          <w:sz w:val="20"/>
          <w:szCs w:val="20"/>
          <w:b w:val="1"/>
          <w:bCs w:val="1"/>
          <w:color w:val="auto"/>
        </w:rPr>
        <w:t>SUMMIT MIDSTREAM PARTNERS, LP AND SUBSIDIARIES UNAUDITED CONDENSED CONSOLIDATED STATEMENTS OF PARTNERS' CAPITAL (continued)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Noncontrolling Interest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56"/>
        </w:trPr>
        <w:tc>
          <w:tcPr>
            <w:tcW w:w="4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194"/>
              <w:spacing w:after="0" w:line="156"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2"/>
        </w:trPr>
        <w:tc>
          <w:tcPr>
            <w:tcW w:w="4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Series A Preferred</w:t>
            </w:r>
          </w:p>
        </w:tc>
        <w:tc>
          <w:tcPr>
            <w:tcW w:w="140" w:type="dxa"/>
            <w:vAlign w:val="bottom"/>
          </w:tcPr>
          <w:p>
            <w:pPr>
              <w:spacing w:after="0"/>
              <w:rPr>
                <w:sz w:val="14"/>
                <w:szCs w:val="14"/>
                <w:color w:val="auto"/>
              </w:rPr>
            </w:pPr>
          </w:p>
        </w:tc>
        <w:tc>
          <w:tcPr>
            <w:tcW w:w="1380" w:type="dxa"/>
            <w:vAlign w:val="bottom"/>
          </w:tcPr>
          <w:p>
            <w:pPr>
              <w:jc w:val="center"/>
              <w:ind w:right="194"/>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5"/>
        </w:trPr>
        <w:tc>
          <w:tcPr>
            <w:tcW w:w="4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Interests (1)</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Partners' Capital</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Total</w:t>
            </w:r>
          </w:p>
        </w:tc>
      </w:tr>
      <w:tr>
        <w:trPr>
          <w:trHeight w:val="169"/>
        </w:trPr>
        <w:tc>
          <w:tcPr>
            <w:tcW w:w="4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5"/>
          </w:tcPr>
          <w:p>
            <w:pPr>
              <w:ind w:left="90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2019</w:t>
            </w:r>
          </w:p>
        </w:tc>
        <w:tc>
          <w:tcPr>
            <w:tcW w:w="9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293,616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554,472</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543,479</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1,391,567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income (loss)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(25,570)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(21,835)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(40,280)</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cash distributions to SMLP unitholders</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Unit-based compensation</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2,526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2,526</w:t>
            </w:r>
          </w:p>
        </w:tc>
      </w:tr>
      <w:tr>
        <w:trPr>
          <w:trHeight w:val="21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Effect of common unit issuances under</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03"/>
        </w:trPr>
        <w:tc>
          <w:tcPr>
            <w:tcW w:w="41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SMLP LTIP</w:t>
            </w: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2,387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(2,387)</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w:t>
            </w: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Tax withholdings and associated</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payments on vested SMLP LTIP</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120" w:type="dxa"/>
            <w:vAlign w:val="bottom"/>
          </w:tcPr>
          <w:p>
            <w:pPr>
              <w:ind w:left="200"/>
              <w:spacing w:after="0" w:line="203" w:lineRule="exact"/>
              <w:rPr>
                <w:sz w:val="20"/>
                <w:szCs w:val="20"/>
                <w:color w:val="auto"/>
              </w:rPr>
            </w:pPr>
            <w:r>
              <w:rPr>
                <w:rFonts w:ascii="Arial" w:cs="Arial" w:eastAsia="Arial" w:hAnsi="Arial"/>
                <w:sz w:val="18"/>
                <w:szCs w:val="18"/>
                <w:color w:val="auto"/>
              </w:rPr>
              <w:t>awards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(2,524)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(2,524)</w:t>
            </w:r>
          </w:p>
        </w:tc>
      </w:tr>
      <w:tr>
        <w:trPr>
          <w:trHeight w:val="21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noncontrolling interest related</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to cancellation of subsidiary incentive</w:t>
            </w: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03"/>
        </w:trPr>
        <w:tc>
          <w:tcPr>
            <w:tcW w:w="41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distribution rights</w:t>
            </w: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(48,203)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48,203</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w:t>
            </w:r>
          </w:p>
        </w:tc>
      </w:tr>
      <w:tr>
        <w:trPr>
          <w:trHeight w:val="209"/>
        </w:trPr>
        <w:tc>
          <w:tcPr>
            <w:tcW w:w="4120" w:type="dxa"/>
            <w:vAlign w:val="bottom"/>
          </w:tcPr>
          <w:p>
            <w:pPr>
              <w:spacing w:after="0"/>
              <w:rPr>
                <w:sz w:val="20"/>
                <w:szCs w:val="20"/>
                <w:color w:val="auto"/>
              </w:rPr>
            </w:pPr>
            <w:r>
              <w:rPr>
                <w:rFonts w:ascii="Arial" w:cs="Arial" w:eastAsia="Arial" w:hAnsi="Arial"/>
                <w:sz w:val="18"/>
                <w:szCs w:val="18"/>
                <w:b w:val="1"/>
                <w:bCs w:val="1"/>
                <w:color w:val="auto"/>
              </w:rPr>
              <w:t>Partners' capital, March 31, 2019</w:t>
            </w:r>
          </w:p>
        </w:tc>
        <w:tc>
          <w:tcPr>
            <w:tcW w:w="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300,741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455,714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567,460</w:t>
            </w: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1,323,915</w:t>
            </w: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3,028</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Net cash distributions to SMLP unitholders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(28,076)</w:t>
            </w:r>
          </w:p>
        </w:tc>
      </w:tr>
      <w:tr>
        <w:trPr>
          <w:trHeight w:val="21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Net cash distributions to Energy Capital</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03"/>
        </w:trPr>
        <w:tc>
          <w:tcPr>
            <w:tcW w:w="41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Partners</w:t>
            </w: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(68,984)</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(68,984)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Unit-based compensation</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1,393</w:t>
            </w:r>
          </w:p>
        </w:tc>
      </w:tr>
      <w:tr>
        <w:trPr>
          <w:trHeight w:val="215"/>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Effect of common unit issuances under</w:t>
            </w:r>
          </w:p>
        </w:tc>
        <w:tc>
          <w:tcPr>
            <w:tcW w:w="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03"/>
        </w:trPr>
        <w:tc>
          <w:tcPr>
            <w:tcW w:w="41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SMLP LTIP</w:t>
            </w:r>
          </w:p>
        </w:tc>
        <w:tc>
          <w:tcPr>
            <w:tcW w:w="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w:t>
            </w: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Tax withholdings and associated</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payments on vested SMLP LTIP</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120" w:type="dxa"/>
            <w:vAlign w:val="bottom"/>
            <w:tcBorders>
              <w:bottom w:val="single" w:sz="8" w:color="CFF0FC"/>
            </w:tcBorders>
          </w:tcPr>
          <w:p>
            <w:pPr>
              <w:ind w:left="200"/>
              <w:spacing w:after="0" w:line="203" w:lineRule="exact"/>
              <w:rPr>
                <w:sz w:val="20"/>
                <w:szCs w:val="20"/>
                <w:color w:val="auto"/>
              </w:rPr>
            </w:pPr>
            <w:r>
              <w:rPr>
                <w:rFonts w:ascii="Arial" w:cs="Arial" w:eastAsia="Arial" w:hAnsi="Arial"/>
                <w:sz w:val="18"/>
                <w:szCs w:val="18"/>
                <w:color w:val="auto"/>
              </w:rPr>
              <w:t>awards</w:t>
            </w:r>
          </w:p>
        </w:tc>
        <w:tc>
          <w:tcPr>
            <w:tcW w:w="6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w:t>
            </w: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June 30, 2019</w:t>
            </w:r>
          </w:p>
        </w:tc>
        <w:tc>
          <w:tcPr>
            <w:tcW w:w="90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293,616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441,887</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495,680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1,231,183</w:t>
            </w:r>
          </w:p>
        </w:tc>
      </w:tr>
      <w:tr>
        <w:trPr>
          <w:trHeight w:val="20"/>
        </w:trPr>
        <w:tc>
          <w:tcPr>
            <w:tcW w:w="4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CASH FLOWS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center"/>
              <w:ind w:right="39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r>
      <w:tr>
        <w:trPr>
          <w:trHeight w:val="169"/>
        </w:trPr>
        <w:tc>
          <w:tcPr>
            <w:tcW w:w="4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3"/>
          </w:tcPr>
          <w:p>
            <w:pPr>
              <w:jc w:val="center"/>
              <w:ind w:left="612"/>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3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60,483</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(37,252)</w:t>
            </w:r>
          </w:p>
        </w:tc>
      </w:tr>
      <w:tr>
        <w:trPr>
          <w:trHeight w:val="193"/>
        </w:trPr>
        <w:tc>
          <w:tcPr>
            <w:tcW w:w="498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Adjustments to reconcile net income (loss) to net</w:t>
            </w:r>
          </w:p>
        </w:tc>
        <w:tc>
          <w:tcPr>
            <w:tcW w:w="27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225"/>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cash provided by operating activities:</w:t>
            </w:r>
          </w:p>
        </w:tc>
        <w:tc>
          <w:tcPr>
            <w:tcW w:w="2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59,766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55,353</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Noncash lease expense</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1,557</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1,530</w:t>
            </w: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Amortization of debt issuance costs</w:t>
            </w: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3,136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3,121</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Unit-based and noncash compensation</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4,569</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4,079</w:t>
            </w: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(Income) loss from equity method investees</w:t>
            </w: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(6,351)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520</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Distributions from equity method investees</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12,749</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18,217</w:t>
            </w: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Loss (gain) on asset sales, net</w:t>
            </w: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early extinguishment of debt</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(54,235)</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4,475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45,021</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Changes in operating assets and liabilities:</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9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20,219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13,237</w:t>
            </w:r>
          </w:p>
        </w:tc>
      </w:tr>
      <w:tr>
        <w:trPr>
          <w:trHeight w:val="216"/>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payable</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1,411</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w:t>
            </w:r>
          </w:p>
        </w:tc>
      </w:tr>
      <w:tr>
        <w:trPr>
          <w:trHeight w:val="216"/>
        </w:trPr>
        <w:tc>
          <w:tcPr>
            <w:tcW w:w="49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(11,768)</w:t>
            </w:r>
          </w:p>
        </w:tc>
      </w:tr>
      <w:tr>
        <w:trPr>
          <w:trHeight w:val="216"/>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net</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5,500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2,007</w:t>
            </w:r>
          </w:p>
        </w:tc>
      </w:tr>
      <w:tr>
        <w:trPr>
          <w:trHeight w:val="216"/>
        </w:trPr>
        <w:tc>
          <w:tcPr>
            <w:tcW w:w="4980" w:type="dxa"/>
            <w:vAlign w:val="bottom"/>
          </w:tcPr>
          <w:p>
            <w:pPr>
              <w:ind w:left="260"/>
              <w:spacing w:after="0"/>
              <w:rPr>
                <w:sz w:val="20"/>
                <w:szCs w:val="20"/>
                <w:color w:val="auto"/>
              </w:rPr>
            </w:pPr>
            <w:r>
              <w:rPr>
                <w:rFonts w:ascii="Arial" w:cs="Arial" w:eastAsia="Arial" w:hAnsi="Arial"/>
                <w:sz w:val="18"/>
                <w:szCs w:val="18"/>
                <w:color w:val="auto"/>
              </w:rPr>
              <w:t>Ad valorem taxes payable</w:t>
            </w: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(3,265)</w:t>
            </w:r>
          </w:p>
        </w:tc>
      </w:tr>
      <w:tr>
        <w:trPr>
          <w:trHeight w:val="216"/>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124</w:t>
            </w:r>
          </w:p>
        </w:tc>
      </w:tr>
      <w:tr>
        <w:trPr>
          <w:trHeight w:val="216"/>
        </w:trPr>
        <w:tc>
          <w:tcPr>
            <w:tcW w:w="4980" w:type="dxa"/>
            <w:vAlign w:val="bottom"/>
          </w:tcPr>
          <w:p>
            <w:pPr>
              <w:ind w:left="260"/>
              <w:spacing w:after="0"/>
              <w:rPr>
                <w:sz w:val="20"/>
                <w:szCs w:val="20"/>
                <w:color w:val="auto"/>
              </w:rPr>
            </w:pPr>
            <w:r>
              <w:rPr>
                <w:rFonts w:ascii="Arial" w:cs="Arial" w:eastAsia="Arial" w:hAnsi="Arial"/>
                <w:sz w:val="18"/>
                <w:szCs w:val="18"/>
                <w:color w:val="auto"/>
              </w:rPr>
              <w:t>Accrued environmental remediation, net</w:t>
            </w: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16"/>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7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w:t>
            </w:r>
          </w:p>
        </w:tc>
      </w:tr>
      <w:tr>
        <w:trPr>
          <w:trHeight w:val="209"/>
        </w:trPr>
        <w:tc>
          <w:tcPr>
            <w:tcW w:w="49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7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105,371</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84,574</w:t>
            </w:r>
          </w:p>
        </w:tc>
      </w:tr>
      <w:tr>
        <w:trPr>
          <w:trHeight w:val="210"/>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Capital expenditures</w:t>
            </w: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(27,426)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(111,092)</w:t>
            </w:r>
          </w:p>
        </w:tc>
      </w:tr>
      <w:tr>
        <w:trPr>
          <w:trHeight w:val="215"/>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asset sale (net of cash of $1,475 for the</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03"/>
        </w:trPr>
        <w:tc>
          <w:tcPr>
            <w:tcW w:w="49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period ended June 30, 2019)</w:t>
            </w:r>
          </w:p>
        </w:tc>
        <w:tc>
          <w:tcPr>
            <w:tcW w:w="27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89,761</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Distribution from equity method investment</w:t>
            </w: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7,252</w:t>
            </w: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Investment in equity method investee</w:t>
            </w:r>
          </w:p>
        </w:tc>
        <w:tc>
          <w:tcPr>
            <w:tcW w:w="2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(79,728)</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(5,921)</w:t>
            </w: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27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217</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10"/>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7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(106,937)</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(20,160)</w:t>
            </w:r>
          </w:p>
        </w:tc>
      </w:tr>
      <w:tr>
        <w:trPr>
          <w:trHeight w:val="425"/>
        </w:trPr>
        <w:tc>
          <w:tcPr>
            <w:tcW w:w="4980" w:type="dxa"/>
            <w:vAlign w:val="bottom"/>
          </w:tcPr>
          <w:p>
            <w:pPr>
              <w:spacing w:after="0"/>
              <w:rPr>
                <w:sz w:val="24"/>
                <w:szCs w:val="24"/>
                <w:color w:val="auto"/>
              </w:rPr>
            </w:pPr>
          </w:p>
        </w:tc>
        <w:tc>
          <w:tcPr>
            <w:tcW w:w="2720" w:type="dxa"/>
            <w:vAlign w:val="bottom"/>
          </w:tcPr>
          <w:p>
            <w:pPr>
              <w:jc w:val="right"/>
              <w:ind w:right="193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1"/>
        </w:trPr>
        <w:tc>
          <w:tcPr>
            <w:tcW w:w="498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center"/>
        <w:spacing w:after="0" w:line="241" w:lineRule="auto"/>
        <w:rPr>
          <w:sz w:val="20"/>
          <w:szCs w:val="20"/>
          <w:color w:val="auto"/>
        </w:rPr>
      </w:pPr>
      <w:r>
        <w:rPr>
          <w:rFonts w:ascii="Arial" w:cs="Arial" w:eastAsia="Arial" w:hAnsi="Arial"/>
          <w:sz w:val="20"/>
          <w:szCs w:val="20"/>
          <w:b w:val="1"/>
          <w:bCs w:val="1"/>
          <w:color w:val="auto"/>
        </w:rPr>
        <w:t>SUMMIT MIDSTREAM PARTNERS, LP AND SUBSIDIARIES UNAUDITED CONDENSED CONSOLIDATED STATEMENTS OF CASH FLOWS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540" w:type="dxa"/>
            <w:vAlign w:val="bottom"/>
            <w:tcBorders>
              <w:bottom w:val="single" w:sz="8" w:color="auto"/>
            </w:tcBorders>
            <w:gridSpan w:val="5"/>
          </w:tcPr>
          <w:p>
            <w:pPr>
              <w:jc w:val="center"/>
              <w:ind w:right="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gridSpan w:val="3"/>
          </w:tcPr>
          <w:p>
            <w:pPr>
              <w:jc w:val="center"/>
              <w:ind w:left="31"/>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cash distributions to noncontrolling interest SMLP unitholders</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(6,037)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(41,200)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Series A Preferred unitholders</w:t>
            </w:r>
          </w:p>
        </w:tc>
        <w:tc>
          <w:tcPr>
            <w:tcW w:w="9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cash distributions to Energy Capital Partners</w:t>
            </w:r>
          </w:p>
        </w:tc>
        <w:tc>
          <w:tcPr>
            <w:tcW w:w="9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(68,984)</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Revolving Credit Facility</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90,000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233,000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Repayments on Revolving Credit Facility</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(34,000)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(126,000)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Repayments on SMP Holdings term loan</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Repurchase of Senior Notes</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(76,707)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Series A preferred units, net of costs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48,710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Borrowings under ECP Loans</w:t>
            </w:r>
          </w:p>
        </w:tc>
        <w:tc>
          <w:tcPr>
            <w:tcW w:w="94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35,000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Purchase of common units in GP Buy-In Transaction</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(41,778)</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Debt issuance costs</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asset sale</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6,263</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(74,945)</w:t>
            </w:r>
          </w:p>
        </w:tc>
        <w:tc>
          <w:tcPr>
            <w:tcW w:w="0" w:type="dxa"/>
            <w:vAlign w:val="bottom"/>
          </w:tcPr>
          <w:p>
            <w:pPr>
              <w:spacing w:after="0"/>
              <w:rPr>
                <w:sz w:val="1"/>
                <w:szCs w:val="1"/>
                <w:color w:val="auto"/>
              </w:rPr>
            </w:pPr>
          </w:p>
        </w:tc>
      </w:tr>
      <w:tr>
        <w:trPr>
          <w:trHeight w:val="209"/>
        </w:trPr>
        <w:tc>
          <w:tcPr>
            <w:tcW w:w="7700" w:type="dxa"/>
            <w:vAlign w:val="bottom"/>
          </w:tcPr>
          <w:p>
            <w:pPr>
              <w:ind w:left="380"/>
              <w:spacing w:after="0"/>
              <w:rPr>
                <w:sz w:val="20"/>
                <w:szCs w:val="20"/>
                <w:color w:val="auto"/>
              </w:rPr>
            </w:pPr>
            <w:r>
              <w:rPr>
                <w:rFonts w:ascii="Arial" w:cs="Arial" w:eastAsia="Arial" w:hAnsi="Arial"/>
                <w:sz w:val="18"/>
                <w:szCs w:val="18"/>
                <w:color w:val="auto"/>
              </w:rPr>
              <w:t>Net change in cash, cash equivalents and restricted cash</w:t>
            </w:r>
          </w:p>
        </w:tc>
        <w:tc>
          <w:tcPr>
            <w:tcW w:w="94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4,697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36,922</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16,173</w:t>
            </w:r>
          </w:p>
        </w:tc>
        <w:tc>
          <w:tcPr>
            <w:tcW w:w="0" w:type="dxa"/>
            <w:vAlign w:val="bottom"/>
          </w:tcPr>
          <w:p>
            <w:pPr>
              <w:spacing w:after="0"/>
              <w:rPr>
                <w:sz w:val="1"/>
                <w:szCs w:val="1"/>
                <w:color w:val="auto"/>
              </w:rPr>
            </w:pPr>
          </w:p>
        </w:tc>
      </w:tr>
      <w:tr>
        <w:trPr>
          <w:trHeight w:val="24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end of period (1)</w:t>
            </w: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41,619</w:t>
            </w:r>
          </w:p>
        </w:tc>
        <w:tc>
          <w:tcPr>
            <w:tcW w:w="180" w:type="dxa"/>
            <w:vAlign w:val="bottom"/>
            <w:tcBorders>
              <w:bottom w:val="single" w:sz="8" w:color="CFF0FC"/>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197"/>
        </w:trPr>
        <w:tc>
          <w:tcPr>
            <w:tcW w:w="77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interest paid</w:t>
            </w:r>
          </w:p>
        </w:tc>
        <w:tc>
          <w:tcPr>
            <w:tcW w:w="940" w:type="dxa"/>
            <w:vAlign w:val="bottom"/>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44,073</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43,683</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capitalized interest</w:t>
            </w: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819</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Interest paid (net of capitalized interest)</w:t>
            </w: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43,254</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39,322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taxes</w:t>
            </w:r>
          </w:p>
        </w:tc>
        <w:tc>
          <w:tcPr>
            <w:tcW w:w="940" w:type="dxa"/>
            <w:vAlign w:val="bottom"/>
            <w:shd w:val="clear" w:color="auto" w:fill="CFF0FC"/>
          </w:tcPr>
          <w:p>
            <w:pPr>
              <w:jc w:val="right"/>
              <w:ind w:right="757"/>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Capital expenditures in trade accounts payable (period-end</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3" w:lineRule="exact"/>
              <w:rPr>
                <w:sz w:val="20"/>
                <w:szCs w:val="20"/>
                <w:color w:val="auto"/>
              </w:rPr>
            </w:pPr>
            <w:r>
              <w:rPr>
                <w:rFonts w:ascii="Arial" w:cs="Arial" w:eastAsia="Arial" w:hAnsi="Arial"/>
                <w:sz w:val="18"/>
                <w:szCs w:val="18"/>
                <w:color w:val="auto"/>
              </w:rPr>
              <w:t>accruals)</w:t>
            </w:r>
          </w:p>
        </w:tc>
        <w:tc>
          <w:tcPr>
            <w:tcW w:w="940" w:type="dxa"/>
            <w:vAlign w:val="bottom"/>
          </w:tcPr>
          <w:p>
            <w:pPr>
              <w:jc w:val="right"/>
              <w:ind w:right="757"/>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12,442</w:t>
            </w:r>
          </w:p>
        </w:tc>
        <w:tc>
          <w:tcPr>
            <w:tcW w:w="180" w:type="dxa"/>
            <w:vAlign w:val="bottom"/>
          </w:tcPr>
          <w:p>
            <w:pPr>
              <w:spacing w:after="0"/>
              <w:rPr>
                <w:sz w:val="17"/>
                <w:szCs w:val="17"/>
                <w:color w:val="auto"/>
              </w:rPr>
            </w:pPr>
          </w:p>
        </w:tc>
        <w:tc>
          <w:tcPr>
            <w:tcW w:w="480" w:type="dxa"/>
            <w:vAlign w:val="bottom"/>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22,051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Warrant issuance for GP Buy-In Transaction</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Asset contribution to an equity method investment</w:t>
            </w:r>
          </w:p>
        </w:tc>
        <w:tc>
          <w:tcPr>
            <w:tcW w:w="9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23,643</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relating to ASC Topic 842</w:t>
            </w:r>
          </w:p>
        </w:tc>
        <w:tc>
          <w:tcPr>
            <w:tcW w:w="9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190"/>
        </w:trPr>
        <w:tc>
          <w:tcPr>
            <w:tcW w:w="7700" w:type="dxa"/>
            <w:vAlign w:val="bottom"/>
          </w:tcPr>
          <w:p>
            <w:pPr>
              <w:spacing w:after="0"/>
              <w:rPr>
                <w:sz w:val="20"/>
                <w:szCs w:val="20"/>
                <w:color w:val="auto"/>
              </w:rPr>
            </w:pPr>
            <w:r>
              <w:rPr>
                <w:rFonts w:ascii="Arial" w:cs="Arial" w:eastAsia="Arial" w:hAnsi="Arial"/>
                <w:sz w:val="14"/>
                <w:szCs w:val="14"/>
                <w:color w:val="auto"/>
              </w:rPr>
              <w:t>(1) A reconciliation of cash, cash equivalents and restricted cash to the consolidated balance sheets follow:</w:t>
            </w:r>
          </w:p>
        </w:tc>
        <w:tc>
          <w:tcPr>
            <w:tcW w:w="3540" w:type="dxa"/>
            <w:vAlign w:val="bottom"/>
            <w:gridSpan w:val="5"/>
            <w:vMerge w:val="restart"/>
          </w:tcPr>
          <w:p>
            <w:pPr>
              <w:jc w:val="center"/>
              <w:ind w:right="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5"/>
        </w:trPr>
        <w:tc>
          <w:tcPr>
            <w:tcW w:w="7700" w:type="dxa"/>
            <w:vAlign w:val="bottom"/>
          </w:tcPr>
          <w:p>
            <w:pPr>
              <w:spacing w:after="0"/>
              <w:rPr>
                <w:sz w:val="13"/>
                <w:szCs w:val="13"/>
                <w:color w:val="auto"/>
              </w:rPr>
            </w:pPr>
          </w:p>
        </w:tc>
        <w:tc>
          <w:tcPr>
            <w:tcW w:w="3540" w:type="dxa"/>
            <w:vAlign w:val="bottom"/>
            <w:tcBorders>
              <w:bottom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2"/>
        </w:trPr>
        <w:tc>
          <w:tcPr>
            <w:tcW w:w="7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gridSpan w:val="3"/>
          </w:tcPr>
          <w:p>
            <w:pPr>
              <w:jc w:val="center"/>
              <w:ind w:left="31"/>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spacing w:after="0" w:line="203" w:lineRule="exact"/>
              <w:rPr>
                <w:sz w:val="20"/>
                <w:szCs w:val="20"/>
                <w:color w:val="auto"/>
              </w:rPr>
            </w:pPr>
            <w:r>
              <w:rPr>
                <w:rFonts w:ascii="Arial" w:cs="Arial" w:eastAsia="Arial" w:hAnsi="Arial"/>
                <w:sz w:val="18"/>
                <w:szCs w:val="18"/>
                <w:color w:val="auto"/>
              </w:rPr>
              <w:t>Cash and cash equivalents</w:t>
            </w:r>
          </w:p>
        </w:tc>
        <w:tc>
          <w:tcPr>
            <w:tcW w:w="940" w:type="dxa"/>
            <w:vAlign w:val="bottom"/>
          </w:tcPr>
          <w:p>
            <w:pPr>
              <w:jc w:val="right"/>
              <w:ind w:right="757"/>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36,571</w:t>
            </w:r>
          </w:p>
        </w:tc>
        <w:tc>
          <w:tcPr>
            <w:tcW w:w="180" w:type="dxa"/>
            <w:vAlign w:val="bottom"/>
          </w:tcPr>
          <w:p>
            <w:pPr>
              <w:spacing w:after="0"/>
              <w:rPr>
                <w:sz w:val="17"/>
                <w:szCs w:val="17"/>
                <w:color w:val="auto"/>
              </w:rPr>
            </w:pPr>
          </w:p>
        </w:tc>
        <w:tc>
          <w:tcPr>
            <w:tcW w:w="480" w:type="dxa"/>
            <w:vAlign w:val="bottom"/>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5,048</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940" w:type="dxa"/>
            <w:vAlign w:val="bottom"/>
            <w:tcBorders>
              <w:bottom w:val="single" w:sz="8" w:color="auto"/>
            </w:tcBorders>
          </w:tcPr>
          <w:p>
            <w:pPr>
              <w:jc w:val="right"/>
              <w:ind w:right="757"/>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41,619</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0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SMLP, a Delaware limited partnership, 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Our business activities are conducted through various operating subsidiaries, each of which is owned or controlled by our wholly owned subsidiary holding company, Summit Holdings, a Delaware limited liability company. References to the "Partnership," "we," or "our" refer collectively to SMLP and its subsidiaries.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On May 3, 2020, the Partnership entered into a Purchase Agreement (the “Purchase Agreement”) with affiliates of Energy Capital Partners II, LLC, a Delaware limited liability company (“ECP”). On May 28, 2020 (the “Closing Date”), the transactions contemplated by the Purchase Agreement closed.</w:t>
      </w:r>
    </w:p>
    <w:p>
      <w:pPr>
        <w:spacing w:after="0" w:line="95"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Pursuant to the Purchase Agreement, the Partnership acquired (i) all the outstanding limited liability company interests of Summit Midstream Partners, LLC, a Delaware limited liability company (“Summit Investments”), which is the sole member of Summit Midstream Partners Holdings, LLC, a Delaware limited liability company (“SMP Holdings”), which in turn owns (a) 34,604,581 common units representing limited partner interests in the Partnership (the “common units”) pledged as collateral under the Term Loan Agreement, dated as of March 21, 2017, among SMP Holdings, as borrower, the lenders party thereto and Credit Suisse AG, Cayman Islands Branch, as Administrative Agent and Collateral Agent (the “SMPH Term Loan”), (b) 10,714,285 common units not pledged as collateral under the SMPH Term Loan and (c) the right of SMP Holdings to receive the deferred purchase price obligation under the Contribution Agreement by and between the Partnership and SMP Holdings, dated February 25, 2016, as amended (the “Contribution Agreement”), and (ii) 5,915,827 common units held by SMLP Holdings, LLC, a Delaware limited liability company and an affiliate of ECP (“ECP Holdings”). The total purchase price under the Purchase Agreement was $35 million in cash and warrants to purchase up to 10 million common units (Refer to Note 11 for additional details). Pursuant to the Purchase Agreement, SMP Holdings continues to retain the liabilities stemming from the release of produced water from a produced water pipeline operated by Meadowlark Midstream Company, LLC that occurred near Williston, North Dakota and was discovered on January 6, 2015. We refer to the transactions contemplated by the Purchase Agreement as the “GP Buy-In Transaction.”</w:t>
      </w:r>
    </w:p>
    <w:p>
      <w:pPr>
        <w:spacing w:after="0" w:line="9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As a result of the GP Buy-In Transaction, the Partnership now indirectly owns its General Partner. Following the closing of the GP Buy-In Transaction, the Partnership retired 16,630,112 common units it acquired under the Purchase Agreement that are not pledged as collateral under the SMPH Term Loan. The 34,604,581 common units that are pledged as collateral under the SMPH Term Loan are not considered outstanding with respect to voting and distributions under the Partnership Agreement so long as they are held by a subsidiary of the Partnership.</w:t>
      </w:r>
    </w:p>
    <w:p>
      <w:pPr>
        <w:spacing w:after="0" w:line="9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Under GAAP, the GP Buy-In Transaction was deemed a transaction among entities under common control with a change in reporting entity. Although SMLP is the surviving entity for legal purposes, Summit Investments is the surviving entity for accounting purposes; therefore, the historical financial results included herein prior to the GP Buy-In Transaction are those of Summit Investments. Prior to the GP Buy-In Transaction, Summit Investments controlled SMLP and SMLP’s financial statements were consolidated into Summit Investments.</w:t>
      </w:r>
    </w:p>
    <w:p>
      <w:pPr>
        <w:spacing w:after="0" w:line="5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i w:val="1"/>
          <w:iCs w:val="1"/>
          <w:color w:val="auto"/>
        </w:rPr>
        <w:t xml:space="preserve">Business Operations. </w:t>
      </w:r>
      <w:r>
        <w:rPr>
          <w:rFonts w:ascii="Arial" w:cs="Arial" w:eastAsia="Arial" w:hAnsi="Arial"/>
          <w:sz w:val="18"/>
          <w:szCs w:val="18"/>
          <w:color w:val="auto"/>
        </w:rPr>
        <w:t>We provide natural gas gathering, compression, treating and processing services as well as crude oil and produced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gathering services pursuant to primarily long-term, fee-based agreements with our customers. Our results are primarily driven by the volumes of natural gas that we gather, compress, treat and/or process as well as by the volumes of crude oil and produced water that we gather. We are the owner-operator of, or have significant ownership interests in, the following gathering and transportation systems:</w:t>
      </w:r>
    </w:p>
    <w:p>
      <w:pPr>
        <w:spacing w:after="0" w:line="84" w:lineRule="exact"/>
        <w:rPr>
          <w:sz w:val="20"/>
          <w:szCs w:val="20"/>
          <w:color w:val="auto"/>
        </w:rPr>
      </w:pPr>
    </w:p>
    <w:p>
      <w:pPr>
        <w:ind w:left="800" w:right="38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left="800" w:right="24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48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44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12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 southeastern Wyoming;</w:t>
      </w:r>
    </w:p>
    <w:p>
      <w:pPr>
        <w:spacing w:after="0" w:line="88" w:lineRule="exact"/>
        <w:rPr>
          <w:rFonts w:ascii="Arial" w:cs="Arial" w:eastAsia="Arial" w:hAnsi="Arial"/>
          <w:sz w:val="18"/>
          <w:szCs w:val="18"/>
          <w:color w:val="auto"/>
        </w:rPr>
      </w:pPr>
    </w:p>
    <w:p>
      <w:pPr>
        <w:ind w:left="800" w:right="38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w:t>
      </w:r>
    </w:p>
    <w:p>
      <w:pPr>
        <w:spacing w:after="0" w:line="88" w:lineRule="exact"/>
        <w:rPr>
          <w:rFonts w:ascii="Arial" w:cs="Arial" w:eastAsia="Arial" w:hAnsi="Arial"/>
          <w:sz w:val="18"/>
          <w:szCs w:val="18"/>
          <w:color w:val="auto"/>
        </w:rPr>
      </w:pPr>
    </w:p>
    <w:p>
      <w:pPr>
        <w:ind w:left="800" w:right="36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Double E, a 1.35 Bcf/d natural gas transmission pipeline that is under development and will provide transportation service from multiple receipt points in the Delaware Basin to various delivery points in and around the Waha Hub in Texas;</w:t>
      </w:r>
    </w:p>
    <w:p>
      <w:pPr>
        <w:spacing w:after="0" w:line="88" w:lineRule="exact"/>
        <w:rPr>
          <w:rFonts w:ascii="Arial" w:cs="Arial" w:eastAsia="Arial" w:hAnsi="Arial"/>
          <w:sz w:val="18"/>
          <w:szCs w:val="18"/>
          <w:color w:val="auto"/>
        </w:rPr>
      </w:pPr>
    </w:p>
    <w:p>
      <w:pPr>
        <w:ind w:left="800" w:right="54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w:t>
      </w:r>
    </w:p>
    <w:p>
      <w:pPr>
        <w:spacing w:after="0" w:line="88" w:lineRule="exact"/>
        <w:rPr>
          <w:rFonts w:ascii="Arial" w:cs="Arial" w:eastAsia="Arial" w:hAnsi="Arial"/>
          <w:sz w:val="18"/>
          <w:szCs w:val="18"/>
          <w:color w:val="auto"/>
        </w:rPr>
      </w:pPr>
    </w:p>
    <w:p>
      <w:pPr>
        <w:ind w:left="800" w:right="18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88" w:lineRule="exact"/>
        <w:rPr>
          <w:rFonts w:ascii="Arial" w:cs="Arial" w:eastAsia="Arial" w:hAnsi="Arial"/>
          <w:sz w:val="18"/>
          <w:szCs w:val="18"/>
          <w:color w:val="auto"/>
        </w:rPr>
      </w:pPr>
    </w:p>
    <w:p>
      <w:pPr>
        <w:ind w:left="800" w:right="240" w:hanging="401"/>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8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Other than our investments in Double E and Ohio Gathering, all of our business activities are conducted through wholly owned operating subsidiaries.</w:t>
      </w:r>
    </w:p>
    <w:p>
      <w:pPr>
        <w:spacing w:after="0" w:line="6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i w:val="1"/>
          <w:iCs w:val="1"/>
          <w:color w:val="auto"/>
        </w:rPr>
        <w:t xml:space="preserve">Presentation and Consolidation. </w:t>
      </w:r>
      <w:r>
        <w:rPr>
          <w:rFonts w:ascii="Arial" w:cs="Arial" w:eastAsia="Arial" w:hAnsi="Arial"/>
          <w:sz w:val="18"/>
          <w:szCs w:val="18"/>
          <w:color w:val="auto"/>
        </w:rPr>
        <w:t>We prepare our unaudited condensed consolidated financial statements in accordance with GAAP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by the FASB. We make estimates and assumptions that affect the reported amounts of assets and liabilities at the balance sheet dates, including fair value measurements, the reported amounts of revenues and expenses and the disclosure of commitments and contingencies. Further, these estimates and other factors, including those outside of our control, such as the impact of lower commodity prices, may have a significant negative impact to our business, financial condition, results of operations and cash flows. Although management believes these estimates are reasonable, actual results could differ from its estimates.</w:t>
      </w:r>
    </w:p>
    <w:p>
      <w:pPr>
        <w:spacing w:after="0" w:line="9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accompanying consolidated financial statements were prepared using GAAP for interim financial information and in accordance with the rules and regulations of the Securities and Exchange Commission. As permitted under those rules, certain information relating to the Company’s organization and footnote disclosures normally included in financial statements prepared in accordance with GAAP have been appropriately condensed or omitted. Therefore, these consolidated financial statements should be read in conjunction with the consolidated financial statements and the notes thereto included in the Company’s Annual Report on Form 10-K for the year ended December 31, 2019 (“2019 Annual Report”). The Partnership believes the disclosures made are adequate to make the information presented not misleading.</w:t>
      </w:r>
    </w:p>
    <w:p>
      <w:pPr>
        <w:spacing w:after="0" w:line="97"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auto"/>
        </w:rPr>
        <w:t xml:space="preserve">Risks and Uncertainties. </w:t>
      </w:r>
      <w:r>
        <w:rPr>
          <w:rFonts w:ascii="Arial" w:cs="Arial" w:eastAsia="Arial" w:hAnsi="Arial"/>
          <w:sz w:val="18"/>
          <w:szCs w:val="18"/>
          <w:color w:val="auto"/>
        </w:rPr>
        <w:t>We are closely monitoring the impact of the outbreak of COVID-19 on all aspects of our business, including how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impacted and will impact our customers, employees, supply chain and distribution network. While COVID-19 did not have a material adverse effect on our reported results for the first six months of 2020, we are unable to predict the ultimate impact that COVID-19 may have on our business, future results of operations, financial position or cash flows.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3" w:name="page14"/>
    <w:bookmarkEnd w:id="13"/>
    <w:p>
      <w:pPr>
        <w:spacing w:after="0" w:line="237" w:lineRule="auto"/>
        <w:rPr>
          <w:sz w:val="20"/>
          <w:szCs w:val="20"/>
          <w:color w:val="auto"/>
        </w:rPr>
      </w:pPr>
      <w:r>
        <w:rPr>
          <w:rFonts w:ascii="Arial" w:cs="Arial" w:eastAsia="Arial" w:hAnsi="Arial"/>
          <w:sz w:val="18"/>
          <w:szCs w:val="18"/>
          <w:color w:val="auto"/>
        </w:rPr>
        <w:t>Given the dynamic nature of the COVID-19 pandemic and related market conditions, we cannot reasonably estimate the period of time that these events will persist or the full extent of the impact they will have on our business. The full extent to which our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ability of pharmaceutical companies to develop effective and safe vaccines and therapeutic drugs. Furthermore, the impacts of a potential worsening of global economic conditions and the continued disruptions to and volatility in the financial markets remain unknown.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changes below, there have been no changes to our significant accounting policies since December 31, 2019.</w:t>
      </w:r>
    </w:p>
    <w:p>
      <w:pPr>
        <w:spacing w:after="0" w:line="8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u w:val="single" w:color="auto"/>
          <w:color w:val="auto"/>
        </w:rPr>
        <w:t>Cash, Cash Equivalents and Restricted Cash</w:t>
      </w:r>
      <w:r>
        <w:rPr>
          <w:rFonts w:ascii="Arial" w:cs="Arial" w:eastAsia="Arial" w:hAnsi="Arial"/>
          <w:sz w:val="18"/>
          <w:szCs w:val="18"/>
          <w:color w:val="auto"/>
        </w:rPr>
        <w:t>. We consider all highly liquid investments with an original maturity of three months or less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cash equivalents. Cash that is held by a major bank and has restrictions on its availability to us is classified as restricted cash. The restricted cash balance of $5.0 million at June 30, 2020 is primarily associated with an ongoing customer dispute and became unrestricted in July 2020, when an agreement was reached in the dispute. In conjunction with that agreement, the parties have agreed to (1) request dismissal of relevant lawsuits and modify the relevant gathering agreement, (2) petition the court to release to DFW Midstream approximately $5.4 million held in the court’s registry, and (3) the customer’s payment of approximately $1.9 million to DFW Midstream in installment payments over the course of four months, beginning on September 1, 2020. The restricted cash balance of $ 27.4 million at December 31, 2019 is primarily related to cash amounts reserved for funding the construction of our Double E pipeline. See Note 12 for additional information.</w:t>
      </w:r>
    </w:p>
    <w:p>
      <w:pPr>
        <w:spacing w:after="0" w:line="75" w:lineRule="exact"/>
        <w:rPr>
          <w:sz w:val="20"/>
          <w:szCs w:val="20"/>
          <w:color w:val="auto"/>
        </w:rPr>
      </w:pPr>
    </w:p>
    <w:p>
      <w:pPr>
        <w:jc w:val="both"/>
        <w:ind w:right="540"/>
        <w:spacing w:after="0" w:line="261" w:lineRule="auto"/>
        <w:rPr>
          <w:sz w:val="20"/>
          <w:szCs w:val="20"/>
          <w:color w:val="auto"/>
        </w:rPr>
      </w:pPr>
      <w:r>
        <w:rPr>
          <w:rFonts w:ascii="Arial" w:cs="Arial" w:eastAsia="Arial" w:hAnsi="Arial"/>
          <w:sz w:val="18"/>
          <w:szCs w:val="18"/>
          <w:b w:val="1"/>
          <w:bCs w:val="1"/>
          <w:i w:val="1"/>
          <w:iCs w:val="1"/>
          <w:u w:val="single" w:color="auto"/>
          <w:color w:val="auto"/>
        </w:rPr>
        <w:t>Recent Accounting Pronouncements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standard setters frequently issue new or revised accounting rules. We review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pronouncements to determine the impact, if any, on our financial statements. Accounting standards that have or could possibly have a material effect on our financial statements are discussed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u w:val="single" w:color="auto"/>
          <w:color w:val="auto"/>
        </w:rPr>
        <w:t>Recently Adopted Accounting Pronouncements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recently adopted the following accounting pronouncement:</w:t>
      </w:r>
    </w:p>
    <w:p>
      <w:pPr>
        <w:spacing w:after="0" w:line="234" w:lineRule="exact"/>
        <w:rPr>
          <w:sz w:val="20"/>
          <w:szCs w:val="20"/>
          <w:color w:val="auto"/>
        </w:rPr>
      </w:pPr>
    </w:p>
    <w:p>
      <w:pPr>
        <w:ind w:left="800" w:right="100" w:hanging="401"/>
        <w:spacing w:after="0" w:line="23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 disclosure requirements including the amount and reasons for transfers between Level 1 and Level 2 fair value measurements and the policy for the timing of transfer between levels. The adoption of ASU 2018-13 on January 1, 2020 did not have a material impact on our unaudited condensed consolidated financial statement disclosures.</w:t>
      </w:r>
    </w:p>
    <w:p>
      <w:pPr>
        <w:spacing w:after="0" w:line="99" w:lineRule="exact"/>
        <w:rPr>
          <w:rFonts w:ascii="Arial" w:cs="Arial" w:eastAsia="Arial" w:hAnsi="Arial"/>
          <w:sz w:val="18"/>
          <w:szCs w:val="18"/>
          <w:color w:val="auto"/>
        </w:rPr>
      </w:pPr>
    </w:p>
    <w:p>
      <w:pPr>
        <w:ind w:left="800" w:right="100" w:hanging="401"/>
        <w:spacing w:after="0" w:line="23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ASU No. 2016-13 Financial Instruments – Credit Losses (“ASU 2016-13”). ASU 2016-13 requires the use of a current expected loss model for financial assets measured at amortized cost and certain off-balance sheet credit exposures. Under this model, entities will be required to estimate the lifetime expected credit losses on such instruments based on historical experience, current conditions, and reasonable and supportable forecasts. This amended guidance also expands the disclosure requirements to enable users of financial statements to understand an entity’s assumptions, models and methods for estimating expected credit losses. The changes are effective for annual and interim periods beginning after December 15, 2019, and amendments should be applied using a modified retrospective approach. The adoption of ASU 2016-13 on January 1, 2020 did not have a material impact on our unaudited condensed consolidated financial statements or disclosures.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Accounting Pronouncements Pending Adoption</w:t>
      </w:r>
      <w:r>
        <w:rPr>
          <w:rFonts w:ascii="Arial" w:cs="Arial" w:eastAsia="Arial" w:hAnsi="Arial"/>
          <w:sz w:val="18"/>
          <w:szCs w:val="18"/>
          <w:color w:val="auto"/>
        </w:rPr>
        <w:t>. We have not yet adopted the following accounting pronouncement as of June 30, 2020:</w:t>
      </w:r>
    </w:p>
    <w:p>
      <w:pPr>
        <w:spacing w:after="0" w:line="126" w:lineRule="exact"/>
        <w:rPr>
          <w:sz w:val="20"/>
          <w:szCs w:val="20"/>
          <w:color w:val="auto"/>
        </w:rPr>
      </w:pPr>
    </w:p>
    <w:p>
      <w:pPr>
        <w:ind w:left="800" w:right="60" w:hanging="401"/>
        <w:spacing w:after="0" w:line="257" w:lineRule="auto"/>
        <w:tabs>
          <w:tab w:leader="none" w:pos="8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ASU No. 2020-04 Reference Rate Reform (“ASU 2020-04”). ASU 2020-04 provides optional expedients and exceptions for applying GAAP to contracts, hedging relationships and other transactions affected by reference rate reform on financial reporting. The amendments in ASU 2020-04 are effective as of March 12, 2020 through December 31, 2022. We are currently evaluating the provisions of ASU 2020-04 to determine its impact on our unaudited condensed consolidated financial statements and disclosures.</w:t>
      </w:r>
    </w:p>
    <w:p>
      <w:pPr>
        <w:spacing w:after="0" w:line="58" w:lineRule="exact"/>
        <w:rPr>
          <w:rFonts w:ascii="Arial" w:cs="Arial" w:eastAsia="Arial" w:hAnsi="Arial"/>
          <w:sz w:val="17"/>
          <w:szCs w:val="17"/>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majority of our revenue is derived from long-term, fee-based contracts with our customers, which include original terms of up to 25 years. We recognize revenue earned from fee-based gathering, compression, treating and processing services in Gathering services and related fees. We also earn revenue in the Williston Basin and Permian Basin reporting segments from the sale of physical natural gas purchased from our customers under certain percent-of-proceeds arrangements. Under ASC Topic 606, these gathering contracts are presented net within Cost of natural gas and NGLs. We sell natural gas that we retain from certain customers in the Barnett Shale reporting segment to offset the power expenses of the electric-driven compression on the DFW Midstream system. We also sell condensate and NGLs retained from certain of our gathering services in the Piceance Basin and Permian Basin reporting segments. Revenues from the sale of natural gas and condensate are recognized in Natural gas, NGLs and condensate sales; the associated expense is included in Operation and maintenance expense. Certain customers reimburse us for costs we incur on their behalf. We record costs incurred and reimbursed by our customers on a gross basis, with the revenue component recognized in Other revenues.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obligations</w:t>
      </w:r>
      <w:r>
        <w:rPr>
          <w:rFonts w:ascii="Arial" w:cs="Arial" w:eastAsia="Arial" w:hAnsi="Arial"/>
          <w:sz w:val="18"/>
          <w:szCs w:val="18"/>
          <w:b w:val="1"/>
          <w:bCs w:val="1"/>
          <w:i w:val="1"/>
          <w:iCs w:val="1"/>
          <w:color w:val="auto"/>
        </w:rPr>
        <w: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5" w:name="page16"/>
    <w:bookmarkEnd w:id="15"/>
    <w:p>
      <w:pPr>
        <w:ind w:right="360"/>
        <w:spacing w:after="0" w:line="246" w:lineRule="auto"/>
        <w:rPr>
          <w:sz w:val="20"/>
          <w:szCs w:val="20"/>
          <w:color w:val="auto"/>
        </w:rPr>
      </w:pPr>
      <w:r>
        <w:rPr>
          <w:rFonts w:ascii="Arial" w:cs="Arial" w:eastAsia="Arial" w:hAnsi="Arial"/>
          <w:sz w:val="18"/>
          <w:szCs w:val="18"/>
          <w:color w:val="auto"/>
        </w:rPr>
        <w:t>The following table presents estimated revenue expected to be recognized during the remainder of 2020 and over the remaining contract period related to performance obligations that are unsatisfied and are comprised of estimated MVC shortfall payments.</w:t>
      </w:r>
    </w:p>
    <w:p>
      <w:pPr>
        <w:spacing w:after="0" w:line="8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applied the practical expedient in paragraph 606-10-50-14 of ASC Topic 606 for certain arrangements that we consider optional purchases (i.e., there is no enforceable obligation for the customer to make purchases) and those amounts are therefore excluded from the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Thereafter</w:t>
            </w:r>
          </w:p>
        </w:tc>
      </w:tr>
      <w:tr>
        <w:trPr>
          <w:trHeight w:val="169"/>
        </w:trPr>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Gathering services and related fees</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58,427</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102,127</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84,736</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66,693</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50,608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57,721</w:t>
            </w:r>
          </w:p>
        </w:tc>
      </w:tr>
    </w:tbl>
    <w:p>
      <w:pPr>
        <w:spacing w:after="0" w:line="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i w:val="1"/>
          <w:iCs w:val="1"/>
          <w:u w:val="single" w:color="auto"/>
          <w:color w:val="auto"/>
        </w:rPr>
        <w:t>Revenue by Category</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following table, revenue is disaggregated by geographic area and major products and services. Ohio Gathering</w:t>
      </w:r>
      <w:r>
        <w:rPr>
          <w:rFonts w:ascii="Arial" w:cs="Arial" w:eastAsia="Arial" w:hAnsi="Arial"/>
          <w:sz w:val="18"/>
          <w:szCs w:val="18"/>
          <w:i w:val="1"/>
          <w:iCs w:val="1"/>
          <w:color w:val="auto"/>
        </w:rPr>
        <w:t xml:space="preserve"> </w:t>
      </w:r>
      <w:r>
        <w:rPr>
          <w:rFonts w:ascii="Arial" w:cs="Arial" w:eastAsia="Arial" w:hAnsi="Arial"/>
          <w:sz w:val="18"/>
          <w:szCs w:val="18"/>
          <w:color w:val="auto"/>
        </w:rPr>
        <w:t>is excluded from the tables below due to equity method accounting. For more detailed information about reportable segments, see Note 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rPr>
              <w:t>Reportable Segments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196"/>
        </w:trPr>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15"/>
          </w:tcPr>
          <w:p>
            <w:pPr>
              <w:jc w:val="center"/>
              <w:ind w:right="19"/>
              <w:spacing w:after="0"/>
              <w:rPr>
                <w:sz w:val="20"/>
                <w:szCs w:val="20"/>
                <w:color w:val="auto"/>
              </w:rPr>
            </w:pPr>
            <w:r>
              <w:rPr>
                <w:rFonts w:ascii="Arial" w:cs="Arial" w:eastAsia="Arial" w:hAnsi="Arial"/>
                <w:sz w:val="16"/>
                <w:szCs w:val="16"/>
                <w:b w:val="1"/>
                <w:bCs w:val="1"/>
                <w:color w:val="auto"/>
              </w:rPr>
              <w:t>Three months ended June 30, 2020</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78"/>
        </w:trPr>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39"/>
              <w:spacing w:after="0" w:line="178" w:lineRule="exact"/>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9"/>
        </w:trPr>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40"/>
              <w:spacing w:after="0"/>
              <w:rPr>
                <w:sz w:val="20"/>
                <w:szCs w:val="20"/>
                <w:color w:val="auto"/>
              </w:rPr>
            </w:pPr>
            <w:r>
              <w:rPr>
                <w:rFonts w:ascii="Arial" w:cs="Arial" w:eastAsia="Arial" w:hAnsi="Arial"/>
                <w:sz w:val="16"/>
                <w:szCs w:val="16"/>
                <w:b w:val="1"/>
                <w:bCs w:val="1"/>
                <w:color w:val="auto"/>
              </w:rPr>
              <w:t>Utica</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b w:val="1"/>
                <w:bCs w:val="1"/>
                <w:color w:val="auto"/>
              </w:rPr>
              <w:t>Williston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Permian</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6"/>
                <w:szCs w:val="16"/>
                <w:b w:val="1"/>
                <w:bCs w:val="1"/>
                <w:color w:val="auto"/>
              </w:rPr>
              <w:t>Piceance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Barnett</w:t>
            </w:r>
          </w:p>
        </w:tc>
        <w:tc>
          <w:tcPr>
            <w:tcW w:w="880" w:type="dxa"/>
            <w:vAlign w:val="bottom"/>
            <w:gridSpan w:val="3"/>
          </w:tcPr>
          <w:p>
            <w:pPr>
              <w:spacing w:after="0"/>
              <w:rPr>
                <w:sz w:val="20"/>
                <w:szCs w:val="20"/>
                <w:color w:val="auto"/>
              </w:rPr>
            </w:pPr>
            <w:r>
              <w:rPr>
                <w:rFonts w:ascii="Arial" w:cs="Arial" w:eastAsia="Arial" w:hAnsi="Arial"/>
                <w:sz w:val="16"/>
                <w:szCs w:val="16"/>
                <w:b w:val="1"/>
                <w:bCs w:val="1"/>
                <w:color w:val="auto"/>
              </w:rPr>
              <w:t>Marcellus</w:t>
            </w:r>
          </w:p>
        </w:tc>
        <w:tc>
          <w:tcPr>
            <w:tcW w:w="960" w:type="dxa"/>
            <w:vAlign w:val="bottom"/>
            <w:gridSpan w:val="4"/>
          </w:tcPr>
          <w:p>
            <w:pPr>
              <w:ind w:left="60"/>
              <w:spacing w:after="0"/>
              <w:rPr>
                <w:sz w:val="20"/>
                <w:szCs w:val="20"/>
                <w:color w:val="auto"/>
              </w:rPr>
            </w:pPr>
            <w:r>
              <w:rPr>
                <w:rFonts w:ascii="Arial" w:cs="Arial" w:eastAsia="Arial" w:hAnsi="Arial"/>
                <w:sz w:val="16"/>
                <w:szCs w:val="16"/>
                <w:b w:val="1"/>
                <w:bCs w:val="1"/>
                <w:color w:val="auto"/>
              </w:rPr>
              <w:t>reportable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All other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7"/>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Shale</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Basin</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DJ Basin</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Basin</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Basin</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w w:val="98"/>
              </w:rPr>
              <w:t>Shale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Shale</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segments</w:t>
            </w: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segments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Total</w:t>
            </w:r>
          </w:p>
        </w:tc>
      </w:tr>
      <w:tr>
        <w:trPr>
          <w:trHeight w:val="196"/>
        </w:trPr>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8"/>
          </w:tcPr>
          <w:p>
            <w:pPr>
              <w:jc w:val="center"/>
              <w:ind w:right="120"/>
              <w:spacing w:after="0"/>
              <w:rPr>
                <w:sz w:val="20"/>
                <w:szCs w:val="20"/>
                <w:color w:val="auto"/>
              </w:rPr>
            </w:pPr>
            <w:r>
              <w:rPr>
                <w:rFonts w:ascii="Arial" w:cs="Arial" w:eastAsia="Arial" w:hAnsi="Arial"/>
                <w:sz w:val="16"/>
                <w:szCs w:val="16"/>
                <w:b w:val="1"/>
                <w:bCs w:val="1"/>
                <w:color w:val="auto"/>
                <w:w w:val="99"/>
              </w:rPr>
              <w:t>(In 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4"/>
        </w:trPr>
        <w:tc>
          <w:tcPr>
            <w:tcW w:w="1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07"/>
        </w:trPr>
        <w:tc>
          <w:tcPr>
            <w:tcW w:w="168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04"/>
        </w:trPr>
        <w:tc>
          <w:tcPr>
            <w:tcW w:w="1680" w:type="dxa"/>
            <w:vAlign w:val="bottom"/>
          </w:tcPr>
          <w:p>
            <w:pPr>
              <w:spacing w:after="0"/>
              <w:rPr>
                <w:sz w:val="20"/>
                <w:szCs w:val="20"/>
                <w:color w:val="auto"/>
              </w:rPr>
            </w:pPr>
            <w:r>
              <w:rPr>
                <w:rFonts w:ascii="Arial" w:cs="Arial" w:eastAsia="Arial" w:hAnsi="Arial"/>
                <w:sz w:val="16"/>
                <w:szCs w:val="16"/>
                <w:color w:val="auto"/>
              </w:rPr>
              <w:t>Gathering services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7"/>
        </w:trPr>
        <w:tc>
          <w:tcPr>
            <w:tcW w:w="168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11,538</w:t>
            </w:r>
          </w:p>
        </w:tc>
        <w:tc>
          <w:tcPr>
            <w:tcW w:w="10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12,407</w:t>
            </w:r>
          </w:p>
        </w:tc>
        <w:tc>
          <w:tcPr>
            <w:tcW w:w="240" w:type="dxa"/>
            <w:vAlign w:val="bottom"/>
            <w:gridSpan w:val="3"/>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5,228</w:t>
            </w:r>
          </w:p>
        </w:tc>
        <w:tc>
          <w:tcPr>
            <w:tcW w:w="220" w:type="dxa"/>
            <w:vAlign w:val="bottom"/>
            <w:gridSpan w:val="3"/>
          </w:tcPr>
          <w:p>
            <w:pPr>
              <w:ind w:left="1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2,711</w:t>
            </w:r>
          </w:p>
        </w:tc>
        <w:tc>
          <w:tcPr>
            <w:tcW w:w="2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26,222</w:t>
            </w:r>
          </w:p>
        </w:tc>
        <w:tc>
          <w:tcPr>
            <w:tcW w:w="6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9,877</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5,928</w:t>
            </w:r>
          </w:p>
        </w:tc>
        <w:tc>
          <w:tcPr>
            <w:tcW w:w="24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73,911</w:t>
            </w:r>
          </w:p>
        </w:tc>
        <w:tc>
          <w:tcPr>
            <w:tcW w:w="160" w:type="dxa"/>
            <w:vAlign w:val="bottom"/>
            <w:gridSpan w:val="3"/>
          </w:tcPr>
          <w:p>
            <w:pPr>
              <w:ind w:left="8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gridSpan w:val="3"/>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39"/>
              <w:spacing w:after="0"/>
              <w:rPr>
                <w:sz w:val="20"/>
                <w:szCs w:val="20"/>
                <w:color w:val="auto"/>
              </w:rPr>
            </w:pPr>
            <w:r>
              <w:rPr>
                <w:rFonts w:ascii="Arial" w:cs="Arial" w:eastAsia="Arial" w:hAnsi="Arial"/>
                <w:sz w:val="16"/>
                <w:szCs w:val="16"/>
                <w:color w:val="auto"/>
              </w:rPr>
              <w:t>73,911</w:t>
            </w:r>
          </w:p>
        </w:tc>
      </w:tr>
      <w:tr>
        <w:trPr>
          <w:trHeight w:val="204"/>
        </w:trPr>
        <w:tc>
          <w:tcPr>
            <w:tcW w:w="168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189"/>
        </w:trPr>
        <w:tc>
          <w:tcPr>
            <w:tcW w:w="1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187"/>
        </w:trPr>
        <w:tc>
          <w:tcPr>
            <w:tcW w:w="1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3,131</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71</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4,222</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2,858</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10,683</w:t>
            </w: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10,683</w:t>
            </w:r>
          </w:p>
        </w:tc>
      </w:tr>
      <w:tr>
        <w:trPr>
          <w:trHeight w:val="203"/>
        </w:trPr>
        <w:tc>
          <w:tcPr>
            <w:tcW w:w="1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2,776</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993</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1,778</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6,769</w:t>
            </w: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644</w:t>
            </w: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7,413</w:t>
            </w:r>
          </w:p>
        </w:tc>
      </w:tr>
      <w:tr>
        <w:trPr>
          <w:trHeight w:val="196"/>
        </w:trPr>
        <w:tc>
          <w:tcPr>
            <w:tcW w:w="1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11,538</w:t>
            </w: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18,314</w:t>
            </w:r>
          </w:p>
        </w:tc>
        <w:tc>
          <w:tcPr>
            <w:tcW w:w="24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6,292</w:t>
            </w: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7,059</w:t>
            </w:r>
          </w:p>
        </w:tc>
        <w:tc>
          <w:tcPr>
            <w:tcW w:w="2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27,719</w:t>
            </w:r>
          </w:p>
        </w:tc>
        <w:tc>
          <w:tcPr>
            <w:tcW w:w="60" w:type="dxa"/>
            <w:vAlign w:val="bottom"/>
            <w:shd w:val="clear" w:color="auto" w:fill="CFF0FC"/>
          </w:tcPr>
          <w:p>
            <w:pPr>
              <w:spacing w:after="0"/>
              <w:rPr>
                <w:sz w:val="17"/>
                <w:szCs w:val="17"/>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14,513</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5,928</w:t>
            </w:r>
          </w:p>
        </w:tc>
        <w:tc>
          <w:tcPr>
            <w:tcW w:w="240" w:type="dxa"/>
            <w:vAlign w:val="bottom"/>
            <w:gridSpan w:val="3"/>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91,363</w:t>
            </w:r>
          </w:p>
        </w:tc>
        <w:tc>
          <w:tcPr>
            <w:tcW w:w="160" w:type="dxa"/>
            <w:vAlign w:val="bottom"/>
            <w:gridSpan w:val="3"/>
            <w:shd w:val="clear" w:color="auto" w:fill="CFF0FC"/>
          </w:tcPr>
          <w:p>
            <w:pPr>
              <w:ind w:left="8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644</w:t>
            </w:r>
          </w:p>
        </w:tc>
        <w:tc>
          <w:tcPr>
            <w:tcW w:w="60" w:type="dxa"/>
            <w:vAlign w:val="bottom"/>
            <w:shd w:val="clear" w:color="auto" w:fill="CFF0FC"/>
          </w:tcPr>
          <w:p>
            <w:pPr>
              <w:spacing w:after="0"/>
              <w:rPr>
                <w:sz w:val="17"/>
                <w:szCs w:val="17"/>
                <w:color w:val="auto"/>
              </w:rPr>
            </w:pPr>
          </w:p>
        </w:tc>
        <w:tc>
          <w:tcPr>
            <w:tcW w:w="1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92,007</w:t>
            </w:r>
          </w:p>
        </w:tc>
      </w:tr>
      <w:tr>
        <w:trPr>
          <w:trHeight w:val="459"/>
        </w:trPr>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rPr>
              <w:t>Reportable Segments</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96"/>
        </w:trPr>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15"/>
          </w:tcPr>
          <w:p>
            <w:pPr>
              <w:jc w:val="center"/>
              <w:ind w:right="19"/>
              <w:spacing w:after="0"/>
              <w:rPr>
                <w:sz w:val="20"/>
                <w:szCs w:val="20"/>
                <w:color w:val="auto"/>
              </w:rPr>
            </w:pPr>
            <w:r>
              <w:rPr>
                <w:rFonts w:ascii="Arial" w:cs="Arial" w:eastAsia="Arial" w:hAnsi="Arial"/>
                <w:sz w:val="16"/>
                <w:szCs w:val="16"/>
                <w:b w:val="1"/>
                <w:bCs w:val="1"/>
                <w:color w:val="auto"/>
              </w:rPr>
              <w:t>Six months ended June 30, 2020</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78"/>
        </w:trPr>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39"/>
              <w:spacing w:after="0" w:line="178" w:lineRule="exact"/>
              <w:rPr>
                <w:sz w:val="20"/>
                <w:szCs w:val="20"/>
                <w:color w:val="auto"/>
              </w:rPr>
            </w:pPr>
            <w:r>
              <w:rPr>
                <w:rFonts w:ascii="Arial" w:cs="Arial" w:eastAsia="Arial" w:hAnsi="Arial"/>
                <w:sz w:val="16"/>
                <w:szCs w:val="16"/>
                <w:b w:val="1"/>
                <w:bCs w:val="1"/>
                <w:color w:val="auto"/>
                <w:w w:val="99"/>
              </w:rPr>
              <w:t>Total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9"/>
        </w:trPr>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40"/>
              <w:spacing w:after="0"/>
              <w:rPr>
                <w:sz w:val="20"/>
                <w:szCs w:val="20"/>
                <w:color w:val="auto"/>
              </w:rPr>
            </w:pPr>
            <w:r>
              <w:rPr>
                <w:rFonts w:ascii="Arial" w:cs="Arial" w:eastAsia="Arial" w:hAnsi="Arial"/>
                <w:sz w:val="16"/>
                <w:szCs w:val="16"/>
                <w:b w:val="1"/>
                <w:bCs w:val="1"/>
                <w:color w:val="auto"/>
              </w:rPr>
              <w:t>Utica</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tcPr>
          <w:p>
            <w:pPr>
              <w:spacing w:after="0"/>
              <w:rPr>
                <w:sz w:val="20"/>
                <w:szCs w:val="20"/>
                <w:color w:val="auto"/>
              </w:rPr>
            </w:pPr>
            <w:r>
              <w:rPr>
                <w:rFonts w:ascii="Arial" w:cs="Arial" w:eastAsia="Arial" w:hAnsi="Arial"/>
                <w:sz w:val="16"/>
                <w:szCs w:val="16"/>
                <w:b w:val="1"/>
                <w:bCs w:val="1"/>
                <w:color w:val="auto"/>
              </w:rPr>
              <w:t>Williston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6"/>
                <w:szCs w:val="16"/>
                <w:b w:val="1"/>
                <w:bCs w:val="1"/>
                <w:color w:val="auto"/>
              </w:rPr>
              <w:t>Permian</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6"/>
                <w:szCs w:val="16"/>
                <w:b w:val="1"/>
                <w:bCs w:val="1"/>
                <w:color w:val="auto"/>
              </w:rPr>
              <w:t>Piceance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4"/>
          </w:tcPr>
          <w:p>
            <w:pPr>
              <w:jc w:val="center"/>
              <w:ind w:right="180"/>
              <w:spacing w:after="0"/>
              <w:rPr>
                <w:sz w:val="20"/>
                <w:szCs w:val="20"/>
                <w:color w:val="auto"/>
              </w:rPr>
            </w:pPr>
            <w:r>
              <w:rPr>
                <w:rFonts w:ascii="Arial" w:cs="Arial" w:eastAsia="Arial" w:hAnsi="Arial"/>
                <w:sz w:val="16"/>
                <w:szCs w:val="16"/>
                <w:b w:val="1"/>
                <w:bCs w:val="1"/>
                <w:color w:val="auto"/>
              </w:rPr>
              <w:t>Barnett</w:t>
            </w:r>
          </w:p>
        </w:tc>
        <w:tc>
          <w:tcPr>
            <w:tcW w:w="880" w:type="dxa"/>
            <w:vAlign w:val="bottom"/>
            <w:gridSpan w:val="3"/>
          </w:tcPr>
          <w:p>
            <w:pPr>
              <w:spacing w:after="0"/>
              <w:rPr>
                <w:sz w:val="20"/>
                <w:szCs w:val="20"/>
                <w:color w:val="auto"/>
              </w:rPr>
            </w:pPr>
            <w:r>
              <w:rPr>
                <w:rFonts w:ascii="Arial" w:cs="Arial" w:eastAsia="Arial" w:hAnsi="Arial"/>
                <w:sz w:val="16"/>
                <w:szCs w:val="16"/>
                <w:b w:val="1"/>
                <w:bCs w:val="1"/>
                <w:color w:val="auto"/>
              </w:rPr>
              <w:t>Marcellus</w:t>
            </w:r>
          </w:p>
        </w:tc>
        <w:tc>
          <w:tcPr>
            <w:tcW w:w="960" w:type="dxa"/>
            <w:vAlign w:val="bottom"/>
            <w:gridSpan w:val="4"/>
          </w:tcPr>
          <w:p>
            <w:pPr>
              <w:ind w:left="60"/>
              <w:spacing w:after="0"/>
              <w:rPr>
                <w:sz w:val="20"/>
                <w:szCs w:val="20"/>
                <w:color w:val="auto"/>
              </w:rPr>
            </w:pPr>
            <w:r>
              <w:rPr>
                <w:rFonts w:ascii="Arial" w:cs="Arial" w:eastAsia="Arial" w:hAnsi="Arial"/>
                <w:sz w:val="16"/>
                <w:szCs w:val="16"/>
                <w:b w:val="1"/>
                <w:bCs w:val="1"/>
                <w:color w:val="auto"/>
              </w:rPr>
              <w:t>reportable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All other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7"/>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Shale</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Basin</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DJ Basin</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Basin</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Basin</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6"/>
                <w:szCs w:val="16"/>
                <w:b w:val="1"/>
                <w:bCs w:val="1"/>
                <w:color w:val="auto"/>
                <w:w w:val="98"/>
              </w:rPr>
              <w:t>Shale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Shale</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segments</w:t>
            </w: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segments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Total</w:t>
            </w:r>
          </w:p>
        </w:tc>
      </w:tr>
      <w:tr>
        <w:trPr>
          <w:trHeight w:val="196"/>
        </w:trPr>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8"/>
          </w:tcPr>
          <w:p>
            <w:pPr>
              <w:jc w:val="center"/>
              <w:ind w:right="120"/>
              <w:spacing w:after="0"/>
              <w:rPr>
                <w:sz w:val="20"/>
                <w:szCs w:val="20"/>
                <w:color w:val="auto"/>
              </w:rPr>
            </w:pPr>
            <w:r>
              <w:rPr>
                <w:rFonts w:ascii="Arial" w:cs="Arial" w:eastAsia="Arial" w:hAnsi="Arial"/>
                <w:sz w:val="16"/>
                <w:szCs w:val="16"/>
                <w:b w:val="1"/>
                <w:bCs w:val="1"/>
                <w:color w:val="auto"/>
                <w:w w:val="99"/>
              </w:rPr>
              <w:t>(In 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4"/>
        </w:trPr>
        <w:tc>
          <w:tcPr>
            <w:tcW w:w="1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07"/>
        </w:trPr>
        <w:tc>
          <w:tcPr>
            <w:tcW w:w="168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04"/>
        </w:trPr>
        <w:tc>
          <w:tcPr>
            <w:tcW w:w="1680" w:type="dxa"/>
            <w:vAlign w:val="bottom"/>
          </w:tcPr>
          <w:p>
            <w:pPr>
              <w:spacing w:after="0"/>
              <w:rPr>
                <w:sz w:val="20"/>
                <w:szCs w:val="20"/>
                <w:color w:val="auto"/>
              </w:rPr>
            </w:pPr>
            <w:r>
              <w:rPr>
                <w:rFonts w:ascii="Arial" w:cs="Arial" w:eastAsia="Arial" w:hAnsi="Arial"/>
                <w:sz w:val="16"/>
                <w:szCs w:val="16"/>
                <w:color w:val="auto"/>
              </w:rPr>
              <w:t>Gathering services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7"/>
        </w:trPr>
        <w:tc>
          <w:tcPr>
            <w:tcW w:w="168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18,500</w:t>
            </w:r>
          </w:p>
        </w:tc>
        <w:tc>
          <w:tcPr>
            <w:tcW w:w="10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36,204</w:t>
            </w:r>
          </w:p>
        </w:tc>
        <w:tc>
          <w:tcPr>
            <w:tcW w:w="240" w:type="dxa"/>
            <w:vAlign w:val="bottom"/>
            <w:gridSpan w:val="3"/>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12,083</w:t>
            </w:r>
          </w:p>
        </w:tc>
        <w:tc>
          <w:tcPr>
            <w:tcW w:w="220" w:type="dxa"/>
            <w:vAlign w:val="bottom"/>
            <w:gridSpan w:val="3"/>
          </w:tcPr>
          <w:p>
            <w:pPr>
              <w:ind w:left="12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5,022</w:t>
            </w:r>
          </w:p>
        </w:tc>
        <w:tc>
          <w:tcPr>
            <w:tcW w:w="2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53,411</w:t>
            </w:r>
          </w:p>
        </w:tc>
        <w:tc>
          <w:tcPr>
            <w:tcW w:w="6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20,320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12,163</w:t>
            </w:r>
          </w:p>
        </w:tc>
        <w:tc>
          <w:tcPr>
            <w:tcW w:w="24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157,703</w:t>
            </w:r>
          </w:p>
        </w:tc>
        <w:tc>
          <w:tcPr>
            <w:tcW w:w="160" w:type="dxa"/>
            <w:vAlign w:val="bottom"/>
            <w:gridSpan w:val="3"/>
          </w:tcPr>
          <w:p>
            <w:pPr>
              <w:ind w:left="8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6"/>
                <w:szCs w:val="16"/>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840" w:type="dxa"/>
            <w:vAlign w:val="bottom"/>
            <w:gridSpan w:val="5"/>
          </w:tcPr>
          <w:p>
            <w:pPr>
              <w:jc w:val="right"/>
              <w:ind w:right="39"/>
              <w:spacing w:after="0"/>
              <w:rPr>
                <w:sz w:val="20"/>
                <w:szCs w:val="20"/>
                <w:color w:val="auto"/>
              </w:rPr>
            </w:pPr>
            <w:r>
              <w:rPr>
                <w:rFonts w:ascii="Arial" w:cs="Arial" w:eastAsia="Arial" w:hAnsi="Arial"/>
                <w:sz w:val="16"/>
                <w:szCs w:val="16"/>
                <w:color w:val="auto"/>
                <w:w w:val="98"/>
              </w:rPr>
              <w:t>$ 157,703</w:t>
            </w:r>
          </w:p>
        </w:tc>
      </w:tr>
      <w:tr>
        <w:trPr>
          <w:trHeight w:val="204"/>
        </w:trPr>
        <w:tc>
          <w:tcPr>
            <w:tcW w:w="168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189"/>
        </w:trPr>
        <w:tc>
          <w:tcPr>
            <w:tcW w:w="1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187"/>
        </w:trPr>
        <w:tc>
          <w:tcPr>
            <w:tcW w:w="1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7,455</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141</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8,734</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1,404</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6,729</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24,463</w:t>
            </w: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24,463</w:t>
            </w:r>
          </w:p>
        </w:tc>
      </w:tr>
      <w:tr>
        <w:trPr>
          <w:trHeight w:val="203"/>
        </w:trPr>
        <w:tc>
          <w:tcPr>
            <w:tcW w:w="1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5,918</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2,027</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3,038</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13,457</w:t>
            </w: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1,287</w:t>
            </w: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14,744</w:t>
            </w:r>
          </w:p>
        </w:tc>
      </w:tr>
      <w:tr>
        <w:trPr>
          <w:trHeight w:val="196"/>
        </w:trPr>
        <w:tc>
          <w:tcPr>
            <w:tcW w:w="1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18,500</w:t>
            </w:r>
          </w:p>
        </w:tc>
        <w:tc>
          <w:tcPr>
            <w:tcW w:w="1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49,577</w:t>
            </w:r>
          </w:p>
        </w:tc>
        <w:tc>
          <w:tcPr>
            <w:tcW w:w="24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14,251</w:t>
            </w:r>
          </w:p>
        </w:tc>
        <w:tc>
          <w:tcPr>
            <w:tcW w:w="22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14,069</w:t>
            </w:r>
          </w:p>
        </w:tc>
        <w:tc>
          <w:tcPr>
            <w:tcW w:w="2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56,976</w:t>
            </w:r>
          </w:p>
        </w:tc>
        <w:tc>
          <w:tcPr>
            <w:tcW w:w="60" w:type="dxa"/>
            <w:vAlign w:val="bottom"/>
            <w:shd w:val="clear" w:color="auto" w:fill="CFF0FC"/>
          </w:tcPr>
          <w:p>
            <w:pPr>
              <w:spacing w:after="0"/>
              <w:rPr>
                <w:sz w:val="17"/>
                <w:szCs w:val="17"/>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30,087</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12,163</w:t>
            </w:r>
          </w:p>
        </w:tc>
        <w:tc>
          <w:tcPr>
            <w:tcW w:w="240" w:type="dxa"/>
            <w:vAlign w:val="bottom"/>
            <w:gridSpan w:val="3"/>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195,623</w:t>
            </w:r>
          </w:p>
        </w:tc>
        <w:tc>
          <w:tcPr>
            <w:tcW w:w="160" w:type="dxa"/>
            <w:vAlign w:val="bottom"/>
            <w:gridSpan w:val="3"/>
            <w:shd w:val="clear" w:color="auto" w:fill="CFF0FC"/>
          </w:tcPr>
          <w:p>
            <w:pPr>
              <w:ind w:left="8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1,287</w:t>
            </w:r>
          </w:p>
        </w:tc>
        <w:tc>
          <w:tcPr>
            <w:tcW w:w="60" w:type="dxa"/>
            <w:vAlign w:val="bottom"/>
            <w:shd w:val="clear" w:color="auto" w:fill="CFF0FC"/>
          </w:tcPr>
          <w:p>
            <w:pPr>
              <w:spacing w:after="0"/>
              <w:rPr>
                <w:sz w:val="17"/>
                <w:szCs w:val="17"/>
                <w:color w:val="auto"/>
              </w:rPr>
            </w:pPr>
          </w:p>
        </w:tc>
        <w:tc>
          <w:tcPr>
            <w:tcW w:w="840" w:type="dxa"/>
            <w:vAlign w:val="bottom"/>
            <w:gridSpan w:val="5"/>
            <w:shd w:val="clear" w:color="auto" w:fill="CFF0FC"/>
          </w:tcPr>
          <w:p>
            <w:pPr>
              <w:jc w:val="right"/>
              <w:ind w:right="39"/>
              <w:spacing w:after="0"/>
              <w:rPr>
                <w:sz w:val="20"/>
                <w:szCs w:val="20"/>
                <w:color w:val="auto"/>
              </w:rPr>
            </w:pPr>
            <w:r>
              <w:rPr>
                <w:rFonts w:ascii="Arial" w:cs="Arial" w:eastAsia="Arial" w:hAnsi="Arial"/>
                <w:sz w:val="16"/>
                <w:szCs w:val="16"/>
                <w:color w:val="auto"/>
                <w:w w:val="98"/>
              </w:rPr>
              <w:t>$ 196,910</w:t>
            </w:r>
          </w:p>
        </w:tc>
      </w:tr>
      <w:tr>
        <w:trPr>
          <w:trHeight w:val="270"/>
        </w:trPr>
        <w:tc>
          <w:tcPr>
            <w:tcW w:w="1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10"/>
          </w:tcPr>
          <w:p>
            <w:pPr>
              <w:jc w:val="center"/>
              <w:ind w:right="100"/>
              <w:spacing w:after="0"/>
              <w:rPr>
                <w:sz w:val="20"/>
                <w:szCs w:val="20"/>
                <w:color w:val="auto"/>
              </w:rPr>
            </w:pPr>
            <w:r>
              <w:rPr>
                <w:rFonts w:ascii="Arial" w:cs="Arial" w:eastAsia="Arial" w:hAnsi="Arial"/>
                <w:sz w:val="16"/>
                <w:szCs w:val="16"/>
                <w:b w:val="1"/>
                <w:bCs w:val="1"/>
                <w:color w:val="auto"/>
              </w:rPr>
              <w:t>Reportable Segments</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r>
      <w:tr>
        <w:trPr>
          <w:trHeight w:val="196"/>
        </w:trPr>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gridSpan w:val="15"/>
          </w:tcPr>
          <w:p>
            <w:pPr>
              <w:jc w:val="center"/>
              <w:ind w:right="179"/>
              <w:spacing w:after="0"/>
              <w:rPr>
                <w:sz w:val="20"/>
                <w:szCs w:val="20"/>
                <w:color w:val="auto"/>
              </w:rPr>
            </w:pPr>
            <w:r>
              <w:rPr>
                <w:rFonts w:ascii="Arial" w:cs="Arial" w:eastAsia="Arial" w:hAnsi="Arial"/>
                <w:sz w:val="16"/>
                <w:szCs w:val="16"/>
                <w:b w:val="1"/>
                <w:bCs w:val="1"/>
                <w:color w:val="auto"/>
              </w:rPr>
              <w:t>Three months ended June 30, 2019</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78"/>
        </w:trPr>
        <w:tc>
          <w:tcPr>
            <w:tcW w:w="1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79"/>
              <w:spacing w:after="0" w:line="178" w:lineRule="exact"/>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9"/>
        </w:trPr>
        <w:tc>
          <w:tcPr>
            <w:tcW w:w="1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Utica</w:t>
            </w:r>
          </w:p>
        </w:tc>
        <w:tc>
          <w:tcPr>
            <w:tcW w:w="920" w:type="dxa"/>
            <w:vAlign w:val="bottom"/>
            <w:gridSpan w:val="5"/>
          </w:tcPr>
          <w:p>
            <w:pPr>
              <w:ind w:left="20"/>
              <w:spacing w:after="0"/>
              <w:rPr>
                <w:sz w:val="20"/>
                <w:szCs w:val="20"/>
                <w:color w:val="auto"/>
              </w:rPr>
            </w:pPr>
            <w:r>
              <w:rPr>
                <w:rFonts w:ascii="Arial" w:cs="Arial" w:eastAsia="Arial" w:hAnsi="Arial"/>
                <w:sz w:val="16"/>
                <w:szCs w:val="16"/>
                <w:b w:val="1"/>
                <w:bCs w:val="1"/>
                <w:color w:val="auto"/>
              </w:rPr>
              <w:t>Williston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w w:val="97"/>
              </w:rPr>
              <w:t>DJ</w:t>
            </w:r>
          </w:p>
        </w:tc>
        <w:tc>
          <w:tcPr>
            <w:tcW w:w="8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Permian</w:t>
            </w:r>
          </w:p>
        </w:tc>
        <w:tc>
          <w:tcPr>
            <w:tcW w:w="980" w:type="dxa"/>
            <w:vAlign w:val="bottom"/>
            <w:gridSpan w:val="5"/>
          </w:tcPr>
          <w:p>
            <w:pPr>
              <w:ind w:left="100"/>
              <w:spacing w:after="0"/>
              <w:rPr>
                <w:sz w:val="20"/>
                <w:szCs w:val="20"/>
                <w:color w:val="auto"/>
              </w:rPr>
            </w:pPr>
            <w:r>
              <w:rPr>
                <w:rFonts w:ascii="Arial" w:cs="Arial" w:eastAsia="Arial" w:hAnsi="Arial"/>
                <w:sz w:val="16"/>
                <w:szCs w:val="16"/>
                <w:b w:val="1"/>
                <w:bCs w:val="1"/>
                <w:color w:val="auto"/>
              </w:rPr>
              <w:t>Piceance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4"/>
          </w:tcPr>
          <w:p>
            <w:pPr>
              <w:jc w:val="center"/>
              <w:ind w:right="240"/>
              <w:spacing w:after="0"/>
              <w:rPr>
                <w:sz w:val="20"/>
                <w:szCs w:val="20"/>
                <w:color w:val="auto"/>
              </w:rPr>
            </w:pPr>
            <w:r>
              <w:rPr>
                <w:rFonts w:ascii="Arial" w:cs="Arial" w:eastAsia="Arial" w:hAnsi="Arial"/>
                <w:sz w:val="16"/>
                <w:szCs w:val="16"/>
                <w:b w:val="1"/>
                <w:bCs w:val="1"/>
                <w:color w:val="auto"/>
                <w:w w:val="99"/>
              </w:rPr>
              <w:t>Barnett</w:t>
            </w:r>
          </w:p>
        </w:tc>
        <w:tc>
          <w:tcPr>
            <w:tcW w:w="880" w:type="dxa"/>
            <w:vAlign w:val="bottom"/>
            <w:gridSpan w:val="3"/>
          </w:tcPr>
          <w:p>
            <w:pPr>
              <w:ind w:left="20"/>
              <w:spacing w:after="0"/>
              <w:rPr>
                <w:sz w:val="20"/>
                <w:szCs w:val="20"/>
                <w:color w:val="auto"/>
              </w:rPr>
            </w:pPr>
            <w:r>
              <w:rPr>
                <w:rFonts w:ascii="Arial" w:cs="Arial" w:eastAsia="Arial" w:hAnsi="Arial"/>
                <w:sz w:val="16"/>
                <w:szCs w:val="16"/>
                <w:b w:val="1"/>
                <w:bCs w:val="1"/>
                <w:color w:val="auto"/>
              </w:rPr>
              <w:t>Marcellus</w:t>
            </w:r>
          </w:p>
        </w:tc>
        <w:tc>
          <w:tcPr>
            <w:tcW w:w="60" w:type="dxa"/>
            <w:vAlign w:val="bottom"/>
          </w:tcPr>
          <w:p>
            <w:pPr>
              <w:spacing w:after="0"/>
              <w:rPr>
                <w:sz w:val="16"/>
                <w:szCs w:val="16"/>
                <w:color w:val="auto"/>
              </w:rPr>
            </w:pPr>
          </w:p>
        </w:tc>
        <w:tc>
          <w:tcPr>
            <w:tcW w:w="900" w:type="dxa"/>
            <w:vAlign w:val="bottom"/>
            <w:gridSpan w:val="3"/>
          </w:tcPr>
          <w:p>
            <w:pPr>
              <w:ind w:left="60"/>
              <w:spacing w:after="0"/>
              <w:rPr>
                <w:sz w:val="20"/>
                <w:szCs w:val="20"/>
                <w:color w:val="auto"/>
              </w:rPr>
            </w:pPr>
            <w:r>
              <w:rPr>
                <w:rFonts w:ascii="Arial" w:cs="Arial" w:eastAsia="Arial" w:hAnsi="Arial"/>
                <w:sz w:val="16"/>
                <w:szCs w:val="16"/>
                <w:b w:val="1"/>
                <w:bCs w:val="1"/>
                <w:color w:val="auto"/>
              </w:rPr>
              <w:t>reportable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All other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7"/>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Shale</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6"/>
                <w:szCs w:val="16"/>
                <w:b w:val="1"/>
                <w:bCs w:val="1"/>
                <w:color w:val="auto"/>
              </w:rPr>
              <w:t>Basin</w:t>
            </w: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Basin</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Basin</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Basin</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6"/>
                <w:szCs w:val="16"/>
                <w:b w:val="1"/>
                <w:bCs w:val="1"/>
                <w:color w:val="auto"/>
              </w:rPr>
              <w:t>Shale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Shale</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segments</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segments</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Total</w:t>
            </w:r>
          </w:p>
        </w:tc>
      </w:tr>
      <w:tr>
        <w:trPr>
          <w:trHeight w:val="196"/>
        </w:trPr>
        <w:tc>
          <w:tcPr>
            <w:tcW w:w="1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8"/>
          </w:tcPr>
          <w:p>
            <w:pPr>
              <w:jc w:val="center"/>
              <w:ind w:right="280"/>
              <w:spacing w:after="0"/>
              <w:rPr>
                <w:sz w:val="20"/>
                <w:szCs w:val="20"/>
                <w:color w:val="auto"/>
              </w:rPr>
            </w:pPr>
            <w:r>
              <w:rPr>
                <w:rFonts w:ascii="Arial" w:cs="Arial" w:eastAsia="Arial" w:hAnsi="Arial"/>
                <w:sz w:val="16"/>
                <w:szCs w:val="16"/>
                <w:b w:val="1"/>
                <w:bCs w:val="1"/>
                <w:color w:val="auto"/>
                <w:w w:val="99"/>
              </w:rPr>
              <w:t>(In thousands)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4"/>
        </w:trPr>
        <w:tc>
          <w:tcPr>
            <w:tcW w:w="1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07"/>
        </w:trPr>
        <w:tc>
          <w:tcPr>
            <w:tcW w:w="168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04"/>
        </w:trPr>
        <w:tc>
          <w:tcPr>
            <w:tcW w:w="1680" w:type="dxa"/>
            <w:vAlign w:val="bottom"/>
          </w:tcPr>
          <w:p>
            <w:pPr>
              <w:spacing w:after="0"/>
              <w:rPr>
                <w:sz w:val="20"/>
                <w:szCs w:val="20"/>
                <w:color w:val="auto"/>
              </w:rPr>
            </w:pPr>
            <w:r>
              <w:rPr>
                <w:rFonts w:ascii="Arial" w:cs="Arial" w:eastAsia="Arial" w:hAnsi="Arial"/>
                <w:sz w:val="16"/>
                <w:szCs w:val="16"/>
                <w:color w:val="auto"/>
              </w:rPr>
              <w:t>Gathering services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7"/>
        </w:trPr>
        <w:tc>
          <w:tcPr>
            <w:tcW w:w="168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4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39"/>
              <w:spacing w:after="0"/>
              <w:rPr>
                <w:sz w:val="20"/>
                <w:szCs w:val="20"/>
                <w:color w:val="auto"/>
              </w:rPr>
            </w:pPr>
            <w:r>
              <w:rPr>
                <w:rFonts w:ascii="Arial" w:cs="Arial" w:eastAsia="Arial" w:hAnsi="Arial"/>
                <w:sz w:val="16"/>
                <w:szCs w:val="16"/>
                <w:color w:val="auto"/>
              </w:rPr>
              <w:t>7,591</w:t>
            </w:r>
          </w:p>
        </w:tc>
        <w:tc>
          <w:tcPr>
            <w:tcW w:w="1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gridSpan w:val="3"/>
          </w:tcPr>
          <w:p>
            <w:pPr>
              <w:jc w:val="right"/>
              <w:ind w:right="39"/>
              <w:spacing w:after="0"/>
              <w:rPr>
                <w:sz w:val="20"/>
                <w:szCs w:val="20"/>
                <w:color w:val="auto"/>
              </w:rPr>
            </w:pPr>
            <w:r>
              <w:rPr>
                <w:rFonts w:ascii="Arial" w:cs="Arial" w:eastAsia="Arial" w:hAnsi="Arial"/>
                <w:sz w:val="16"/>
                <w:szCs w:val="16"/>
                <w:color w:val="auto"/>
              </w:rPr>
              <w:t>15,685</w:t>
            </w:r>
          </w:p>
        </w:tc>
        <w:tc>
          <w:tcPr>
            <w:tcW w:w="1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4,021</w:t>
            </w:r>
          </w:p>
        </w:tc>
        <w:tc>
          <w:tcPr>
            <w:tcW w:w="100" w:type="dxa"/>
            <w:vAlign w:val="bottom"/>
          </w:tcPr>
          <w:p>
            <w:pPr>
              <w:spacing w:after="0"/>
              <w:rPr>
                <w:sz w:val="16"/>
                <w:szCs w:val="16"/>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6"/>
                <w:szCs w:val="16"/>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586</w:t>
            </w:r>
          </w:p>
        </w:tc>
        <w:tc>
          <w:tcPr>
            <w:tcW w:w="28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30,555</w:t>
            </w:r>
          </w:p>
        </w:tc>
        <w:tc>
          <w:tcPr>
            <w:tcW w:w="60" w:type="dxa"/>
            <w:vAlign w:val="bottom"/>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11,428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5,897</w:t>
            </w:r>
          </w:p>
        </w:tc>
        <w:tc>
          <w:tcPr>
            <w:tcW w:w="24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75,763</w:t>
            </w:r>
          </w:p>
        </w:tc>
        <w:tc>
          <w:tcPr>
            <w:tcW w:w="340" w:type="dxa"/>
            <w:vAlign w:val="bottom"/>
            <w:gridSpan w:val="4"/>
          </w:tcPr>
          <w:p>
            <w:pPr>
              <w:ind w:left="1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(656)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w w:val="99"/>
              </w:rPr>
              <w:t>$ 75,107</w:t>
            </w:r>
          </w:p>
        </w:tc>
      </w:tr>
      <w:tr>
        <w:trPr>
          <w:trHeight w:val="204"/>
        </w:trPr>
        <w:tc>
          <w:tcPr>
            <w:tcW w:w="168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189"/>
        </w:trPr>
        <w:tc>
          <w:tcPr>
            <w:tcW w:w="1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187"/>
        </w:trPr>
        <w:tc>
          <w:tcPr>
            <w:tcW w:w="16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9"/>
              </w:rPr>
              <w:t>3,768</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2,406</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2,104</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6,273</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14,652</w:t>
            </w: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3,639</w:t>
            </w: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18,291</w:t>
            </w:r>
          </w:p>
        </w:tc>
      </w:tr>
      <w:tr>
        <w:trPr>
          <w:trHeight w:val="203"/>
        </w:trPr>
        <w:tc>
          <w:tcPr>
            <w:tcW w:w="1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3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9"/>
              </w:rPr>
              <w:t>2,670</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FF0FC"/>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945</w:t>
            </w:r>
          </w:p>
        </w:tc>
        <w:tc>
          <w:tcPr>
            <w:tcW w:w="6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1,646</w:t>
            </w:r>
          </w:p>
        </w:tc>
        <w:tc>
          <w:tcPr>
            <w:tcW w:w="2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6,344</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(56)</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6,288</w:t>
            </w:r>
          </w:p>
        </w:tc>
      </w:tr>
      <w:tr>
        <w:trPr>
          <w:trHeight w:val="196"/>
        </w:trPr>
        <w:tc>
          <w:tcPr>
            <w:tcW w:w="16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7,591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72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22,123</w:t>
            </w:r>
          </w:p>
        </w:tc>
        <w:tc>
          <w:tcPr>
            <w:tcW w:w="10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5,156</w:t>
            </w:r>
          </w:p>
        </w:tc>
        <w:tc>
          <w:tcPr>
            <w:tcW w:w="1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3,041</w:t>
            </w:r>
          </w:p>
        </w:tc>
        <w:tc>
          <w:tcPr>
            <w:tcW w:w="28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33,604</w:t>
            </w:r>
          </w:p>
        </w:tc>
        <w:tc>
          <w:tcPr>
            <w:tcW w:w="60" w:type="dxa"/>
            <w:vAlign w:val="bottom"/>
            <w:shd w:val="clear" w:color="auto" w:fill="CFF0FC"/>
          </w:tcPr>
          <w:p>
            <w:pPr>
              <w:spacing w:after="0"/>
              <w:rPr>
                <w:sz w:val="17"/>
                <w:szCs w:val="17"/>
                <w:color w:val="auto"/>
              </w:rPr>
            </w:pPr>
          </w:p>
        </w:tc>
        <w:tc>
          <w:tcPr>
            <w:tcW w:w="1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19,347</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5,897</w:t>
            </w:r>
          </w:p>
        </w:tc>
        <w:tc>
          <w:tcPr>
            <w:tcW w:w="24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96,759</w:t>
            </w:r>
          </w:p>
        </w:tc>
        <w:tc>
          <w:tcPr>
            <w:tcW w:w="340" w:type="dxa"/>
            <w:vAlign w:val="bottom"/>
            <w:gridSpan w:val="4"/>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2,927</w:t>
            </w:r>
          </w:p>
        </w:tc>
        <w:tc>
          <w:tcPr>
            <w:tcW w:w="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9"/>
              </w:rPr>
              <w:t>$ 99,686</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6"/>
                <w:szCs w:val="16"/>
                <w:b w:val="1"/>
                <w:bCs w:val="1"/>
                <w:color w:val="auto"/>
              </w:rPr>
              <w:t>Reportable Segments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6"/>
        </w:trPr>
        <w:tc>
          <w:tcPr>
            <w:tcW w:w="19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11"/>
          </w:tcPr>
          <w:p>
            <w:pPr>
              <w:jc w:val="center"/>
              <w:ind w:right="180"/>
              <w:spacing w:after="0"/>
              <w:rPr>
                <w:sz w:val="20"/>
                <w:szCs w:val="20"/>
                <w:color w:val="auto"/>
              </w:rPr>
            </w:pPr>
            <w:r>
              <w:rPr>
                <w:rFonts w:ascii="Arial" w:cs="Arial" w:eastAsia="Arial" w:hAnsi="Arial"/>
                <w:sz w:val="16"/>
                <w:szCs w:val="16"/>
                <w:b w:val="1"/>
                <w:bCs w:val="1"/>
                <w:color w:val="auto"/>
              </w:rPr>
              <w:t>Six months ended June 30, 2019</w:t>
            </w: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78"/>
        </w:trPr>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39"/>
              <w:spacing w:after="0" w:line="178"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6"/>
                <w:szCs w:val="16"/>
                <w:b w:val="1"/>
                <w:bCs w:val="1"/>
                <w:color w:val="auto"/>
              </w:rPr>
              <w:t>Utica</w:t>
            </w: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Williston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7"/>
              </w:rPr>
              <w:t>DJ</w:t>
            </w:r>
          </w:p>
        </w:tc>
        <w:tc>
          <w:tcPr>
            <w:tcW w:w="8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Permian</w:t>
            </w:r>
          </w:p>
        </w:tc>
        <w:tc>
          <w:tcPr>
            <w:tcW w:w="1040" w:type="dxa"/>
            <w:vAlign w:val="bottom"/>
            <w:gridSpan w:val="4"/>
          </w:tcPr>
          <w:p>
            <w:pPr>
              <w:ind w:left="120"/>
              <w:spacing w:after="0"/>
              <w:rPr>
                <w:sz w:val="20"/>
                <w:szCs w:val="20"/>
                <w:color w:val="auto"/>
              </w:rPr>
            </w:pPr>
            <w:r>
              <w:rPr>
                <w:rFonts w:ascii="Arial" w:cs="Arial" w:eastAsia="Arial" w:hAnsi="Arial"/>
                <w:sz w:val="16"/>
                <w:szCs w:val="16"/>
                <w:b w:val="1"/>
                <w:bCs w:val="1"/>
                <w:color w:val="auto"/>
              </w:rPr>
              <w:t>Piceance</w:t>
            </w:r>
          </w:p>
        </w:tc>
        <w:tc>
          <w:tcPr>
            <w:tcW w:w="9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Barnett</w:t>
            </w:r>
          </w:p>
        </w:tc>
        <w:tc>
          <w:tcPr>
            <w:tcW w:w="980" w:type="dxa"/>
            <w:vAlign w:val="bottom"/>
            <w:gridSpan w:val="3"/>
          </w:tcPr>
          <w:p>
            <w:pPr>
              <w:spacing w:after="0"/>
              <w:rPr>
                <w:sz w:val="20"/>
                <w:szCs w:val="20"/>
                <w:color w:val="auto"/>
              </w:rPr>
            </w:pPr>
            <w:r>
              <w:rPr>
                <w:rFonts w:ascii="Arial" w:cs="Arial" w:eastAsia="Arial" w:hAnsi="Arial"/>
                <w:sz w:val="16"/>
                <w:szCs w:val="16"/>
                <w:b w:val="1"/>
                <w:bCs w:val="1"/>
                <w:color w:val="auto"/>
              </w:rPr>
              <w:t>Marcellus</w:t>
            </w: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reportable</w:t>
            </w:r>
          </w:p>
        </w:tc>
        <w:tc>
          <w:tcPr>
            <w:tcW w:w="120" w:type="dxa"/>
            <w:vAlign w:val="bottom"/>
          </w:tcPr>
          <w:p>
            <w:pPr>
              <w:spacing w:after="0"/>
              <w:rPr>
                <w:sz w:val="16"/>
                <w:szCs w:val="16"/>
                <w:color w:val="auto"/>
              </w:rPr>
            </w:pPr>
          </w:p>
        </w:tc>
        <w:tc>
          <w:tcPr>
            <w:tcW w:w="980" w:type="dxa"/>
            <w:vAlign w:val="bottom"/>
            <w:gridSpan w:val="3"/>
          </w:tcPr>
          <w:p>
            <w:pPr>
              <w:ind w:left="40"/>
              <w:spacing w:after="0"/>
              <w:rPr>
                <w:sz w:val="20"/>
                <w:szCs w:val="20"/>
                <w:color w:val="auto"/>
              </w:rPr>
            </w:pPr>
            <w:r>
              <w:rPr>
                <w:rFonts w:ascii="Arial" w:cs="Arial" w:eastAsia="Arial" w:hAnsi="Arial"/>
                <w:sz w:val="16"/>
                <w:szCs w:val="16"/>
                <w:b w:val="1"/>
                <w:bCs w:val="1"/>
                <w:color w:val="auto"/>
              </w:rPr>
              <w:t>All other</w:t>
            </w:r>
          </w:p>
        </w:tc>
        <w:tc>
          <w:tcPr>
            <w:tcW w:w="780" w:type="dxa"/>
            <w:vAlign w:val="bottom"/>
          </w:tcPr>
          <w:p>
            <w:pPr>
              <w:spacing w:after="0"/>
              <w:rPr>
                <w:sz w:val="16"/>
                <w:szCs w:val="16"/>
                <w:color w:val="auto"/>
              </w:rPr>
            </w:pPr>
          </w:p>
        </w:tc>
      </w:tr>
      <w:tr>
        <w:trPr>
          <w:trHeight w:val="207"/>
        </w:trPr>
        <w:tc>
          <w:tcPr>
            <w:tcW w:w="19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Shale</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Basin</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8"/>
              </w:rPr>
              <w:t>Shale</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Shale</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segments</w:t>
            </w:r>
          </w:p>
        </w:tc>
        <w:tc>
          <w:tcPr>
            <w:tcW w:w="11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segments</w:t>
            </w: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Total</w:t>
            </w:r>
          </w:p>
        </w:tc>
      </w:tr>
      <w:tr>
        <w:trPr>
          <w:trHeight w:val="196"/>
        </w:trPr>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4"/>
        </w:trPr>
        <w:tc>
          <w:tcPr>
            <w:tcW w:w="1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207"/>
        </w:trPr>
        <w:tc>
          <w:tcPr>
            <w:tcW w:w="196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04"/>
        </w:trPr>
        <w:tc>
          <w:tcPr>
            <w:tcW w:w="1960" w:type="dxa"/>
            <w:vAlign w:val="bottom"/>
          </w:tcPr>
          <w:p>
            <w:pPr>
              <w:spacing w:after="0"/>
              <w:rPr>
                <w:sz w:val="20"/>
                <w:szCs w:val="20"/>
                <w:color w:val="auto"/>
              </w:rPr>
            </w:pPr>
            <w:r>
              <w:rPr>
                <w:rFonts w:ascii="Arial" w:cs="Arial" w:eastAsia="Arial" w:hAnsi="Arial"/>
                <w:sz w:val="16"/>
                <w:szCs w:val="16"/>
                <w:color w:val="auto"/>
              </w:rPr>
              <w:t>Gathering services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87"/>
        </w:trPr>
        <w:tc>
          <w:tcPr>
            <w:tcW w:w="196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15,086</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41,391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7,745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62,395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24,453</w:t>
            </w:r>
          </w:p>
        </w:tc>
        <w:tc>
          <w:tcPr>
            <w:tcW w:w="1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12,094</w:t>
            </w:r>
          </w:p>
        </w:tc>
        <w:tc>
          <w:tcPr>
            <w:tcW w:w="1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164,116</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$ 162,071</w:t>
            </w:r>
          </w:p>
        </w:tc>
      </w:tr>
      <w:tr>
        <w:trPr>
          <w:trHeight w:val="204"/>
        </w:trPr>
        <w:tc>
          <w:tcPr>
            <w:tcW w:w="196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r>
      <w:tr>
        <w:trPr>
          <w:trHeight w:val="189"/>
        </w:trPr>
        <w:tc>
          <w:tcPr>
            <w:tcW w:w="19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187"/>
        </w:trPr>
        <w:tc>
          <w:tcPr>
            <w:tcW w:w="19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9,353</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6,627</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4,406</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6,877</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27,449</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28,770</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56,219</w:t>
            </w:r>
          </w:p>
        </w:tc>
      </w:tr>
      <w:tr>
        <w:trPr>
          <w:trHeight w:val="203"/>
        </w:trPr>
        <w:tc>
          <w:tcPr>
            <w:tcW w:w="1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5,578</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2,041</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2,083</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3,302</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13,085</w:t>
            </w: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12,804</w:t>
            </w:r>
          </w:p>
        </w:tc>
      </w:tr>
      <w:tr>
        <w:trPr>
          <w:trHeight w:val="196"/>
        </w:trPr>
        <w:tc>
          <w:tcPr>
            <w:tcW w:w="19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15,086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56,322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9,972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7,660</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68,884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34,632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12,094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204,650</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26,444</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5"/>
              </w:rPr>
              <w:t>$ 231,094</w:t>
            </w:r>
          </w:p>
        </w:tc>
      </w:tr>
    </w:tbl>
    <w:p>
      <w:pPr>
        <w:spacing w:after="0" w:line="99"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i w:val="1"/>
          <w:iCs w:val="1"/>
          <w:u w:val="single" w:color="auto"/>
          <w:color w:val="auto"/>
        </w:rPr>
        <w:t>Contract balances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assets relate to our rights to consideration for work completed but not billed at the reporting date and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MVC shortfall payments expected from our customers and unbilled activity associated with contributions in aid of construction. Contract assets are transferred to trade receivables when the rights become unconditional. The following table provides information about contract assets from contracts with customers: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4"/>
          </w:tcPr>
          <w:p>
            <w:pPr>
              <w:jc w:val="right"/>
              <w:ind w:right="1294"/>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 assets, beginning of period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3,902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8,755</w:t>
            </w:r>
          </w:p>
        </w:tc>
      </w:tr>
      <w:tr>
        <w:trPr>
          <w:trHeight w:val="216"/>
        </w:trPr>
        <w:tc>
          <w:tcPr>
            <w:tcW w:w="76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15,074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18,077</w:t>
            </w:r>
          </w:p>
        </w:tc>
      </w:tr>
      <w:tr>
        <w:trPr>
          <w:trHeight w:val="216"/>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Transfers out</w:t>
            </w: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(22,930)</w:t>
            </w:r>
          </w:p>
        </w:tc>
      </w:tr>
      <w:tr>
        <w:trPr>
          <w:trHeight w:val="223"/>
        </w:trPr>
        <w:tc>
          <w:tcPr>
            <w:tcW w:w="7600" w:type="dxa"/>
            <w:vAlign w:val="bottom"/>
          </w:tcPr>
          <w:p>
            <w:pPr>
              <w:spacing w:after="0"/>
              <w:rPr>
                <w:sz w:val="20"/>
                <w:szCs w:val="20"/>
                <w:color w:val="auto"/>
              </w:rPr>
            </w:pPr>
            <w:r>
              <w:rPr>
                <w:rFonts w:ascii="Arial" w:cs="Arial" w:eastAsia="Arial" w:hAnsi="Arial"/>
                <w:sz w:val="18"/>
                <w:szCs w:val="18"/>
                <w:b w:val="1"/>
                <w:bCs w:val="1"/>
                <w:color w:val="auto"/>
              </w:rPr>
              <w:t>Contract assets,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17,100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3,902</w:t>
            </w:r>
          </w:p>
        </w:tc>
      </w:tr>
    </w:tbl>
    <w:p>
      <w:pPr>
        <w:spacing w:after="0" w:line="9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As of June 30, 2020, receivables with customers totaled $ 56.5 million and contract assets totaled $17.1 million which were included in the Accounts receivable caption on the unaudited condensed consolidated balance sheet.</w:t>
      </w:r>
    </w:p>
    <w:p>
      <w:pPr>
        <w:spacing w:after="0" w:line="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of December 31, 2019, receivables with customers totaled $90.4 million and contract assets totaled $3.9 million which were included in the Accounts receivable caption on the unaudited condensed consolidated balance sheet.</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Contract liabilities (deferred revenue) relate to the advance consideration received from customers primarily for contributions in aid of construction. We recognize contract liabilities under these arrangements in revenue over the contract period. For the three months ended June 30, 2020 and 2019, we recognized $2.3 million and $2.7 million of gathering services and related fees which were included in the contract liability balance as of the beginning of the period. For the six months ended June 30, 2020 and 2019, we recognized $4.7 million and $5.4 million of gathering services and related fees which were included in the contract liability balance as of the beginning of the period. See Note 8 for additional details.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our reportable segments are:</w:t>
      </w:r>
    </w:p>
    <w:p>
      <w:pPr>
        <w:spacing w:after="0" w:line="104" w:lineRule="exact"/>
        <w:rPr>
          <w:sz w:val="20"/>
          <w:szCs w:val="20"/>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Ohio Gathering, which includes our ownership interest in OGC and OCC;</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Bison Midstream and Meadowlark Midstream;</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DJ Basin, which is served by Niobrara G&amp;P;</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both"/>
        <w:ind w:right="20"/>
        <w:spacing w:after="0" w:line="249" w:lineRule="auto"/>
        <w:rPr>
          <w:sz w:val="20"/>
          <w:szCs w:val="20"/>
          <w:color w:val="auto"/>
        </w:rPr>
      </w:pPr>
      <w:r>
        <w:rPr>
          <w:rFonts w:ascii="Arial" w:cs="Arial" w:eastAsia="Arial" w:hAnsi="Arial"/>
          <w:sz w:val="18"/>
          <w:szCs w:val="18"/>
          <w:color w:val="auto"/>
        </w:rPr>
        <w:t>Until March 22, 2019, we owned Tioga Midstream, a crude oil, produced water and associated natural gas gathering system operating in the Williston Basin. Until December 1, 2019, we owned certain assets in the Red Rock Gathering system operating in the Piceance Basin. Refer to Note 16 to the unaudited condensed consolidated financial statements for details on the sale of Tioga Midstream and on the sale of certain assets in the Red Rock Gathering system.</w:t>
      </w:r>
    </w:p>
    <w:p>
      <w:pPr>
        <w:spacing w:after="0" w:line="86"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w:t>
      </w:r>
    </w:p>
    <w:p>
      <w:pPr>
        <w:spacing w:after="0" w:line="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Ohio Gathering reportable segment includes our investment in Ohio Gathering. Income or loss from equity method investees, as reflected on the unaudited condensed consolidated statements of operations, relates to Ohio Gathering and is recognized and disclosed on a one-month lag (see Note 7).</w:t>
      </w:r>
    </w:p>
    <w:p>
      <w:pPr>
        <w:spacing w:after="0" w:line="95"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For the three and six months ended June 30, 2020, other than the investment activity described in Note 7, Double E did not have any results of operations given that the Double E Project is currently under development. The Double E Project is expected to be operational in the third quarter of 2021.</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Corporate and Other represents those results that are: (i) not specifically attributable to a reportable segment; (ii) not individually reportable (such as Double E); or (iii) that have not been allocated to our reportable segments for the purpose of evaluating their performance, including certain general and administrative expense items, certain natural gas and crude oil marketing services, construction management fees related to the Double E Project and transaction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gridSpan w:val="4"/>
          </w:tcPr>
          <w:p>
            <w:pPr>
              <w:jc w:val="right"/>
              <w:ind w:right="135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 (1):</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Utica Shale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210,592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206,368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269,504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275,000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Williston Basin</w:t>
            </w:r>
          </w:p>
        </w:tc>
        <w:tc>
          <w:tcPr>
            <w:tcW w:w="220" w:type="dxa"/>
            <w:vAlign w:val="bottom"/>
          </w:tcPr>
          <w:p>
            <w:pPr>
              <w:spacing w:after="0"/>
              <w:rPr>
                <w:sz w:val="18"/>
                <w:szCs w:val="18"/>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453,327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452,152</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203,866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205,308</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Permian Basin</w:t>
            </w:r>
          </w:p>
        </w:tc>
        <w:tc>
          <w:tcPr>
            <w:tcW w:w="220" w:type="dxa"/>
            <w:vAlign w:val="bottom"/>
          </w:tcPr>
          <w:p>
            <w:pPr>
              <w:spacing w:after="0"/>
              <w:rPr>
                <w:sz w:val="18"/>
                <w:szCs w:val="18"/>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169,710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185,708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605,786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631,140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Barnett Shale</w:t>
            </w:r>
          </w:p>
        </w:tc>
        <w:tc>
          <w:tcPr>
            <w:tcW w:w="220" w:type="dxa"/>
            <w:vAlign w:val="bottom"/>
          </w:tcPr>
          <w:p>
            <w:pPr>
              <w:spacing w:after="0"/>
              <w:rPr>
                <w:sz w:val="18"/>
                <w:szCs w:val="18"/>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357,824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350,638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183,896</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184,631</w:t>
            </w:r>
          </w:p>
        </w:tc>
      </w:tr>
      <w:tr>
        <w:trPr>
          <w:trHeight w:val="210"/>
        </w:trPr>
        <w:tc>
          <w:tcPr>
            <w:tcW w:w="7520" w:type="dxa"/>
            <w:vAlign w:val="bottom"/>
          </w:tcPr>
          <w:p>
            <w:pPr>
              <w:ind w:left="140"/>
              <w:spacing w:after="0"/>
              <w:rPr>
                <w:sz w:val="20"/>
                <w:szCs w:val="20"/>
                <w:color w:val="auto"/>
              </w:rPr>
            </w:pPr>
            <w:r>
              <w:rPr>
                <w:rFonts w:ascii="Arial" w:cs="Arial" w:eastAsia="Arial" w:hAnsi="Arial"/>
                <w:sz w:val="18"/>
                <w:szCs w:val="18"/>
                <w:color w:val="auto"/>
              </w:rPr>
              <w:t>Total reportable segment assets</w:t>
            </w:r>
          </w:p>
        </w:tc>
        <w:tc>
          <w:tcPr>
            <w:tcW w:w="220" w:type="dxa"/>
            <w:vAlign w:val="bottom"/>
          </w:tcPr>
          <w:p>
            <w:pPr>
              <w:spacing w:after="0"/>
              <w:rPr>
                <w:sz w:val="18"/>
                <w:szCs w:val="18"/>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2,454,505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2,490,945</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131,997</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83,153</w:t>
            </w:r>
          </w:p>
        </w:tc>
      </w:tr>
      <w:tr>
        <w:trPr>
          <w:trHeight w:val="210"/>
        </w:trPr>
        <w:tc>
          <w:tcPr>
            <w:tcW w:w="752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2,586,502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2,574,098</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right="220" w:firstLine="8"/>
        <w:spacing w:after="0" w:line="253"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June 30, 2020, Corporate and Other included $113.6 million relating to our investment in Double E (included in the Investment in equity method investees caption of the unaudited condensed consolidated balance sheet). At December 31, 2019, Corporate and Other included $34.7 million relating to our investment in Double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Revenues by reportable segment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8"/>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5"/>
                <w:szCs w:val="15"/>
                <w:color w:val="auto"/>
              </w:rPr>
            </w:pPr>
          </w:p>
        </w:tc>
        <w:tc>
          <w:tcPr>
            <w:tcW w:w="2460" w:type="dxa"/>
            <w:vAlign w:val="bottom"/>
            <w:gridSpan w:val="6"/>
          </w:tcPr>
          <w:p>
            <w:pPr>
              <w:jc w:val="right"/>
              <w:ind w:right="372"/>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169"/>
        </w:trPr>
        <w:tc>
          <w:tcPr>
            <w:tcW w:w="5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7"/>
          </w:tcPr>
          <w:p>
            <w:pPr>
              <w:ind w:left="6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 (1):</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Utica Shale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11,538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7,591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18,500</w:t>
            </w:r>
          </w:p>
        </w:tc>
        <w:tc>
          <w:tcPr>
            <w:tcW w:w="40" w:type="dxa"/>
            <w:vAlign w:val="bottom"/>
          </w:tcPr>
          <w:p>
            <w:pPr>
              <w:spacing w:after="0"/>
              <w:rPr>
                <w:sz w:val="18"/>
                <w:szCs w:val="18"/>
                <w:color w:val="auto"/>
              </w:rPr>
            </w:pPr>
          </w:p>
        </w:tc>
        <w:tc>
          <w:tcPr>
            <w:tcW w:w="38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15,086</w:t>
            </w: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18,314</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22,123</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49,577</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56,322</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DJ Basin</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6,292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9,972</w:t>
            </w: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7,059</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14,069</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7,660</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Piceance Basin</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27,719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56,976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68,884</w:t>
            </w: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14,513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19,347</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30,087</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34,632</w:t>
            </w:r>
          </w:p>
        </w:tc>
      </w:tr>
      <w:tr>
        <w:trPr>
          <w:trHeight w:val="216"/>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Marcellus Shale</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5,928</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12,094</w:t>
            </w:r>
          </w:p>
        </w:tc>
      </w:tr>
      <w:tr>
        <w:trPr>
          <w:trHeight w:val="210"/>
        </w:trPr>
        <w:tc>
          <w:tcPr>
            <w:tcW w:w="58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Total reportable segments revenue</w:t>
            </w:r>
          </w:p>
        </w:tc>
        <w:tc>
          <w:tcPr>
            <w:tcW w:w="1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91,363</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96,759</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195,623</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204,650</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30,662</w:t>
            </w: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Eliminations</w:t>
            </w: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(897)</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r>
      <w:tr>
        <w:trPr>
          <w:trHeight w:val="209"/>
        </w:trPr>
        <w:tc>
          <w:tcPr>
            <w:tcW w:w="5820" w:type="dxa"/>
            <w:vAlign w:val="bottom"/>
            <w:gridSpan w:val="2"/>
          </w:tcPr>
          <w:p>
            <w:pPr>
              <w:ind w:left="1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92,007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99,686</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196,910</w:t>
            </w:r>
          </w:p>
        </w:tc>
        <w:tc>
          <w:tcPr>
            <w:tcW w:w="40" w:type="dxa"/>
            <w:vAlign w:val="bottom"/>
            <w:tcBorders>
              <w:bottom w:val="single" w:sz="8" w:color="auto"/>
            </w:tcBorders>
          </w:tcPr>
          <w:p>
            <w:pPr>
              <w:spacing w:after="0"/>
              <w:rPr>
                <w:sz w:val="18"/>
                <w:szCs w:val="18"/>
                <w:color w:val="auto"/>
              </w:rPr>
            </w:pPr>
          </w:p>
        </w:tc>
        <w:tc>
          <w:tcPr>
            <w:tcW w:w="140" w:type="dxa"/>
            <w:vAlign w:val="bottom"/>
            <w:gridSpan w:val="2"/>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231,094</w:t>
            </w:r>
          </w:p>
        </w:tc>
      </w:tr>
      <w:tr>
        <w:trPr>
          <w:trHeight w:val="20"/>
        </w:trPr>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9"/>
        </w:trPr>
        <w:tc>
          <w:tcPr>
            <w:tcW w:w="6000" w:type="dxa"/>
            <w:vAlign w:val="bottom"/>
            <w:gridSpan w:val="3"/>
          </w:tcPr>
          <w:p>
            <w:pPr>
              <w:spacing w:after="0"/>
              <w:rPr>
                <w:sz w:val="20"/>
                <w:szCs w:val="20"/>
                <w:color w:val="auto"/>
              </w:rPr>
            </w:pPr>
            <w:r>
              <w:rPr>
                <w:rFonts w:ascii="Arial" w:cs="Arial" w:eastAsia="Arial" w:hAnsi="Arial"/>
                <w:sz w:val="16"/>
                <w:szCs w:val="16"/>
                <w:color w:val="auto"/>
              </w:rPr>
              <w:t>(1) Excludes revenues earned by Ohio Gathering due to equity method accounting.</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0"/>
        </w:trPr>
        <w:tc>
          <w:tcPr>
            <w:tcW w:w="7060" w:type="dxa"/>
            <w:vAlign w:val="bottom"/>
            <w:gridSpan w:val="5"/>
          </w:tcPr>
          <w:p>
            <w:pPr>
              <w:spacing w:after="0"/>
              <w:rPr>
                <w:sz w:val="20"/>
                <w:szCs w:val="20"/>
                <w:color w:val="auto"/>
              </w:rPr>
            </w:pPr>
            <w:r>
              <w:rPr>
                <w:rFonts w:ascii="Arial" w:cs="Arial" w:eastAsia="Arial" w:hAnsi="Arial"/>
                <w:sz w:val="18"/>
                <w:szCs w:val="18"/>
                <w:color w:val="auto"/>
              </w:rPr>
              <w:t>Counterparties accounting for more than 10% of total revenues were as follows: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5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9"/>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7"/>
                <w:szCs w:val="17"/>
                <w:color w:val="auto"/>
              </w:rPr>
            </w:pPr>
          </w:p>
        </w:tc>
        <w:tc>
          <w:tcPr>
            <w:tcW w:w="2460" w:type="dxa"/>
            <w:vAlign w:val="bottom"/>
            <w:gridSpan w:val="6"/>
          </w:tcPr>
          <w:p>
            <w:pPr>
              <w:jc w:val="right"/>
              <w:ind w:right="452"/>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56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09"/>
        </w:trPr>
        <w:tc>
          <w:tcPr>
            <w:tcW w:w="5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revenues (1):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Counterparty A - Piceance Basin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Counterparty B - Williston Basin</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820" w:type="dxa"/>
            <w:vAlign w:val="bottom"/>
            <w:gridSpan w:val="2"/>
          </w:tcPr>
          <w:p>
            <w:pPr>
              <w:spacing w:after="0"/>
              <w:rPr>
                <w:sz w:val="20"/>
                <w:szCs w:val="20"/>
                <w:color w:val="auto"/>
              </w:rPr>
            </w:pPr>
            <w:r>
              <w:rPr>
                <w:rFonts w:ascii="Arial" w:cs="Arial" w:eastAsia="Arial" w:hAnsi="Arial"/>
                <w:sz w:val="18"/>
                <w:szCs w:val="18"/>
                <w:color w:val="auto"/>
              </w:rPr>
              <w:t>Counterparty C - Barnett Shale</w:t>
            </w:r>
          </w:p>
        </w:tc>
        <w:tc>
          <w:tcPr>
            <w:tcW w:w="180" w:type="dxa"/>
            <w:vAlign w:val="bottom"/>
          </w:tcPr>
          <w:p>
            <w:pPr>
              <w:spacing w:after="0"/>
              <w:rPr>
                <w:sz w:val="19"/>
                <w:szCs w:val="19"/>
                <w:color w:val="auto"/>
              </w:rPr>
            </w:pP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96" w:lineRule="exact"/>
        <w:rPr>
          <w:sz w:val="20"/>
          <w:szCs w:val="20"/>
          <w:color w:val="auto"/>
        </w:rPr>
      </w:pPr>
    </w:p>
    <w:p>
      <w:pPr>
        <w:ind w:right="5280" w:firstLine="8"/>
        <w:spacing w:after="0" w:line="260" w:lineRule="auto"/>
        <w:tabs>
          <w:tab w:leader="none" w:pos="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revenues earned by Ohio Gathering due to equity method accounting. * Less than 10%</w:t>
      </w:r>
    </w:p>
    <w:p>
      <w:pPr>
        <w:spacing w:after="0" w:line="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Depreciation and amortization, including the amortization expense associated with our favorable gas gathering contracts as reported in Other revenues, by reportable segment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 (1):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Utica Shale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1,920</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1,923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3,847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Williston Basin</w:t>
            </w: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6,487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4,734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12,982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10,170</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1,502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464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3,029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Permian Basin</w:t>
            </w: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1,387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1,163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2,732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11,306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11,810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22,604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23,601</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Barnett Shale (2)</w:t>
            </w: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4,023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4,167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8,055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2,286</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4,600</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09"/>
        </w:trPr>
        <w:tc>
          <w:tcPr>
            <w:tcW w:w="5820" w:type="dxa"/>
            <w:vAlign w:val="bottom"/>
          </w:tcPr>
          <w:p>
            <w:pPr>
              <w:ind w:left="140"/>
              <w:spacing w:after="0"/>
              <w:rPr>
                <w:sz w:val="20"/>
                <w:szCs w:val="20"/>
                <w:color w:val="auto"/>
              </w:rPr>
            </w:pPr>
            <w:r>
              <w:rPr>
                <w:rFonts w:ascii="Arial" w:cs="Arial" w:eastAsia="Arial" w:hAnsi="Arial"/>
                <w:sz w:val="18"/>
                <w:szCs w:val="18"/>
                <w:color w:val="auto"/>
              </w:rPr>
              <w:t>Total reportable segment depreciation and amortization</w:t>
            </w: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28,925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26,547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57,849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54,166</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941</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1,917</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9"/>
        </w:trPr>
        <w:tc>
          <w:tcPr>
            <w:tcW w:w="5820" w:type="dxa"/>
            <w:vAlign w:val="bottom"/>
          </w:tcPr>
          <w:p>
            <w:pPr>
              <w:ind w:left="140"/>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29,866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27,200</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59,766</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55,353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depreciation and amortization recognized by Ohio Gathering due to equity method accounting.</w:t>
      </w:r>
    </w:p>
    <w:p>
      <w:pPr>
        <w:spacing w:after="0" w:line="10"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amortization expense associated with our favorable gas gathering contracts as reported in Other revenues</w:t>
      </w:r>
      <w:r>
        <w:rPr>
          <w:rFonts w:ascii="Arial" w:cs="Arial" w:eastAsia="Arial" w:hAnsi="Arial"/>
          <w:sz w:val="17"/>
          <w:szCs w:val="17"/>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Cash paid for capital expenditures by reportable segment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540" w:type="dxa"/>
            <w:vAlign w:val="bottom"/>
            <w:tcBorders>
              <w:bottom w:val="single" w:sz="8" w:color="auto"/>
            </w:tcBorders>
            <w:gridSpan w:val="5"/>
          </w:tcPr>
          <w:p>
            <w:pPr>
              <w:jc w:val="right"/>
              <w:ind w:right="812"/>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169"/>
        </w:trPr>
        <w:tc>
          <w:tcPr>
            <w:tcW w:w="7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capital expenditures (1):</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Utica Shale</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1,482</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1,065</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7,423</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14,230</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DJ Basin</w:t>
            </w: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8,428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50,373</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4,921</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28,163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Piceance Basin</w:t>
            </w: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404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1,497</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Barnett Shale (2)</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869</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430</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108</w:t>
            </w:r>
          </w:p>
        </w:tc>
      </w:tr>
      <w:tr>
        <w:trPr>
          <w:trHeight w:val="210"/>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 capital expenditures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23,957</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95,399</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3,469</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15,693</w:t>
            </w:r>
          </w:p>
        </w:tc>
      </w:tr>
      <w:tr>
        <w:trPr>
          <w:trHeight w:val="20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cash paid for capital expenditures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27,426</w:t>
            </w:r>
          </w:p>
        </w:tc>
        <w:tc>
          <w:tcPr>
            <w:tcW w:w="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111,092</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cash paid for capital expenditures by Ohio Gathering due to equity method accounting.</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six months ended June 30, 2019, the amount includes sales tax reimbursements of $1.1 million.</w:t>
      </w:r>
    </w:p>
    <w:p>
      <w:pPr>
        <w:spacing w:after="0" w:line="11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During the six months ended June 30, 2019, Corporate and Other included cash paid of $0.3 million for corporate purposes; the remainder represents capital expenditures relating to the Double E Project.</w:t>
      </w:r>
    </w:p>
    <w:p>
      <w:pPr>
        <w:spacing w:after="0" w:line="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assess the performance of our reportable segments based on segment adjusted EBITDA. We define segment adjusted EBITDA as 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unit-based and noncash compensation, (vii) impairments, (viii) other noncash expenses or losses, less other noncash income or gains and (ix) restructuring expenses. We define proportional adjusted EBITDA for our equity method investees as the product of (i) total revenues less total expenses, excluding impairments and other noncash income or expense items, and amortization for deferred contract costs; and (ii) our ownership interest in Ohio Gathering during the respective period.</w:t>
      </w:r>
    </w:p>
    <w:p>
      <w:pPr>
        <w:spacing w:after="0" w:line="95"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For the purpose of evaluating segment performance, we exclude the effect of Corporate and Other revenues and expenses, such as certain general and administrative expenses (including compensation-related expenses and professional services fees), certain natural gas and crude oil marketing services, transaction costs, interest expense and income tax expense or benefit from segment adjusted EBITDA.</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by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Utica Shale</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10,693</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6,640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16,621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12,833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Ohio Gathering</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7,514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9,939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15,453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19,149</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12,727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16,650</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28,919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35,384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DJ Basin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4,339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2,816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10,250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5,489</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1,828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3,409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Piceance Basin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21,734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24,584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45,291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50,583</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8,510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11,208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17,270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22,582</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10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4,888</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4,635</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10,208</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9,777</w:t>
            </w: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72,233</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75,816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147,421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154,591</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8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ind w:right="460"/>
        <w:spacing w:after="0" w:line="246" w:lineRule="auto"/>
        <w:rPr>
          <w:sz w:val="20"/>
          <w:szCs w:val="20"/>
          <w:color w:val="auto"/>
        </w:rPr>
      </w:pPr>
      <w:r>
        <w:rPr>
          <w:rFonts w:ascii="Arial" w:cs="Arial" w:eastAsia="Arial" w:hAnsi="Arial"/>
          <w:sz w:val="18"/>
          <w:szCs w:val="18"/>
          <w:color w:val="auto"/>
        </w:rPr>
        <w:t>A reconciliation of income or loss before income taxes and income or loss from equity method investees to total of reportable segments' measures of profit or loss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582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income (loss) before income taxes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and income (loss) from equity method investees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to total of reportable segments' measures of</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200"/>
              <w:spacing w:after="0"/>
              <w:rPr>
                <w:sz w:val="20"/>
                <w:szCs w:val="20"/>
                <w:color w:val="auto"/>
              </w:rPr>
            </w:pPr>
            <w:r>
              <w:rPr>
                <w:rFonts w:ascii="Arial" w:cs="Arial" w:eastAsia="Arial" w:hAnsi="Arial"/>
                <w:sz w:val="18"/>
                <w:szCs w:val="18"/>
                <w:b w:val="1"/>
                <w:bCs w:val="1"/>
                <w:color w:val="auto"/>
              </w:rPr>
              <w:t>profit: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 and income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(loss) from equity method investees</w:t>
            </w: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53,292</w:t>
            </w:r>
          </w:p>
        </w:tc>
        <w:tc>
          <w:tcPr>
            <w:tcW w:w="4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4,256</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53,730</w:t>
            </w:r>
          </w:p>
        </w:tc>
        <w:tc>
          <w:tcPr>
            <w:tcW w:w="4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(35,326)</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and Other expense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9,533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8,255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21,610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24,905</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21,990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22,343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45,818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45,085</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early extinguishment of debt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(54,235)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(54,235)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29,866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27,200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59,766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55,353</w:t>
            </w:r>
          </w:p>
        </w:tc>
        <w:tc>
          <w:tcPr>
            <w:tcW w:w="0" w:type="dxa"/>
            <w:vAlign w:val="bottom"/>
          </w:tcPr>
          <w:p>
            <w:pPr>
              <w:spacing w:after="0"/>
              <w:rPr>
                <w:sz w:val="1"/>
                <w:szCs w:val="1"/>
                <w:color w:val="auto"/>
              </w:rPr>
            </w:pPr>
          </w:p>
        </w:tc>
      </w:tr>
      <w:tr>
        <w:trPr>
          <w:trHeight w:val="215"/>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Proportional adjusted EBITDA for equity method</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investees</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7,514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9,939</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15,453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19,149</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Adjustments related to MVC shortfall payments</w:t>
            </w: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2,291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3,533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1,846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1,553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4,569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Long-lived asset impairment</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654</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4,475</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45,021</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72,233</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75,816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147,421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154,591</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Adjustments related to MVC shortfall payments recognize the earnings from MVC shortfall payments ratably over the term of the associated MVC (see Note 3). Contributions in aid of construction are recognized over the remaining term of the respective contract. We include adjustments related to capital reimbursement activity in our calculation of segment adjusted EBITDA to account for revenue recognized from contributions in aid of construction.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Adjustments related to MVC shortfall payments by reportable segment follow.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 June 30, 2020</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6"/>
        </w:trPr>
        <w:tc>
          <w:tcPr>
            <w:tcW w:w="5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242"/>
              <w:spacing w:after="0" w:line="156" w:lineRule="exact"/>
              <w:rPr>
                <w:sz w:val="20"/>
                <w:szCs w:val="20"/>
                <w:color w:val="auto"/>
              </w:rPr>
            </w:pPr>
            <w:r>
              <w:rPr>
                <w:rFonts w:ascii="Arial" w:cs="Arial" w:eastAsia="Arial" w:hAnsi="Arial"/>
                <w:sz w:val="14"/>
                <w:szCs w:val="14"/>
                <w:b w:val="1"/>
                <w:bCs w:val="1"/>
                <w:color w:val="auto"/>
              </w:rPr>
              <w:t>Williston</w:t>
            </w:r>
          </w:p>
        </w:tc>
        <w:tc>
          <w:tcPr>
            <w:tcW w:w="260" w:type="dxa"/>
            <w:vAlign w:val="bottom"/>
          </w:tcPr>
          <w:p>
            <w:pPr>
              <w:spacing w:after="0"/>
              <w:rPr>
                <w:sz w:val="13"/>
                <w:szCs w:val="13"/>
                <w:color w:val="auto"/>
              </w:rPr>
            </w:pPr>
          </w:p>
        </w:tc>
        <w:tc>
          <w:tcPr>
            <w:tcW w:w="1040" w:type="dxa"/>
            <w:vAlign w:val="bottom"/>
          </w:tcPr>
          <w:p>
            <w:pPr>
              <w:jc w:val="center"/>
              <w:ind w:right="244"/>
              <w:spacing w:after="0" w:line="156" w:lineRule="exact"/>
              <w:rPr>
                <w:sz w:val="20"/>
                <w:szCs w:val="20"/>
                <w:color w:val="auto"/>
              </w:rPr>
            </w:pPr>
            <w:r>
              <w:rPr>
                <w:rFonts w:ascii="Arial" w:cs="Arial" w:eastAsia="Arial" w:hAnsi="Arial"/>
                <w:sz w:val="14"/>
                <w:szCs w:val="14"/>
                <w:b w:val="1"/>
                <w:bCs w:val="1"/>
                <w:color w:val="auto"/>
              </w:rPr>
              <w:t>Piceance</w:t>
            </w:r>
          </w:p>
        </w:tc>
        <w:tc>
          <w:tcPr>
            <w:tcW w:w="280" w:type="dxa"/>
            <w:vAlign w:val="bottom"/>
          </w:tcPr>
          <w:p>
            <w:pPr>
              <w:spacing w:after="0"/>
              <w:rPr>
                <w:sz w:val="13"/>
                <w:szCs w:val="13"/>
                <w:color w:val="auto"/>
              </w:rPr>
            </w:pPr>
          </w:p>
        </w:tc>
        <w:tc>
          <w:tcPr>
            <w:tcW w:w="1000" w:type="dxa"/>
            <w:vAlign w:val="bottom"/>
          </w:tcPr>
          <w:p>
            <w:pPr>
              <w:jc w:val="center"/>
              <w:ind w:right="262"/>
              <w:spacing w:after="0" w:line="156" w:lineRule="exact"/>
              <w:rPr>
                <w:sz w:val="20"/>
                <w:szCs w:val="20"/>
                <w:color w:val="auto"/>
              </w:rPr>
            </w:pPr>
            <w:r>
              <w:rPr>
                <w:rFonts w:ascii="Arial" w:cs="Arial" w:eastAsia="Arial" w:hAnsi="Arial"/>
                <w:sz w:val="14"/>
                <w:szCs w:val="14"/>
                <w:b w:val="1"/>
                <w:bCs w:val="1"/>
                <w:color w:val="auto"/>
              </w:rPr>
              <w:t>Barnett</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5"/>
        </w:trPr>
        <w:tc>
          <w:tcPr>
            <w:tcW w:w="5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Basin</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rPr>
              <w:t>Basin</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Shale</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Total</w:t>
            </w:r>
          </w:p>
        </w:tc>
      </w:tr>
      <w:tr>
        <w:trPr>
          <w:trHeight w:val="169"/>
        </w:trPr>
        <w:tc>
          <w:tcPr>
            <w:tcW w:w="5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2,124</w:t>
            </w:r>
          </w:p>
        </w:tc>
        <w:tc>
          <w:tcPr>
            <w:tcW w:w="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2,291</w:t>
            </w:r>
          </w:p>
        </w:tc>
      </w:tr>
      <w:tr>
        <w:trPr>
          <w:trHeight w:val="392"/>
        </w:trPr>
        <w:tc>
          <w:tcPr>
            <w:tcW w:w="5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 June 30, 2019</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56"/>
        </w:trPr>
        <w:tc>
          <w:tcPr>
            <w:tcW w:w="5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242"/>
              <w:spacing w:after="0" w:line="156" w:lineRule="exact"/>
              <w:rPr>
                <w:sz w:val="20"/>
                <w:szCs w:val="20"/>
                <w:color w:val="auto"/>
              </w:rPr>
            </w:pPr>
            <w:r>
              <w:rPr>
                <w:rFonts w:ascii="Arial" w:cs="Arial" w:eastAsia="Arial" w:hAnsi="Arial"/>
                <w:sz w:val="14"/>
                <w:szCs w:val="14"/>
                <w:b w:val="1"/>
                <w:bCs w:val="1"/>
                <w:color w:val="auto"/>
              </w:rPr>
              <w:t>Williston</w:t>
            </w:r>
          </w:p>
        </w:tc>
        <w:tc>
          <w:tcPr>
            <w:tcW w:w="260" w:type="dxa"/>
            <w:vAlign w:val="bottom"/>
          </w:tcPr>
          <w:p>
            <w:pPr>
              <w:spacing w:after="0"/>
              <w:rPr>
                <w:sz w:val="13"/>
                <w:szCs w:val="13"/>
                <w:color w:val="auto"/>
              </w:rPr>
            </w:pPr>
          </w:p>
        </w:tc>
        <w:tc>
          <w:tcPr>
            <w:tcW w:w="1040" w:type="dxa"/>
            <w:vAlign w:val="bottom"/>
          </w:tcPr>
          <w:p>
            <w:pPr>
              <w:jc w:val="center"/>
              <w:ind w:right="244"/>
              <w:spacing w:after="0" w:line="156" w:lineRule="exact"/>
              <w:rPr>
                <w:sz w:val="20"/>
                <w:szCs w:val="20"/>
                <w:color w:val="auto"/>
              </w:rPr>
            </w:pPr>
            <w:r>
              <w:rPr>
                <w:rFonts w:ascii="Arial" w:cs="Arial" w:eastAsia="Arial" w:hAnsi="Arial"/>
                <w:sz w:val="14"/>
                <w:szCs w:val="14"/>
                <w:b w:val="1"/>
                <w:bCs w:val="1"/>
                <w:color w:val="auto"/>
              </w:rPr>
              <w:t>Piceance</w:t>
            </w:r>
          </w:p>
        </w:tc>
        <w:tc>
          <w:tcPr>
            <w:tcW w:w="280" w:type="dxa"/>
            <w:vAlign w:val="bottom"/>
          </w:tcPr>
          <w:p>
            <w:pPr>
              <w:spacing w:after="0"/>
              <w:rPr>
                <w:sz w:val="13"/>
                <w:szCs w:val="13"/>
                <w:color w:val="auto"/>
              </w:rPr>
            </w:pPr>
          </w:p>
        </w:tc>
        <w:tc>
          <w:tcPr>
            <w:tcW w:w="1000" w:type="dxa"/>
            <w:vAlign w:val="bottom"/>
          </w:tcPr>
          <w:p>
            <w:pPr>
              <w:jc w:val="center"/>
              <w:ind w:right="262"/>
              <w:spacing w:after="0" w:line="156" w:lineRule="exact"/>
              <w:rPr>
                <w:sz w:val="20"/>
                <w:szCs w:val="20"/>
                <w:color w:val="auto"/>
              </w:rPr>
            </w:pPr>
            <w:r>
              <w:rPr>
                <w:rFonts w:ascii="Arial" w:cs="Arial" w:eastAsia="Arial" w:hAnsi="Arial"/>
                <w:sz w:val="14"/>
                <w:szCs w:val="14"/>
                <w:b w:val="1"/>
                <w:bCs w:val="1"/>
                <w:color w:val="auto"/>
              </w:rPr>
              <w:t>Barnett</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5"/>
        </w:trPr>
        <w:tc>
          <w:tcPr>
            <w:tcW w:w="5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Basin</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rPr>
              <w:t>Basin</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Shale</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Total</w:t>
            </w:r>
          </w:p>
        </w:tc>
      </w:tr>
      <w:tr>
        <w:trPr>
          <w:trHeight w:val="169"/>
        </w:trPr>
        <w:tc>
          <w:tcPr>
            <w:tcW w:w="5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2,081</w:t>
            </w:r>
          </w:p>
        </w:tc>
        <w:tc>
          <w:tcPr>
            <w:tcW w:w="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1,452</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3,533</w:t>
            </w:r>
          </w:p>
        </w:tc>
      </w:tr>
      <w:tr>
        <w:trPr>
          <w:trHeight w:val="378"/>
        </w:trPr>
        <w:tc>
          <w:tcPr>
            <w:tcW w:w="5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Six months ended June 30, 2020</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56"/>
        </w:trPr>
        <w:tc>
          <w:tcPr>
            <w:tcW w:w="5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242"/>
              <w:spacing w:after="0" w:line="156" w:lineRule="exact"/>
              <w:rPr>
                <w:sz w:val="20"/>
                <w:szCs w:val="20"/>
                <w:color w:val="auto"/>
              </w:rPr>
            </w:pPr>
            <w:r>
              <w:rPr>
                <w:rFonts w:ascii="Arial" w:cs="Arial" w:eastAsia="Arial" w:hAnsi="Arial"/>
                <w:sz w:val="14"/>
                <w:szCs w:val="14"/>
                <w:b w:val="1"/>
                <w:bCs w:val="1"/>
                <w:color w:val="auto"/>
              </w:rPr>
              <w:t>Williston</w:t>
            </w:r>
          </w:p>
        </w:tc>
        <w:tc>
          <w:tcPr>
            <w:tcW w:w="260" w:type="dxa"/>
            <w:vAlign w:val="bottom"/>
          </w:tcPr>
          <w:p>
            <w:pPr>
              <w:spacing w:after="0"/>
              <w:rPr>
                <w:sz w:val="13"/>
                <w:szCs w:val="13"/>
                <w:color w:val="auto"/>
              </w:rPr>
            </w:pPr>
          </w:p>
        </w:tc>
        <w:tc>
          <w:tcPr>
            <w:tcW w:w="1040" w:type="dxa"/>
            <w:vAlign w:val="bottom"/>
          </w:tcPr>
          <w:p>
            <w:pPr>
              <w:jc w:val="center"/>
              <w:ind w:right="244"/>
              <w:spacing w:after="0" w:line="156" w:lineRule="exact"/>
              <w:rPr>
                <w:sz w:val="20"/>
                <w:szCs w:val="20"/>
                <w:color w:val="auto"/>
              </w:rPr>
            </w:pPr>
            <w:r>
              <w:rPr>
                <w:rFonts w:ascii="Arial" w:cs="Arial" w:eastAsia="Arial" w:hAnsi="Arial"/>
                <w:sz w:val="14"/>
                <w:szCs w:val="14"/>
                <w:b w:val="1"/>
                <w:bCs w:val="1"/>
                <w:color w:val="auto"/>
              </w:rPr>
              <w:t>Piceance</w:t>
            </w:r>
          </w:p>
        </w:tc>
        <w:tc>
          <w:tcPr>
            <w:tcW w:w="280" w:type="dxa"/>
            <w:vAlign w:val="bottom"/>
          </w:tcPr>
          <w:p>
            <w:pPr>
              <w:spacing w:after="0"/>
              <w:rPr>
                <w:sz w:val="13"/>
                <w:szCs w:val="13"/>
                <w:color w:val="auto"/>
              </w:rPr>
            </w:pPr>
          </w:p>
        </w:tc>
        <w:tc>
          <w:tcPr>
            <w:tcW w:w="1000" w:type="dxa"/>
            <w:vAlign w:val="bottom"/>
          </w:tcPr>
          <w:p>
            <w:pPr>
              <w:jc w:val="center"/>
              <w:ind w:right="262"/>
              <w:spacing w:after="0" w:line="156" w:lineRule="exact"/>
              <w:rPr>
                <w:sz w:val="20"/>
                <w:szCs w:val="20"/>
                <w:color w:val="auto"/>
              </w:rPr>
            </w:pPr>
            <w:r>
              <w:rPr>
                <w:rFonts w:ascii="Arial" w:cs="Arial" w:eastAsia="Arial" w:hAnsi="Arial"/>
                <w:sz w:val="14"/>
                <w:szCs w:val="14"/>
                <w:b w:val="1"/>
                <w:bCs w:val="1"/>
                <w:color w:val="auto"/>
              </w:rPr>
              <w:t>Barnett</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5"/>
        </w:trPr>
        <w:tc>
          <w:tcPr>
            <w:tcW w:w="5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Basin</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rPr>
              <w:t>Basin</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Shale</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Total</w:t>
            </w:r>
          </w:p>
        </w:tc>
      </w:tr>
      <w:tr>
        <w:trPr>
          <w:trHeight w:val="169"/>
        </w:trPr>
        <w:tc>
          <w:tcPr>
            <w:tcW w:w="5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(3,541)</w:t>
            </w:r>
          </w:p>
        </w:tc>
        <w:tc>
          <w:tcPr>
            <w:tcW w:w="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(3,151)</w:t>
            </w:r>
          </w:p>
        </w:tc>
      </w:tr>
      <w:tr>
        <w:trPr>
          <w:trHeight w:val="310"/>
        </w:trPr>
        <w:tc>
          <w:tcPr>
            <w:tcW w:w="5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Six months ended June 30, 2019</w:t>
            </w: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56"/>
        </w:trPr>
        <w:tc>
          <w:tcPr>
            <w:tcW w:w="5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242"/>
              <w:spacing w:after="0" w:line="156" w:lineRule="exact"/>
              <w:rPr>
                <w:sz w:val="20"/>
                <w:szCs w:val="20"/>
                <w:color w:val="auto"/>
              </w:rPr>
            </w:pPr>
            <w:r>
              <w:rPr>
                <w:rFonts w:ascii="Arial" w:cs="Arial" w:eastAsia="Arial" w:hAnsi="Arial"/>
                <w:sz w:val="14"/>
                <w:szCs w:val="14"/>
                <w:b w:val="1"/>
                <w:bCs w:val="1"/>
                <w:color w:val="auto"/>
              </w:rPr>
              <w:t>Williston</w:t>
            </w:r>
          </w:p>
        </w:tc>
        <w:tc>
          <w:tcPr>
            <w:tcW w:w="260" w:type="dxa"/>
            <w:vAlign w:val="bottom"/>
          </w:tcPr>
          <w:p>
            <w:pPr>
              <w:spacing w:after="0"/>
              <w:rPr>
                <w:sz w:val="13"/>
                <w:szCs w:val="13"/>
                <w:color w:val="auto"/>
              </w:rPr>
            </w:pPr>
          </w:p>
        </w:tc>
        <w:tc>
          <w:tcPr>
            <w:tcW w:w="1040" w:type="dxa"/>
            <w:vAlign w:val="bottom"/>
          </w:tcPr>
          <w:p>
            <w:pPr>
              <w:jc w:val="center"/>
              <w:ind w:right="244"/>
              <w:spacing w:after="0" w:line="156" w:lineRule="exact"/>
              <w:rPr>
                <w:sz w:val="20"/>
                <w:szCs w:val="20"/>
                <w:color w:val="auto"/>
              </w:rPr>
            </w:pPr>
            <w:r>
              <w:rPr>
                <w:rFonts w:ascii="Arial" w:cs="Arial" w:eastAsia="Arial" w:hAnsi="Arial"/>
                <w:sz w:val="14"/>
                <w:szCs w:val="14"/>
                <w:b w:val="1"/>
                <w:bCs w:val="1"/>
                <w:color w:val="auto"/>
              </w:rPr>
              <w:t>Piceance</w:t>
            </w:r>
          </w:p>
        </w:tc>
        <w:tc>
          <w:tcPr>
            <w:tcW w:w="280" w:type="dxa"/>
            <w:vAlign w:val="bottom"/>
          </w:tcPr>
          <w:p>
            <w:pPr>
              <w:spacing w:after="0"/>
              <w:rPr>
                <w:sz w:val="13"/>
                <w:szCs w:val="13"/>
                <w:color w:val="auto"/>
              </w:rPr>
            </w:pPr>
          </w:p>
        </w:tc>
        <w:tc>
          <w:tcPr>
            <w:tcW w:w="1000" w:type="dxa"/>
            <w:vAlign w:val="bottom"/>
          </w:tcPr>
          <w:p>
            <w:pPr>
              <w:jc w:val="center"/>
              <w:ind w:right="262"/>
              <w:spacing w:after="0" w:line="156" w:lineRule="exact"/>
              <w:rPr>
                <w:sz w:val="20"/>
                <w:szCs w:val="20"/>
                <w:color w:val="auto"/>
              </w:rPr>
            </w:pPr>
            <w:r>
              <w:rPr>
                <w:rFonts w:ascii="Arial" w:cs="Arial" w:eastAsia="Arial" w:hAnsi="Arial"/>
                <w:sz w:val="14"/>
                <w:szCs w:val="14"/>
                <w:b w:val="1"/>
                <w:bCs w:val="1"/>
                <w:color w:val="auto"/>
              </w:rPr>
              <w:t>Barnett</w:t>
            </w: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5"/>
        </w:trPr>
        <w:tc>
          <w:tcPr>
            <w:tcW w:w="5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Basin</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b w:val="1"/>
                <w:bCs w:val="1"/>
                <w:color w:val="auto"/>
              </w:rPr>
              <w:t>Basin</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rPr>
              <w:t>Shale</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Total</w:t>
            </w:r>
          </w:p>
        </w:tc>
      </w:tr>
      <w:tr>
        <w:trPr>
          <w:trHeight w:val="169"/>
        </w:trPr>
        <w:tc>
          <w:tcPr>
            <w:tcW w:w="5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1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(3,468)</w:t>
            </w:r>
          </w:p>
        </w:tc>
        <w:tc>
          <w:tcPr>
            <w:tcW w:w="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2,905</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r>
      <w:tr>
        <w:trPr>
          <w:trHeight w:val="499"/>
        </w:trPr>
        <w:tc>
          <w:tcPr>
            <w:tcW w:w="5060" w:type="dxa"/>
            <w:vAlign w:val="bottom"/>
          </w:tcPr>
          <w:p>
            <w:pPr>
              <w:spacing w:after="0"/>
              <w:rPr>
                <w:sz w:val="24"/>
                <w:szCs w:val="24"/>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1"/>
        </w:trPr>
        <w:tc>
          <w:tcPr>
            <w:tcW w:w="50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5. PROPERTY, PLANT AND EQUIPMENT,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Details on property, plant and equipment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7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00" w:type="dxa"/>
            <w:vAlign w:val="bottom"/>
            <w:gridSpan w:val="4"/>
          </w:tcPr>
          <w:p>
            <w:pPr>
              <w:jc w:val="right"/>
              <w:ind w:right="135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Gathering and processing systems and related equipment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2,193,200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2,182,950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8"/>
                <w:szCs w:val="18"/>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76,189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78,716</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Land and line fill</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10,440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10,137</w:t>
            </w: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60,414</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54,595</w:t>
            </w:r>
          </w:p>
        </w:tc>
      </w:tr>
      <w:tr>
        <w:trPr>
          <w:trHeight w:val="209"/>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2,340,243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2,326,398</w:t>
            </w:r>
          </w:p>
        </w:tc>
      </w:tr>
      <w:tr>
        <w:trPr>
          <w:trHeight w:val="216"/>
        </w:trPr>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484,354</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443,909</w:t>
            </w:r>
          </w:p>
        </w:tc>
      </w:tr>
      <w:tr>
        <w:trPr>
          <w:trHeight w:val="210"/>
        </w:trPr>
        <w:tc>
          <w:tcPr>
            <w:tcW w:w="7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1,855,889</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1,882,489</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March 2020, in connection with the cancellation of a compressor station project in the DJ Basin due to delays in customer drilling plans, we recorded an impairment charge of $3.6 million for the related soft project costs.</w:t>
      </w:r>
    </w:p>
    <w:p>
      <w:pPr>
        <w:spacing w:after="0" w:line="8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March 2019, certain events occurred which indicated that certain long-lived assets in the DJ Basin and Barnett Shale reporting segments could be impaired. Consequently, in the first quarter of 2019, we performed a recoverability assessment of certain assets within these reporting segments.</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Also in March 2019, in the DJ Basin we determined that certain processing plant assets related to our existing 20 MMcf/d plant would no longer be utilized due to our expansion plans for the Niobrara G&amp;P system. Based on the results of the recoverability assessment and the conclusion that the carrying value was not fully recoverable, we recorded an impairment charge of $34.7 million related to these assets in the first quarter of 2019.</w:t>
      </w:r>
    </w:p>
    <w:p>
      <w:pPr>
        <w:spacing w:after="0" w:line="97"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In the first quarter of 2019, we determined that certain compressor station assets in the Barnett Shale were impaired and recorded an impairment charge of $10.2 million, comprised of a $9.7 impairment of fixed assets and a $0.5 million impairment of rights-of-way.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and capitalized interest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22"/>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3"/>
        </w:trPr>
        <w:tc>
          <w:tcPr>
            <w:tcW w:w="5820" w:type="dxa"/>
            <w:vAlign w:val="bottom"/>
          </w:tcPr>
          <w:p>
            <w:pPr>
              <w:spacing w:after="0" w:line="203" w:lineRule="exact"/>
              <w:rPr>
                <w:sz w:val="20"/>
                <w:szCs w:val="20"/>
                <w:color w:val="auto"/>
              </w:rPr>
            </w:pPr>
            <w:r>
              <w:rPr>
                <w:rFonts w:ascii="Arial" w:cs="Arial" w:eastAsia="Arial" w:hAnsi="Arial"/>
                <w:sz w:val="18"/>
                <w:szCs w:val="18"/>
                <w:color w:val="auto"/>
              </w:rPr>
              <w:t>Depreciation expense</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9"/>
              <w:spacing w:after="0" w:line="203" w:lineRule="exact"/>
              <w:rPr>
                <w:sz w:val="20"/>
                <w:szCs w:val="20"/>
                <w:color w:val="auto"/>
              </w:rPr>
            </w:pPr>
            <w:r>
              <w:rPr>
                <w:rFonts w:ascii="Arial" w:cs="Arial" w:eastAsia="Arial" w:hAnsi="Arial"/>
                <w:sz w:val="18"/>
                <w:szCs w:val="18"/>
                <w:color w:val="auto"/>
              </w:rPr>
              <w:t>21,664</w:t>
            </w:r>
          </w:p>
        </w:tc>
        <w:tc>
          <w:tcPr>
            <w:tcW w:w="38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9"/>
              <w:spacing w:after="0" w:line="203" w:lineRule="exact"/>
              <w:rPr>
                <w:sz w:val="20"/>
                <w:szCs w:val="20"/>
                <w:color w:val="auto"/>
              </w:rPr>
            </w:pPr>
            <w:r>
              <w:rPr>
                <w:rFonts w:ascii="Arial" w:cs="Arial" w:eastAsia="Arial" w:hAnsi="Arial"/>
                <w:sz w:val="18"/>
                <w:szCs w:val="18"/>
                <w:color w:val="auto"/>
              </w:rPr>
              <w:t>18,866</w:t>
            </w:r>
          </w:p>
        </w:tc>
        <w:tc>
          <w:tcPr>
            <w:tcW w:w="14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9"/>
              <w:spacing w:after="0" w:line="203" w:lineRule="exact"/>
              <w:rPr>
                <w:sz w:val="20"/>
                <w:szCs w:val="20"/>
                <w:color w:val="auto"/>
              </w:rPr>
            </w:pPr>
            <w:r>
              <w:rPr>
                <w:rFonts w:ascii="Arial" w:cs="Arial" w:eastAsia="Arial" w:hAnsi="Arial"/>
                <w:sz w:val="18"/>
                <w:szCs w:val="18"/>
                <w:color w:val="auto"/>
              </w:rPr>
              <w:t>43,362</w:t>
            </w:r>
          </w:p>
        </w:tc>
        <w:tc>
          <w:tcPr>
            <w:tcW w:w="38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6"/>
              <w:spacing w:after="0" w:line="203" w:lineRule="exact"/>
              <w:rPr>
                <w:sz w:val="20"/>
                <w:szCs w:val="20"/>
                <w:color w:val="auto"/>
              </w:rPr>
            </w:pPr>
            <w:r>
              <w:rPr>
                <w:rFonts w:ascii="Arial" w:cs="Arial" w:eastAsia="Arial" w:hAnsi="Arial"/>
                <w:sz w:val="18"/>
                <w:szCs w:val="18"/>
                <w:color w:val="auto"/>
              </w:rPr>
              <w:t>38,686</w:t>
            </w: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Capitalized interest</w:t>
            </w: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328</w:t>
            </w: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2,446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819</w:t>
            </w: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4,361</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AMORTIZING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our intangible assets, all of which are subject to amortization,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300" w:type="dxa"/>
            <w:vAlign w:val="bottom"/>
          </w:tcPr>
          <w:p>
            <w:pPr>
              <w:jc w:val="center"/>
              <w:ind w:right="158"/>
              <w:spacing w:after="0" w:line="156"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38"/>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2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24,195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(15,595)</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Contract intangibles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(182,396)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96,052</w:t>
            </w: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25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157,202</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(45,953)</w:t>
            </w:r>
          </w:p>
        </w:tc>
        <w:tc>
          <w:tcPr>
            <w:tcW w:w="1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111,249</w:t>
            </w:r>
          </w:p>
        </w:tc>
        <w:tc>
          <w:tcPr>
            <w:tcW w:w="0" w:type="dxa"/>
            <w:vAlign w:val="bottom"/>
          </w:tcPr>
          <w:p>
            <w:pPr>
              <w:spacing w:after="0"/>
              <w:rPr>
                <w:sz w:val="1"/>
                <w:szCs w:val="1"/>
                <w:color w:val="auto"/>
              </w:rPr>
            </w:pPr>
          </w:p>
        </w:tc>
      </w:tr>
      <w:tr>
        <w:trPr>
          <w:trHeight w:val="209"/>
        </w:trPr>
        <w:tc>
          <w:tcPr>
            <w:tcW w:w="412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459,845</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(243,944)</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215,901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300" w:type="dxa"/>
            <w:vAlign w:val="bottom"/>
          </w:tcPr>
          <w:p>
            <w:pPr>
              <w:jc w:val="center"/>
              <w:ind w:right="158"/>
              <w:spacing w:after="0" w:line="156"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38"/>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2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24,195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(15,125)</w:t>
            </w:r>
          </w:p>
        </w:tc>
        <w:tc>
          <w:tcPr>
            <w:tcW w:w="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Contract intangibles</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(169,549)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108,899</w:t>
            </w: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25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157,175</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(42,866)</w:t>
            </w:r>
          </w:p>
        </w:tc>
        <w:tc>
          <w:tcPr>
            <w:tcW w:w="1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114,309</w:t>
            </w:r>
          </w:p>
        </w:tc>
        <w:tc>
          <w:tcPr>
            <w:tcW w:w="0" w:type="dxa"/>
            <w:vAlign w:val="bottom"/>
          </w:tcPr>
          <w:p>
            <w:pPr>
              <w:spacing w:after="0"/>
              <w:rPr>
                <w:sz w:val="1"/>
                <w:szCs w:val="1"/>
                <w:color w:val="auto"/>
              </w:rPr>
            </w:pPr>
          </w:p>
        </w:tc>
      </w:tr>
      <w:tr>
        <w:trPr>
          <w:trHeight w:val="210"/>
        </w:trPr>
        <w:tc>
          <w:tcPr>
            <w:tcW w:w="412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rPr>
                <w:sz w:val="20"/>
                <w:szCs w:val="20"/>
                <w:color w:val="auto"/>
              </w:rPr>
            </w:pPr>
            <w:r>
              <w:rPr>
                <w:rFonts w:ascii="Arial" w:cs="Arial" w:eastAsia="Arial" w:hAnsi="Arial"/>
                <w:sz w:val="18"/>
                <w:szCs w:val="18"/>
                <w:color w:val="auto"/>
              </w:rPr>
              <w:t>459,818</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(227,540)</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232,278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520" w:type="dxa"/>
            <w:vAlign w:val="bottom"/>
            <w:vMerge w:val="restart"/>
          </w:tcPr>
          <w:p>
            <w:pPr>
              <w:jc w:val="right"/>
              <w:ind w:right="830"/>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1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2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We recognized amortization expense in Other revenues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09"/>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40" w:type="dxa"/>
            <w:vAlign w:val="bottom"/>
            <w:gridSpan w:val="4"/>
          </w:tcPr>
          <w:p>
            <w:pPr>
              <w:ind w:left="5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favorable gas gathering contracts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(363)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(470)</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amortization expense in costs and expenses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r>
      <w:tr>
        <w:trPr>
          <w:trHeight w:val="209"/>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contract intangibles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6,423</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6,397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12,847</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12,794</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Amortization expense – rights-of-way</w:t>
            </w:r>
          </w:p>
        </w:tc>
        <w:tc>
          <w:tcPr>
            <w:tcW w:w="16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8"/>
                <w:szCs w:val="18"/>
                <w:color w:val="auto"/>
              </w:rPr>
              <w:t>1,543</w:t>
            </w:r>
          </w:p>
        </w:tc>
        <w:tc>
          <w:tcPr>
            <w:tcW w:w="38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1,574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3,087</w:t>
            </w:r>
          </w:p>
        </w:tc>
        <w:tc>
          <w:tcPr>
            <w:tcW w:w="380" w:type="dxa"/>
            <w:vAlign w:val="bottom"/>
          </w:tcPr>
          <w:p>
            <w:pPr>
              <w:spacing w:after="0"/>
              <w:rPr>
                <w:sz w:val="19"/>
                <w:szCs w:val="19"/>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3,121</w:t>
            </w:r>
          </w:p>
        </w:tc>
      </w:tr>
    </w:tbl>
    <w:p>
      <w:pPr>
        <w:spacing w:after="0" w:line="9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estimated aggregate annual amortization expected to be recognized for the remainder of 2020 and each of the four succeeding fiscal years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Intangible assets</w:t>
            </w:r>
          </w:p>
        </w:tc>
      </w:tr>
      <w:tr>
        <w:trPr>
          <w:trHeight w:val="223"/>
        </w:trPr>
        <w:tc>
          <w:tcPr>
            <w:tcW w:w="8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00" w:type="dxa"/>
            <w:vAlign w:val="bottom"/>
          </w:tcPr>
          <w:p>
            <w:pPr>
              <w:jc w:val="right"/>
              <w:ind w:right="97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8260" w:type="dxa"/>
            <w:vAlign w:val="bottom"/>
            <w:shd w:val="clear" w:color="auto" w:fill="CFF0FC"/>
          </w:tcPr>
          <w:p>
            <w:pPr>
              <w:jc w:val="right"/>
              <w:ind w:right="7770"/>
              <w:spacing w:after="0"/>
              <w:rPr>
                <w:sz w:val="20"/>
                <w:szCs w:val="20"/>
                <w:color w:val="auto"/>
              </w:rPr>
            </w:pPr>
            <w:r>
              <w:rPr>
                <w:rFonts w:ascii="Arial" w:cs="Arial" w:eastAsia="Arial" w:hAnsi="Arial"/>
                <w:sz w:val="18"/>
                <w:szCs w:val="18"/>
                <w:color w:val="auto"/>
                <w:w w:val="94"/>
              </w:rPr>
              <w:t>2020</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15,951</w:t>
            </w:r>
          </w:p>
        </w:tc>
      </w:tr>
      <w:tr>
        <w:trPr>
          <w:trHeight w:val="216"/>
        </w:trPr>
        <w:tc>
          <w:tcPr>
            <w:tcW w:w="8260" w:type="dxa"/>
            <w:vAlign w:val="bottom"/>
          </w:tcPr>
          <w:p>
            <w:pPr>
              <w:jc w:val="right"/>
              <w:ind w:right="7770"/>
              <w:spacing w:after="0"/>
              <w:rPr>
                <w:sz w:val="20"/>
                <w:szCs w:val="20"/>
                <w:color w:val="auto"/>
              </w:rPr>
            </w:pPr>
            <w:r>
              <w:rPr>
                <w:rFonts w:ascii="Arial" w:cs="Arial" w:eastAsia="Arial" w:hAnsi="Arial"/>
                <w:sz w:val="18"/>
                <w:szCs w:val="18"/>
                <w:color w:val="auto"/>
                <w:w w:val="94"/>
              </w:rPr>
              <w:t>2021</w:t>
            </w:r>
          </w:p>
        </w:tc>
        <w:tc>
          <w:tcPr>
            <w:tcW w:w="480" w:type="dxa"/>
            <w:vAlign w:val="bottom"/>
          </w:tcPr>
          <w:p>
            <w:pPr>
              <w:spacing w:after="0"/>
              <w:rPr>
                <w:sz w:val="18"/>
                <w:szCs w:val="18"/>
                <w:color w:val="auto"/>
              </w:rPr>
            </w:pPr>
          </w:p>
        </w:tc>
        <w:tc>
          <w:tcPr>
            <w:tcW w:w="2500" w:type="dxa"/>
            <w:vAlign w:val="bottom"/>
          </w:tcPr>
          <w:p>
            <w:pPr>
              <w:jc w:val="right"/>
              <w:ind w:right="55"/>
              <w:spacing w:after="0"/>
              <w:rPr>
                <w:sz w:val="20"/>
                <w:szCs w:val="20"/>
                <w:color w:val="auto"/>
              </w:rPr>
            </w:pPr>
            <w:r>
              <w:rPr>
                <w:rFonts w:ascii="Arial" w:cs="Arial" w:eastAsia="Arial" w:hAnsi="Arial"/>
                <w:sz w:val="18"/>
                <w:szCs w:val="18"/>
                <w:color w:val="auto"/>
              </w:rPr>
              <w:t>28,209</w:t>
            </w:r>
          </w:p>
        </w:tc>
      </w:tr>
      <w:tr>
        <w:trPr>
          <w:trHeight w:val="216"/>
        </w:trPr>
        <w:tc>
          <w:tcPr>
            <w:tcW w:w="8260" w:type="dxa"/>
            <w:vAlign w:val="bottom"/>
            <w:shd w:val="clear" w:color="auto" w:fill="CFF0FC"/>
          </w:tcPr>
          <w:p>
            <w:pPr>
              <w:jc w:val="right"/>
              <w:ind w:right="7770"/>
              <w:spacing w:after="0"/>
              <w:rPr>
                <w:sz w:val="20"/>
                <w:szCs w:val="20"/>
                <w:color w:val="auto"/>
              </w:rPr>
            </w:pPr>
            <w:r>
              <w:rPr>
                <w:rFonts w:ascii="Arial" w:cs="Arial" w:eastAsia="Arial" w:hAnsi="Arial"/>
                <w:sz w:val="18"/>
                <w:szCs w:val="18"/>
                <w:color w:val="auto"/>
                <w:w w:val="94"/>
              </w:rPr>
              <w:t>2022</w:t>
            </w:r>
          </w:p>
        </w:tc>
        <w:tc>
          <w:tcPr>
            <w:tcW w:w="480" w:type="dxa"/>
            <w:vAlign w:val="bottom"/>
            <w:shd w:val="clear" w:color="auto" w:fill="CFF0FC"/>
          </w:tcPr>
          <w:p>
            <w:pPr>
              <w:spacing w:after="0"/>
              <w:rPr>
                <w:sz w:val="18"/>
                <w:szCs w:val="18"/>
                <w:color w:val="auto"/>
              </w:rPr>
            </w:pPr>
          </w:p>
        </w:tc>
        <w:tc>
          <w:tcPr>
            <w:tcW w:w="2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25,142</w:t>
            </w:r>
          </w:p>
        </w:tc>
      </w:tr>
      <w:tr>
        <w:trPr>
          <w:trHeight w:val="216"/>
        </w:trPr>
        <w:tc>
          <w:tcPr>
            <w:tcW w:w="8260" w:type="dxa"/>
            <w:vAlign w:val="bottom"/>
          </w:tcPr>
          <w:p>
            <w:pPr>
              <w:jc w:val="right"/>
              <w:ind w:right="7770"/>
              <w:spacing w:after="0"/>
              <w:rPr>
                <w:sz w:val="20"/>
                <w:szCs w:val="20"/>
                <w:color w:val="auto"/>
              </w:rPr>
            </w:pPr>
            <w:r>
              <w:rPr>
                <w:rFonts w:ascii="Arial" w:cs="Arial" w:eastAsia="Arial" w:hAnsi="Arial"/>
                <w:sz w:val="18"/>
                <w:szCs w:val="18"/>
                <w:color w:val="auto"/>
                <w:w w:val="94"/>
              </w:rPr>
              <w:t>2023</w:t>
            </w:r>
          </w:p>
        </w:tc>
        <w:tc>
          <w:tcPr>
            <w:tcW w:w="480" w:type="dxa"/>
            <w:vAlign w:val="bottom"/>
          </w:tcPr>
          <w:p>
            <w:pPr>
              <w:spacing w:after="0"/>
              <w:rPr>
                <w:sz w:val="18"/>
                <w:szCs w:val="18"/>
                <w:color w:val="auto"/>
              </w:rPr>
            </w:pPr>
          </w:p>
        </w:tc>
        <w:tc>
          <w:tcPr>
            <w:tcW w:w="2500" w:type="dxa"/>
            <w:vAlign w:val="bottom"/>
          </w:tcPr>
          <w:p>
            <w:pPr>
              <w:jc w:val="right"/>
              <w:ind w:right="55"/>
              <w:spacing w:after="0"/>
              <w:rPr>
                <w:sz w:val="20"/>
                <w:szCs w:val="20"/>
                <w:color w:val="auto"/>
              </w:rPr>
            </w:pPr>
            <w:r>
              <w:rPr>
                <w:rFonts w:ascii="Arial" w:cs="Arial" w:eastAsia="Arial" w:hAnsi="Arial"/>
                <w:sz w:val="18"/>
                <w:szCs w:val="18"/>
                <w:color w:val="auto"/>
              </w:rPr>
              <w:t>25,088</w:t>
            </w:r>
          </w:p>
        </w:tc>
      </w:tr>
      <w:tr>
        <w:trPr>
          <w:trHeight w:val="216"/>
        </w:trPr>
        <w:tc>
          <w:tcPr>
            <w:tcW w:w="8260" w:type="dxa"/>
            <w:vAlign w:val="bottom"/>
            <w:shd w:val="clear" w:color="auto" w:fill="CFF0FC"/>
          </w:tcPr>
          <w:p>
            <w:pPr>
              <w:jc w:val="right"/>
              <w:ind w:right="7770"/>
              <w:spacing w:after="0"/>
              <w:rPr>
                <w:sz w:val="20"/>
                <w:szCs w:val="20"/>
                <w:color w:val="auto"/>
              </w:rPr>
            </w:pPr>
            <w:r>
              <w:rPr>
                <w:rFonts w:ascii="Arial" w:cs="Arial" w:eastAsia="Arial" w:hAnsi="Arial"/>
                <w:sz w:val="18"/>
                <w:szCs w:val="18"/>
                <w:color w:val="auto"/>
                <w:w w:val="94"/>
              </w:rPr>
              <w:t>2024</w:t>
            </w:r>
          </w:p>
        </w:tc>
        <w:tc>
          <w:tcPr>
            <w:tcW w:w="480" w:type="dxa"/>
            <w:vAlign w:val="bottom"/>
            <w:shd w:val="clear" w:color="auto" w:fill="CFF0FC"/>
          </w:tcPr>
          <w:p>
            <w:pPr>
              <w:spacing w:after="0"/>
              <w:rPr>
                <w:sz w:val="18"/>
                <w:szCs w:val="18"/>
                <w:color w:val="auto"/>
              </w:rPr>
            </w:pPr>
          </w:p>
        </w:tc>
        <w:tc>
          <w:tcPr>
            <w:tcW w:w="2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14,917</w:t>
            </w:r>
          </w:p>
        </w:tc>
      </w:tr>
    </w:tbl>
    <w:p>
      <w:pPr>
        <w:spacing w:after="0" w:line="207" w:lineRule="exact"/>
        <w:rPr>
          <w:sz w:val="20"/>
          <w:szCs w:val="20"/>
          <w:color w:val="auto"/>
        </w:rPr>
      </w:pPr>
    </w:p>
    <w:p>
      <w:pPr>
        <w:ind w:right="8200" w:firstLine="8"/>
        <w:spacing w:after="0" w:line="372" w:lineRule="auto"/>
        <w:tabs>
          <w:tab w:leader="none" w:pos="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METHOD INVESTMENTS </w:t>
      </w:r>
      <w:r>
        <w:rPr>
          <w:rFonts w:ascii="Arial" w:cs="Arial" w:eastAsia="Arial" w:hAnsi="Arial"/>
          <w:sz w:val="18"/>
          <w:szCs w:val="18"/>
          <w:i w:val="1"/>
          <w:iCs w:val="1"/>
          <w:u w:val="single" w:color="auto"/>
          <w:color w:val="auto"/>
        </w:rPr>
        <w:t>Double E</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June 2019, we formed Double E in connection with the Double E Project. Effective June 26, 2019, Summit Permian Transmission, a wholly owned and consolidated subsidiary of the Partnership, and an affiliate of Double E’s foundation shipper (the “JV Partner”) executed an agreement whereby Double E will provide natural gas transportation services from multiple receipt points in the Delaware Basin to various delivery points in and around the Waha Hub in Texas (the “Double E Agreement”). Concurrent with the Double E Agreement, we issued a parental guaranty to fund any capital calls not satisfied by Summit Permian Transmission during the construction of the Double E Project, for an amount not to exceed $350.0 million. The Partnership has guaranteed, among other things, payment of our pro rata share of the required capital calls during construction of the Double E Project and, as of June 30, 2020, we estimate that our pro rata share of our remaining capital contributions is approximately $229 million, before the realization of any project cost efficiencies. In connection with the Double E Agreement and the related Double E Project, the Partnership contributed total assets of approximately $23.6 million in exchange for a 70% ownership interest in Double E and our JV Partner contributed $ 7.3 million of cash in exchange for a 30% ownership interest in Double E. Concurrent with these contributions, and in accordance with the Double E Agreement, Double E distributed $7.3 million to the Partnership. Subsequent to the formation of Double E, we made additional cash investments of $18.3 million through December 31, 2019.</w:t>
      </w:r>
    </w:p>
    <w:p>
      <w:pPr>
        <w:spacing w:after="0" w:line="10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During the six months ended June 30, 2020, we made cash investments of $79.7 million in the Double E Project. We are leading the development, permitting and construction of the Double E Project and expect to operate the pipeline upon commissioning.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3" w:name="page24"/>
    <w:bookmarkEnd w:id="23"/>
    <w:p>
      <w:pPr>
        <w:ind w:right="120"/>
        <w:spacing w:after="0" w:line="238" w:lineRule="auto"/>
        <w:rPr>
          <w:sz w:val="20"/>
          <w:szCs w:val="20"/>
          <w:color w:val="auto"/>
        </w:rPr>
      </w:pPr>
      <w:r>
        <w:rPr>
          <w:rFonts w:ascii="Arial" w:cs="Arial" w:eastAsia="Arial" w:hAnsi="Arial"/>
          <w:sz w:val="18"/>
          <w:szCs w:val="18"/>
          <w:color w:val="auto"/>
        </w:rPr>
        <w:t>Double E is deemed to be a variable interest entity as defined in GAAP. As of the date of the Double E Agreement, Summit Permian Transmission was not deemed to be the primary beneficiary due to the JV Partner’s voting rights on significant matters. We account for our ownership interest in Double E as an equity method investment because we have significant influence over Double E. Our portion of Double E’s net assets, which was $113.6 million at June 30, 2020, is reported under the caption Investment in equity method investees on the unaudited condensed consolidated balance sheet.</w:t>
      </w:r>
    </w:p>
    <w:p>
      <w:pPr>
        <w:spacing w:after="0" w:line="94"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For the three and six months ended June 30, 2020, other than the investment activity noted above, Double E did not have any results of operations given that the Double E Project is currently under development.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Ohio Gathering</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Ohio Gathering owns and operates midstream infrastructure consisting of a liquids-rich natural gas gathering system, a dry natural gas gathering system and a condensate stabilization facility in the Utica Shale in southeastern Ohio. Ohio Gathering provides gathering services pursuant to primarily long-term, fee-based gathering agreements, which include acreage dedications.</w:t>
      </w:r>
    </w:p>
    <w:p>
      <w:pPr>
        <w:spacing w:after="0" w:line="9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As of June 30, 2020 and December 31, 2019, our ownership interest in Ohio Gathering was 38.3% and 38.5%, respectively, and provided below is a reconciliation of the difference at June 30, 2020 between the amount at which our ownership interest in Ohio Gathering is carried to the amount of our underlying investment per Ohio Gathering's books and records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 in Ohio Gathering, June 30, 2020</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269,504</w:t>
            </w:r>
          </w:p>
        </w:tc>
      </w:tr>
      <w:tr>
        <w:trPr>
          <w:trHeight w:val="216"/>
        </w:trPr>
        <w:tc>
          <w:tcPr>
            <w:tcW w:w="9260" w:type="dxa"/>
            <w:vAlign w:val="bottom"/>
          </w:tcPr>
          <w:p>
            <w:pPr>
              <w:ind w:left="140"/>
              <w:spacing w:after="0"/>
              <w:rPr>
                <w:sz w:val="20"/>
                <w:szCs w:val="20"/>
                <w:color w:val="auto"/>
              </w:rPr>
            </w:pPr>
            <w:r>
              <w:rPr>
                <w:rFonts w:ascii="Arial" w:cs="Arial" w:eastAsia="Arial" w:hAnsi="Arial"/>
                <w:sz w:val="18"/>
                <w:szCs w:val="18"/>
                <w:color w:val="auto"/>
              </w:rPr>
              <w:t>June cash distributions</w:t>
            </w:r>
          </w:p>
        </w:tc>
        <w:tc>
          <w:tcPr>
            <w:tcW w:w="6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2,403</w:t>
            </w:r>
          </w:p>
        </w:tc>
      </w:tr>
      <w:tr>
        <w:trPr>
          <w:trHeight w:val="216"/>
        </w:trPr>
        <w:tc>
          <w:tcPr>
            <w:tcW w:w="9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Basis difference</w:t>
            </w:r>
          </w:p>
        </w:tc>
        <w:tc>
          <w:tcPr>
            <w:tcW w:w="6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220,922</w:t>
            </w:r>
          </w:p>
        </w:tc>
      </w:tr>
      <w:tr>
        <w:trPr>
          <w:trHeight w:val="209"/>
        </w:trPr>
        <w:tc>
          <w:tcPr>
            <w:tcW w:w="9260" w:type="dxa"/>
            <w:vAlign w:val="bottom"/>
          </w:tcPr>
          <w:p>
            <w:pPr>
              <w:spacing w:after="0"/>
              <w:rPr>
                <w:sz w:val="20"/>
                <w:szCs w:val="20"/>
                <w:color w:val="auto"/>
              </w:rPr>
            </w:pPr>
            <w:r>
              <w:rPr>
                <w:rFonts w:ascii="Arial" w:cs="Arial" w:eastAsia="Arial" w:hAnsi="Arial"/>
                <w:sz w:val="18"/>
                <w:szCs w:val="18"/>
                <w:b w:val="1"/>
                <w:bCs w:val="1"/>
                <w:color w:val="auto"/>
              </w:rPr>
              <w:t>Investment in Ohio Gathering (Books and records), May 31, 2020</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492,829</w:t>
            </w:r>
          </w:p>
        </w:tc>
      </w:tr>
      <w:tr>
        <w:trPr>
          <w:trHeight w:val="20"/>
        </w:trPr>
        <w:tc>
          <w:tcPr>
            <w:tcW w:w="9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As noted in our 2019 Annual Report, in December 2019 an impairment loss of long-lived assets was recognized by OCC which brought our investment in OCC to zero. As a result, we have not recorded our portion of OCC’s net loss for the three and six months ended June 30, 2020 in the Income (loss) from equity method investees caption of our unaudited condensed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Summarized statements of operations information for OGC and OCC follow (amounts represent 100% of investee financial information).</w:t>
      </w:r>
    </w:p>
    <w:tbl>
      <w:tblPr>
        <w:tblLayout w:type="fixed"/>
        <w:tblInd w:w="0" w:type="dxa"/>
        <w:tblCellMar>
          <w:top w:w="0" w:type="dxa"/>
          <w:left w:w="0" w:type="dxa"/>
          <w:bottom w:w="0" w:type="dxa"/>
          <w:right w:w="0" w:type="dxa"/>
        </w:tblCellMar>
      </w:tblPr>
      <w:tr>
        <w:trPr>
          <w:trHeight w:val="159"/>
        </w:trPr>
        <w:tc>
          <w:tcPr>
            <w:tcW w:w="3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gridSpan w:val="4"/>
          </w:tcPr>
          <w:p>
            <w:pPr>
              <w:jc w:val="center"/>
              <w:ind w:right="540"/>
              <w:spacing w:after="0" w:line="159" w:lineRule="exact"/>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3"/>
                <w:szCs w:val="13"/>
                <w:color w:val="auto"/>
              </w:rPr>
            </w:pPr>
          </w:p>
        </w:tc>
        <w:tc>
          <w:tcPr>
            <w:tcW w:w="2320" w:type="dxa"/>
            <w:vAlign w:val="bottom"/>
            <w:gridSpan w:val="3"/>
          </w:tcPr>
          <w:p>
            <w:pPr>
              <w:jc w:val="center"/>
              <w:ind w:right="435"/>
              <w:spacing w:after="0" w:line="159" w:lineRule="exact"/>
              <w:rPr>
                <w:sz w:val="20"/>
                <w:szCs w:val="20"/>
                <w:color w:val="auto"/>
              </w:rPr>
            </w:pPr>
            <w:r>
              <w:rPr>
                <w:rFonts w:ascii="Arial" w:cs="Arial" w:eastAsia="Arial" w:hAnsi="Arial"/>
                <w:sz w:val="14"/>
                <w:szCs w:val="14"/>
                <w:b w:val="1"/>
                <w:bCs w:val="1"/>
                <w:color w:val="auto"/>
              </w:rPr>
              <w:t>Three months ended</w:t>
            </w:r>
          </w:p>
        </w:tc>
      </w:tr>
      <w:tr>
        <w:trPr>
          <w:trHeight w:val="175"/>
        </w:trPr>
        <w:tc>
          <w:tcPr>
            <w:tcW w:w="3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May 31, 2020</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319"/>
              <w:spacing w:after="0"/>
              <w:rPr>
                <w:sz w:val="20"/>
                <w:szCs w:val="20"/>
                <w:color w:val="auto"/>
              </w:rPr>
            </w:pPr>
            <w:r>
              <w:rPr>
                <w:rFonts w:ascii="Arial" w:cs="Arial" w:eastAsia="Arial" w:hAnsi="Arial"/>
                <w:sz w:val="14"/>
                <w:szCs w:val="14"/>
                <w:b w:val="1"/>
                <w:bCs w:val="1"/>
                <w:color w:val="auto"/>
              </w:rPr>
              <w:t>May 31, 2019</w:t>
            </w:r>
          </w:p>
        </w:tc>
        <w:tc>
          <w:tcPr>
            <w:tcW w:w="920" w:type="dxa"/>
            <w:vAlign w:val="bottom"/>
            <w:tcBorders>
              <w:bottom w:val="single" w:sz="8" w:color="auto"/>
            </w:tcBorders>
          </w:tcPr>
          <w:p>
            <w:pPr>
              <w:spacing w:after="0"/>
              <w:rPr>
                <w:sz w:val="15"/>
                <w:szCs w:val="15"/>
                <w:color w:val="auto"/>
              </w:rPr>
            </w:pPr>
          </w:p>
        </w:tc>
      </w:tr>
      <w:tr>
        <w:trPr>
          <w:trHeight w:val="169"/>
        </w:trPr>
        <w:tc>
          <w:tcPr>
            <w:tcW w:w="3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OGC</w:t>
            </w: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OCC</w:t>
            </w: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OGC</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OCC</w:t>
            </w:r>
          </w:p>
        </w:tc>
      </w:tr>
      <w:tr>
        <w:trPr>
          <w:trHeight w:val="236"/>
        </w:trPr>
        <w:tc>
          <w:tcPr>
            <w:tcW w:w="38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3"/>
        </w:trPr>
        <w:tc>
          <w:tcPr>
            <w:tcW w:w="3860" w:type="dxa"/>
            <w:vAlign w:val="bottom"/>
          </w:tcPr>
          <w:p>
            <w:pPr>
              <w:spacing w:after="0" w:line="203" w:lineRule="exact"/>
              <w:rPr>
                <w:sz w:val="20"/>
                <w:szCs w:val="20"/>
                <w:color w:val="auto"/>
              </w:rPr>
            </w:pPr>
            <w:r>
              <w:rPr>
                <w:rFonts w:ascii="Arial" w:cs="Arial" w:eastAsia="Arial" w:hAnsi="Arial"/>
                <w:sz w:val="18"/>
                <w:szCs w:val="18"/>
                <w:color w:val="auto"/>
              </w:rPr>
              <w:t>Total revenues</w:t>
            </w:r>
          </w:p>
        </w:tc>
        <w:tc>
          <w:tcPr>
            <w:tcW w:w="21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9"/>
              <w:spacing w:after="0" w:line="203" w:lineRule="exact"/>
              <w:rPr>
                <w:sz w:val="20"/>
                <w:szCs w:val="20"/>
                <w:color w:val="auto"/>
              </w:rPr>
            </w:pPr>
            <w:r>
              <w:rPr>
                <w:rFonts w:ascii="Arial" w:cs="Arial" w:eastAsia="Arial" w:hAnsi="Arial"/>
                <w:sz w:val="18"/>
                <w:szCs w:val="18"/>
                <w:color w:val="auto"/>
              </w:rPr>
              <w:t>27,334</w:t>
            </w:r>
          </w:p>
        </w:tc>
        <w:tc>
          <w:tcPr>
            <w:tcW w:w="48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line="203" w:lineRule="exact"/>
              <w:rPr>
                <w:sz w:val="20"/>
                <w:szCs w:val="20"/>
                <w:color w:val="auto"/>
              </w:rPr>
            </w:pPr>
            <w:r>
              <w:rPr>
                <w:rFonts w:ascii="Arial" w:cs="Arial" w:eastAsia="Arial" w:hAnsi="Arial"/>
                <w:sz w:val="18"/>
                <w:szCs w:val="18"/>
                <w:color w:val="auto"/>
              </w:rPr>
              <w:t>2,404</w:t>
            </w:r>
          </w:p>
        </w:tc>
        <w:tc>
          <w:tcPr>
            <w:tcW w:w="140" w:type="dxa"/>
            <w:vAlign w:val="bottom"/>
          </w:tcPr>
          <w:p>
            <w:pPr>
              <w:spacing w:after="0"/>
              <w:rPr>
                <w:sz w:val="17"/>
                <w:szCs w:val="17"/>
                <w:color w:val="auto"/>
              </w:rPr>
            </w:pPr>
          </w:p>
        </w:tc>
        <w:tc>
          <w:tcPr>
            <w:tcW w:w="38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59"/>
              <w:spacing w:after="0" w:line="203" w:lineRule="exact"/>
              <w:rPr>
                <w:sz w:val="20"/>
                <w:szCs w:val="20"/>
                <w:color w:val="auto"/>
              </w:rPr>
            </w:pPr>
            <w:r>
              <w:rPr>
                <w:rFonts w:ascii="Arial" w:cs="Arial" w:eastAsia="Arial" w:hAnsi="Arial"/>
                <w:sz w:val="18"/>
                <w:szCs w:val="18"/>
                <w:color w:val="auto"/>
              </w:rPr>
              <w:t>35,262</w:t>
            </w:r>
          </w:p>
        </w:tc>
        <w:tc>
          <w:tcPr>
            <w:tcW w:w="50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5"/>
              <w:spacing w:after="0" w:line="203" w:lineRule="exact"/>
              <w:rPr>
                <w:sz w:val="20"/>
                <w:szCs w:val="20"/>
                <w:color w:val="auto"/>
              </w:rPr>
            </w:pPr>
            <w:r>
              <w:rPr>
                <w:rFonts w:ascii="Arial" w:cs="Arial" w:eastAsia="Arial" w:hAnsi="Arial"/>
                <w:sz w:val="18"/>
                <w:szCs w:val="18"/>
                <w:color w:val="auto"/>
              </w:rPr>
              <w:t>2,073</w:t>
            </w: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24,045</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2,069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26,336</w:t>
            </w: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2,691</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income (loss)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3,289</w:t>
            </w:r>
          </w:p>
        </w:tc>
        <w:tc>
          <w:tcPr>
            <w:tcW w:w="480" w:type="dxa"/>
            <w:vAlign w:val="bottom"/>
          </w:tcPr>
          <w:p>
            <w:pPr>
              <w:spacing w:after="0"/>
              <w:rPr>
                <w:sz w:val="19"/>
                <w:szCs w:val="19"/>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8"/>
                <w:szCs w:val="18"/>
                <w:color w:val="auto"/>
              </w:rPr>
              <w:t>8,926</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392"/>
        </w:trPr>
        <w:tc>
          <w:tcPr>
            <w:tcW w:w="3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24"/>
                <w:szCs w:val="24"/>
                <w:color w:val="auto"/>
              </w:rPr>
            </w:pPr>
          </w:p>
        </w:tc>
        <w:tc>
          <w:tcPr>
            <w:tcW w:w="2320" w:type="dxa"/>
            <w:vAlign w:val="bottom"/>
            <w:gridSpan w:val="3"/>
          </w:tcPr>
          <w:p>
            <w:pPr>
              <w:jc w:val="center"/>
              <w:ind w:right="435"/>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May 31, 2020</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319"/>
              <w:spacing w:after="0"/>
              <w:rPr>
                <w:sz w:val="20"/>
                <w:szCs w:val="20"/>
                <w:color w:val="auto"/>
              </w:rPr>
            </w:pPr>
            <w:r>
              <w:rPr>
                <w:rFonts w:ascii="Arial" w:cs="Arial" w:eastAsia="Arial" w:hAnsi="Arial"/>
                <w:sz w:val="14"/>
                <w:szCs w:val="14"/>
                <w:b w:val="1"/>
                <w:bCs w:val="1"/>
                <w:color w:val="auto"/>
              </w:rPr>
              <w:t>May 31, 2019</w:t>
            </w:r>
          </w:p>
        </w:tc>
        <w:tc>
          <w:tcPr>
            <w:tcW w:w="920" w:type="dxa"/>
            <w:vAlign w:val="bottom"/>
            <w:tcBorders>
              <w:bottom w:val="single" w:sz="8" w:color="auto"/>
            </w:tcBorders>
          </w:tcPr>
          <w:p>
            <w:pPr>
              <w:spacing w:after="0"/>
              <w:rPr>
                <w:sz w:val="15"/>
                <w:szCs w:val="15"/>
                <w:color w:val="auto"/>
              </w:rPr>
            </w:pPr>
          </w:p>
        </w:tc>
      </w:tr>
      <w:tr>
        <w:trPr>
          <w:trHeight w:val="169"/>
        </w:trPr>
        <w:tc>
          <w:tcPr>
            <w:tcW w:w="3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OGC</w:t>
            </w: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OCC</w:t>
            </w: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OGC</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OCC</w:t>
            </w:r>
          </w:p>
        </w:tc>
      </w:tr>
      <w:tr>
        <w:trPr>
          <w:trHeight w:val="223"/>
        </w:trPr>
        <w:tc>
          <w:tcPr>
            <w:tcW w:w="38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57,402</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5,131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68,728</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4,339</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49,795</w:t>
            </w:r>
          </w:p>
        </w:tc>
        <w:tc>
          <w:tcPr>
            <w:tcW w:w="48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32,924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8"/>
                <w:szCs w:val="18"/>
                <w:color w:val="auto"/>
              </w:rPr>
              <w:t>51,823</w:t>
            </w:r>
          </w:p>
        </w:tc>
        <w:tc>
          <w:tcPr>
            <w:tcW w:w="50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5,664</w:t>
            </w: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7,600</w:t>
            </w: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(27,793)</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16,898</w:t>
            </w: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8. DEFERRED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current deferred revenue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56"/>
              <w:spacing w:after="0"/>
              <w:rPr>
                <w:sz w:val="20"/>
                <w:szCs w:val="20"/>
                <w:color w:val="auto"/>
              </w:rPr>
            </w:pPr>
            <w:r>
              <w:rPr>
                <w:rFonts w:ascii="Arial" w:cs="Arial" w:eastAsia="Arial" w:hAnsi="Arial"/>
                <w:sz w:val="14"/>
                <w:szCs w:val="14"/>
                <w:b w:val="1"/>
                <w:bCs w:val="1"/>
                <w:color w:val="auto"/>
              </w:rPr>
              <w:t>Utica</w:t>
            </w:r>
          </w:p>
        </w:tc>
        <w:tc>
          <w:tcPr>
            <w:tcW w:w="12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Williston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Piceance</w:t>
            </w:r>
          </w:p>
        </w:tc>
        <w:tc>
          <w:tcPr>
            <w:tcW w:w="12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Barnett</w:t>
            </w: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Marcellus</w:t>
            </w:r>
          </w:p>
        </w:tc>
        <w:tc>
          <w:tcPr>
            <w:tcW w:w="120" w:type="dxa"/>
            <w:vAlign w:val="bottom"/>
          </w:tcPr>
          <w:p>
            <w:pPr>
              <w:spacing w:after="0"/>
              <w:rPr>
                <w:sz w:val="14"/>
                <w:szCs w:val="14"/>
                <w:color w:val="auto"/>
              </w:rPr>
            </w:pPr>
          </w:p>
        </w:tc>
        <w:tc>
          <w:tcPr>
            <w:tcW w:w="80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175"/>
        </w:trPr>
        <w:tc>
          <w:tcPr>
            <w:tcW w:w="4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Basin</w:t>
            </w: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DJ Basin</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Basin</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Shale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current</w:t>
            </w:r>
          </w:p>
        </w:tc>
      </w:tr>
      <w:tr>
        <w:trPr>
          <w:trHeight w:val="210"/>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3"/>
        </w:trPr>
        <w:tc>
          <w:tcPr>
            <w:tcW w:w="4220" w:type="dxa"/>
            <w:vAlign w:val="bottom"/>
            <w:shd w:val="clear" w:color="auto" w:fill="CFF0FC"/>
          </w:tcPr>
          <w:p>
            <w:pPr>
              <w:jc w:val="center"/>
              <w:ind w:right="1910"/>
              <w:spacing w:after="0" w:line="193" w:lineRule="exact"/>
              <w:rPr>
                <w:sz w:val="20"/>
                <w:szCs w:val="20"/>
                <w:color w:val="auto"/>
              </w:rPr>
            </w:pPr>
            <w:r>
              <w:rPr>
                <w:rFonts w:ascii="Arial" w:cs="Arial" w:eastAsia="Arial" w:hAnsi="Arial"/>
                <w:sz w:val="18"/>
                <w:szCs w:val="18"/>
                <w:b w:val="1"/>
                <w:bCs w:val="1"/>
                <w:color w:val="auto"/>
              </w:rPr>
              <w:t>Current deferred revenue,</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r>
      <w:tr>
        <w:trPr>
          <w:trHeight w:val="225"/>
        </w:trPr>
        <w:tc>
          <w:tcPr>
            <w:tcW w:w="42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January 1, 2020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2,860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7,014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1,630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13,493</w:t>
            </w:r>
          </w:p>
        </w:tc>
      </w:tr>
      <w:tr>
        <w:trPr>
          <w:trHeight w:val="216"/>
        </w:trPr>
        <w:tc>
          <w:tcPr>
            <w:tcW w:w="42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4,341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9,250</w:t>
            </w:r>
          </w:p>
        </w:tc>
      </w:tr>
      <w:tr>
        <w:trPr>
          <w:trHeight w:val="216"/>
        </w:trPr>
        <w:tc>
          <w:tcPr>
            <w:tcW w:w="4220" w:type="dxa"/>
            <w:vAlign w:val="bottom"/>
            <w:shd w:val="clear" w:color="auto" w:fill="CFF0FC"/>
          </w:tcPr>
          <w:p>
            <w:pPr>
              <w:jc w:val="center"/>
              <w:ind w:right="1850"/>
              <w:spacing w:after="0"/>
              <w:rPr>
                <w:sz w:val="20"/>
                <w:szCs w:val="20"/>
                <w:color w:val="auto"/>
              </w:rPr>
            </w:pPr>
            <w:r>
              <w:rPr>
                <w:rFonts w:ascii="Arial" w:cs="Arial" w:eastAsia="Arial" w:hAnsi="Arial"/>
                <w:sz w:val="18"/>
                <w:szCs w:val="18"/>
                <w:color w:val="auto"/>
                <w:w w:val="99"/>
              </w:rPr>
              <w:t>Less revenue recognized</w:t>
            </w: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2,483</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7,389</w:t>
            </w:r>
          </w:p>
        </w:tc>
      </w:tr>
      <w:tr>
        <w:trPr>
          <w:trHeight w:val="187"/>
        </w:trPr>
        <w:tc>
          <w:tcPr>
            <w:tcW w:w="4220" w:type="dxa"/>
            <w:vAlign w:val="bottom"/>
          </w:tcPr>
          <w:p>
            <w:pPr>
              <w:jc w:val="center"/>
              <w:ind w:right="1910"/>
              <w:spacing w:after="0" w:line="187" w:lineRule="exact"/>
              <w:rPr>
                <w:sz w:val="20"/>
                <w:szCs w:val="20"/>
                <w:color w:val="auto"/>
              </w:rPr>
            </w:pPr>
            <w:r>
              <w:rPr>
                <w:rFonts w:ascii="Arial" w:cs="Arial" w:eastAsia="Arial" w:hAnsi="Arial"/>
                <w:sz w:val="18"/>
                <w:szCs w:val="18"/>
                <w:b w:val="1"/>
                <w:bCs w:val="1"/>
                <w:color w:val="auto"/>
              </w:rPr>
              <w:t>Current deferred revenue,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5"/>
        </w:trPr>
        <w:tc>
          <w:tcPr>
            <w:tcW w:w="4220" w:type="dxa"/>
            <w:vAlign w:val="bottom"/>
          </w:tcPr>
          <w:p>
            <w:pPr>
              <w:ind w:left="200"/>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4,718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7,017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15,354</w:t>
            </w:r>
          </w:p>
        </w:tc>
      </w:tr>
      <w:tr>
        <w:trPr>
          <w:trHeight w:val="20"/>
        </w:trPr>
        <w:tc>
          <w:tcPr>
            <w:tcW w:w="4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noncurrent deferred revenue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Utica</w:t>
            </w:r>
          </w:p>
        </w:tc>
        <w:tc>
          <w:tcPr>
            <w:tcW w:w="20" w:type="dxa"/>
            <w:vAlign w:val="bottom"/>
          </w:tcPr>
          <w:p>
            <w:pPr>
              <w:spacing w:after="0"/>
              <w:rPr>
                <w:sz w:val="14"/>
                <w:szCs w:val="1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Williston</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Piceance</w:t>
            </w:r>
          </w:p>
        </w:tc>
        <w:tc>
          <w:tcPr>
            <w:tcW w:w="120" w:type="dxa"/>
            <w:vAlign w:val="bottom"/>
          </w:tcPr>
          <w:p>
            <w:pPr>
              <w:spacing w:after="0"/>
              <w:rPr>
                <w:sz w:val="14"/>
                <w:szCs w:val="14"/>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Barnett</w:t>
            </w:r>
          </w:p>
        </w:tc>
        <w:tc>
          <w:tcPr>
            <w:tcW w:w="900" w:type="dxa"/>
            <w:vAlign w:val="bottom"/>
            <w:gridSpan w:val="2"/>
          </w:tcPr>
          <w:p>
            <w:pPr>
              <w:jc w:val="right"/>
              <w:ind w:right="95"/>
              <w:spacing w:after="0"/>
              <w:rPr>
                <w:sz w:val="20"/>
                <w:szCs w:val="20"/>
                <w:color w:val="auto"/>
              </w:rPr>
            </w:pPr>
            <w:r>
              <w:rPr>
                <w:rFonts w:ascii="Arial" w:cs="Arial" w:eastAsia="Arial" w:hAnsi="Arial"/>
                <w:sz w:val="14"/>
                <w:szCs w:val="14"/>
                <w:b w:val="1"/>
                <w:bCs w:val="1"/>
                <w:color w:val="auto"/>
              </w:rPr>
              <w:t>Marcellus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Shale</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Basin</w:t>
            </w:r>
          </w:p>
        </w:tc>
        <w:tc>
          <w:tcPr>
            <w:tcW w:w="9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DJ Basin</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9"/>
              </w:rPr>
              <w:t>Basin</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Shale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noncurrent</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2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Noncurrent deferred revenue,</w:t>
            </w: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January 1, 2020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3,634</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7,589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17,710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9,575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198</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16"/>
        </w:trPr>
        <w:tc>
          <w:tcPr>
            <w:tcW w:w="42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3,522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48"/>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12,856</w:t>
            </w:r>
          </w:p>
        </w:tc>
        <w:tc>
          <w:tcPr>
            <w:tcW w:w="0" w:type="dxa"/>
            <w:vAlign w:val="bottom"/>
          </w:tcPr>
          <w:p>
            <w:pPr>
              <w:spacing w:after="0"/>
              <w:rPr>
                <w:sz w:val="1"/>
                <w:szCs w:val="1"/>
                <w:color w:val="auto"/>
              </w:rPr>
            </w:pPr>
          </w:p>
        </w:tc>
      </w:tr>
      <w:tr>
        <w:trPr>
          <w:trHeight w:val="215"/>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reclassification to current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56"/>
              <w:spacing w:after="0" w:line="203" w:lineRule="exact"/>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967</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4,341</w:t>
            </w:r>
          </w:p>
        </w:tc>
        <w:tc>
          <w:tcPr>
            <w:tcW w:w="1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gridSpan w:val="2"/>
            <w:shd w:val="clear" w:color="auto" w:fill="CFF0FC"/>
          </w:tcPr>
          <w:p>
            <w:pPr>
              <w:jc w:val="right"/>
              <w:ind w:right="48"/>
              <w:spacing w:after="0" w:line="203" w:lineRule="exact"/>
              <w:rPr>
                <w:sz w:val="20"/>
                <w:szCs w:val="20"/>
                <w:color w:val="auto"/>
              </w:rPr>
            </w:pPr>
            <w:r>
              <w:rPr>
                <w:rFonts w:ascii="Arial" w:cs="Arial" w:eastAsia="Arial" w:hAnsi="Arial"/>
                <w:sz w:val="18"/>
                <w:szCs w:val="18"/>
                <w:color w:val="auto"/>
              </w:rPr>
              <w:t>3,095</w:t>
            </w:r>
          </w:p>
        </w:tc>
        <w:tc>
          <w:tcPr>
            <w:tcW w:w="1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793</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5"/>
              <w:spacing w:after="0" w:line="203" w:lineRule="exact"/>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9,217</w:t>
            </w:r>
          </w:p>
        </w:tc>
        <w:tc>
          <w:tcPr>
            <w:tcW w:w="0" w:type="dxa"/>
            <w:vAlign w:val="bottom"/>
          </w:tcPr>
          <w:p>
            <w:pPr>
              <w:spacing w:after="0"/>
              <w:rPr>
                <w:sz w:val="1"/>
                <w:szCs w:val="1"/>
                <w:color w:val="auto"/>
              </w:rPr>
            </w:pPr>
          </w:p>
        </w:tc>
      </w:tr>
      <w:tr>
        <w:trPr>
          <w:trHeight w:val="187"/>
        </w:trPr>
        <w:tc>
          <w:tcPr>
            <w:tcW w:w="4220" w:type="dxa"/>
            <w:vAlign w:val="bottom"/>
          </w:tcPr>
          <w:p>
            <w:pPr>
              <w:spacing w:after="0" w:line="187" w:lineRule="exact"/>
              <w:rPr>
                <w:sz w:val="20"/>
                <w:szCs w:val="20"/>
                <w:color w:val="auto"/>
              </w:rPr>
            </w:pPr>
            <w:r>
              <w:rPr>
                <w:rFonts w:ascii="Arial" w:cs="Arial" w:eastAsia="Arial" w:hAnsi="Arial"/>
                <w:sz w:val="18"/>
                <w:szCs w:val="18"/>
                <w:b w:val="1"/>
                <w:bCs w:val="1"/>
                <w:color w:val="auto"/>
              </w:rPr>
              <w:t>Noncurrent deferred revenue,</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20" w:type="dxa"/>
            <w:vAlign w:val="bottom"/>
          </w:tcPr>
          <w:p>
            <w:pPr>
              <w:ind w:left="200"/>
              <w:spacing w:after="0"/>
              <w:rPr>
                <w:sz w:val="20"/>
                <w:szCs w:val="20"/>
                <w:color w:val="auto"/>
              </w:rPr>
            </w:pPr>
            <w:r>
              <w:rPr>
                <w:rFonts w:ascii="Arial" w:cs="Arial" w:eastAsia="Arial" w:hAnsi="Arial"/>
                <w:sz w:val="18"/>
                <w:szCs w:val="18"/>
                <w:b w:val="1"/>
                <w:bCs w:val="1"/>
                <w:color w:val="auto"/>
              </w:rPr>
              <w:t>June 30, 2020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6,189</w:t>
            </w:r>
          </w:p>
        </w:tc>
        <w:tc>
          <w:tcPr>
            <w:tcW w:w="12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8,830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8"/>
              <w:spacing w:after="0"/>
              <w:rPr>
                <w:sz w:val="20"/>
                <w:szCs w:val="20"/>
                <w:color w:val="auto"/>
              </w:rPr>
            </w:pPr>
            <w:r>
              <w:rPr>
                <w:rFonts w:ascii="Arial" w:cs="Arial" w:eastAsia="Arial" w:hAnsi="Arial"/>
                <w:sz w:val="18"/>
                <w:szCs w:val="18"/>
                <w:color w:val="auto"/>
              </w:rPr>
              <w:t>17,178</w:t>
            </w:r>
          </w:p>
        </w:tc>
        <w:tc>
          <w:tcPr>
            <w:tcW w:w="10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9,546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179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42,348</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9. 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220" w:type="dxa"/>
            <w:vAlign w:val="bottom"/>
          </w:tcPr>
          <w:p>
            <w:pPr>
              <w:spacing w:after="0"/>
              <w:rPr>
                <w:sz w:val="20"/>
                <w:szCs w:val="20"/>
                <w:color w:val="auto"/>
              </w:rPr>
            </w:pPr>
            <w:r>
              <w:rPr>
                <w:rFonts w:ascii="Arial" w:cs="Arial" w:eastAsia="Arial" w:hAnsi="Arial"/>
                <w:sz w:val="18"/>
                <w:szCs w:val="18"/>
                <w:color w:val="auto"/>
              </w:rPr>
              <w:t>Debt consisted of the following:</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09"/>
        </w:trPr>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5"/>
          </w:tcPr>
          <w:p>
            <w:pPr>
              <w:jc w:val="right"/>
              <w:ind w:right="31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Summit Holdings' variable rate senior secured Revolving Credit Facility</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gridSpan w:val="4"/>
            <w:shd w:val="clear" w:color="auto" w:fill="CFF0FC"/>
          </w:tcPr>
          <w:p>
            <w:pPr>
              <w:ind w:left="200"/>
              <w:spacing w:after="0" w:line="202" w:lineRule="exact"/>
              <w:rPr>
                <w:sz w:val="20"/>
                <w:szCs w:val="20"/>
                <w:color w:val="auto"/>
              </w:rPr>
            </w:pPr>
            <w:r>
              <w:rPr>
                <w:rFonts w:ascii="Arial" w:cs="Arial" w:eastAsia="Arial" w:hAnsi="Arial"/>
                <w:sz w:val="18"/>
                <w:szCs w:val="18"/>
                <w:color w:val="auto"/>
              </w:rPr>
              <w:t>(2.93% at June 30, 2020 and 4.55% at December 31, 2019)</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due May 2022</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468"/>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733,000</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55"/>
              <w:spacing w:after="0" w:line="203"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w w:val="98"/>
              </w:rPr>
              <w:t>677,000</w:t>
            </w:r>
          </w:p>
        </w:tc>
        <w:tc>
          <w:tcPr>
            <w:tcW w:w="0" w:type="dxa"/>
            <w:vAlign w:val="bottom"/>
          </w:tcPr>
          <w:p>
            <w:pPr>
              <w:spacing w:after="0"/>
              <w:rPr>
                <w:sz w:val="1"/>
                <w:szCs w:val="1"/>
                <w:color w:val="auto"/>
              </w:rPr>
            </w:pPr>
          </w:p>
        </w:tc>
      </w:tr>
      <w:tr>
        <w:trPr>
          <w:trHeight w:val="216"/>
        </w:trPr>
        <w:tc>
          <w:tcPr>
            <w:tcW w:w="5380" w:type="dxa"/>
            <w:vAlign w:val="bottom"/>
            <w:gridSpan w:val="6"/>
          </w:tcPr>
          <w:p>
            <w:pPr>
              <w:spacing w:after="0"/>
              <w:rPr>
                <w:sz w:val="20"/>
                <w:szCs w:val="20"/>
                <w:color w:val="auto"/>
              </w:rPr>
            </w:pPr>
            <w:r>
              <w:rPr>
                <w:rFonts w:ascii="Arial" w:cs="Arial" w:eastAsia="Arial" w:hAnsi="Arial"/>
                <w:sz w:val="18"/>
                <w:szCs w:val="18"/>
                <w:color w:val="auto"/>
              </w:rPr>
              <w:t>Summit Holdings' 8.00% senior secured term loan due March 2021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Summit Holdings' 5.5% senior unsecured notes due August 2022</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274,224</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98"/>
              </w:rPr>
              <w:t>300,000</w:t>
            </w:r>
          </w:p>
        </w:tc>
        <w:tc>
          <w:tcPr>
            <w:tcW w:w="0" w:type="dxa"/>
            <w:vAlign w:val="bottom"/>
          </w:tcPr>
          <w:p>
            <w:pPr>
              <w:spacing w:after="0"/>
              <w:rPr>
                <w:sz w:val="1"/>
                <w:szCs w:val="1"/>
                <w:color w:val="auto"/>
              </w:rPr>
            </w:pPr>
          </w:p>
        </w:tc>
      </w:tr>
      <w:tr>
        <w:trPr>
          <w:trHeight w:val="216"/>
        </w:trPr>
        <w:tc>
          <w:tcPr>
            <w:tcW w:w="4220" w:type="dxa"/>
            <w:vAlign w:val="bottom"/>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52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Summit Holdings' 5.75% senior unsecured notes due April 2025</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393,765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98"/>
              </w:rPr>
              <w:t>500,000</w:t>
            </w:r>
          </w:p>
        </w:tc>
        <w:tc>
          <w:tcPr>
            <w:tcW w:w="0" w:type="dxa"/>
            <w:vAlign w:val="bottom"/>
          </w:tcPr>
          <w:p>
            <w:pPr>
              <w:spacing w:after="0"/>
              <w:rPr>
                <w:sz w:val="1"/>
                <w:szCs w:val="1"/>
                <w:color w:val="auto"/>
              </w:rPr>
            </w:pPr>
          </w:p>
        </w:tc>
      </w:tr>
      <w:tr>
        <w:trPr>
          <w:trHeight w:val="216"/>
        </w:trPr>
        <w:tc>
          <w:tcPr>
            <w:tcW w:w="4220" w:type="dxa"/>
            <w:vAlign w:val="bottom"/>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5"/>
        </w:trPr>
        <w:tc>
          <w:tcPr>
            <w:tcW w:w="52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SMP Holdings' variable rate senior secured term loan (7.00% at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gridSpan w:val="6"/>
            <w:shd w:val="clear" w:color="auto" w:fill="CFF0FC"/>
          </w:tcPr>
          <w:p>
            <w:pPr>
              <w:ind w:left="200"/>
              <w:spacing w:after="0" w:line="203" w:lineRule="exact"/>
              <w:rPr>
                <w:sz w:val="20"/>
                <w:szCs w:val="20"/>
                <w:color w:val="auto"/>
              </w:rPr>
            </w:pPr>
            <w:r>
              <w:rPr>
                <w:rFonts w:ascii="Arial" w:cs="Arial" w:eastAsia="Arial" w:hAnsi="Arial"/>
                <w:sz w:val="18"/>
                <w:szCs w:val="18"/>
                <w:color w:val="auto"/>
              </w:rPr>
              <w:t>June 30, 2020 and 7.80% at December 31, 2019) due May 2022</w:t>
            </w: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155,200</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w w:val="98"/>
              </w:rPr>
              <w:t>161,500</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1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(3,222)</w:t>
            </w: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09"/>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1,583,133</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51"/>
              <w:spacing w:after="0"/>
              <w:rPr>
                <w:sz w:val="20"/>
                <w:szCs w:val="20"/>
                <w:color w:val="auto"/>
              </w:rPr>
            </w:pPr>
            <w:r>
              <w:rPr>
                <w:rFonts w:ascii="Arial" w:cs="Arial" w:eastAsia="Arial" w:hAnsi="Arial"/>
                <w:sz w:val="18"/>
                <w:szCs w:val="18"/>
                <w:color w:val="auto"/>
              </w:rPr>
              <w:t>1,627,825</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CFF0FC"/>
            </w:tcBorders>
          </w:tcPr>
          <w:p>
            <w:pPr>
              <w:spacing w:after="0"/>
              <w:rPr>
                <w:sz w:val="18"/>
                <w:szCs w:val="18"/>
                <w:color w:val="auto"/>
              </w:rPr>
            </w:pPr>
          </w:p>
        </w:tc>
        <w:tc>
          <w:tcPr>
            <w:tcW w:w="7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7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long-term debt</w:t>
            </w: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1,545,133</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FF0FC"/>
          </w:tcPr>
          <w:p>
            <w:pPr>
              <w:jc w:val="right"/>
              <w:ind w:right="51"/>
              <w:spacing w:after="0"/>
              <w:rPr>
                <w:sz w:val="20"/>
                <w:szCs w:val="20"/>
                <w:color w:val="auto"/>
              </w:rPr>
            </w:pPr>
            <w:r>
              <w:rPr>
                <w:rFonts w:ascii="Arial" w:cs="Arial" w:eastAsia="Arial" w:hAnsi="Arial"/>
                <w:sz w:val="18"/>
                <w:szCs w:val="18"/>
                <w:color w:val="auto"/>
              </w:rPr>
              <w:t>1,622,279</w:t>
            </w:r>
          </w:p>
        </w:tc>
        <w:tc>
          <w:tcPr>
            <w:tcW w:w="0" w:type="dxa"/>
            <w:vAlign w:val="bottom"/>
          </w:tcPr>
          <w:p>
            <w:pPr>
              <w:spacing w:after="0"/>
              <w:rPr>
                <w:sz w:val="1"/>
                <w:szCs w:val="1"/>
                <w:color w:val="auto"/>
              </w:rPr>
            </w:pP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 Issuance costs are being amortized over the life of the term loan and the Senior Notes.</w:t>
      </w:r>
    </w:p>
    <w:p>
      <w:pPr>
        <w:spacing w:after="0" w:line="8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Summit Holdings has a senior secured revolving credit facility which allows for revolving loans, letters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swingline loans. The Revolving Credit Facility has a $1.25 billion borrowing capacity, matures in May 2022, and includes a $ 250.0 million accordion feature. As of June 30, 2020, SMLP and the Guarantor Subsidiaries fully and unconditionally and jointly and severally guarantee, and pledge substantially all of their assets in support of, the indebtedness outstanding under the Revolving Credit Facility.</w:t>
      </w:r>
    </w:p>
    <w:p>
      <w:pPr>
        <w:spacing w:after="0" w:line="8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Borrowings under the Revolving Credit Facility bear interest, at the election of Summit Holdings, at a rate based on the alternate base rate (as defined in the credit agreement) plus an applicable margin ranging from 0.75% to 1.75% or the adjusted Eurodollar rate, as defined in the credit agreement, plus an applicable margin ranging from 1.75% to 2.75%, with the commitment fee ranging from 0.30% to 0.50% in each case based on our relative leverage at the time of determination. At June 30, 2020, the applicable margin under LIBOR borrowings was</w:t>
      </w:r>
    </w:p>
    <w:p>
      <w:pPr>
        <w:spacing w:after="0" w:line="3"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2.75%, the interest rate was 2.93% and the unused portion of the Revolving Credit Facility totaled $512.9 million, subject to a commitment fee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5" w:name="page26"/>
    <w:bookmarkEnd w:id="25"/>
    <w:p>
      <w:pPr>
        <w:ind w:right="140"/>
        <w:spacing w:after="0" w:line="234" w:lineRule="auto"/>
        <w:rPr>
          <w:sz w:val="20"/>
          <w:szCs w:val="20"/>
          <w:color w:val="auto"/>
        </w:rPr>
      </w:pPr>
      <w:r>
        <w:rPr>
          <w:rFonts w:ascii="Arial" w:cs="Arial" w:eastAsia="Arial" w:hAnsi="Arial"/>
          <w:sz w:val="18"/>
          <w:szCs w:val="18"/>
          <w:color w:val="auto"/>
        </w:rPr>
        <w:t>0.50%, after giving effect to the issuance thereunder of a $4.1 million outstanding but undrawn irrevocable standby letter of credit. Based on covenant limits, our available borrowing capacity under the Revolving Credit Facility as of June 30, 2020 was approximately $191 million. See Note 15 for additional information on our letter of credit.</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June 30, 2020, we had $5.4 million of debt issuance costs attributable to our Revolving Credit Facility and related amendments which are included in Other noncurrent assets on the unaudited condensed consolidated balance sheet.</w:t>
      </w:r>
    </w:p>
    <w:p>
      <w:pPr>
        <w:spacing w:after="0" w:line="7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As of and during the six months ended June 30, 2020, we were in compliance with the Revolving Credit Facility's financial covenants. There were no defaults or events of default during the six months ended June 30, 2020.</w:t>
      </w:r>
    </w:p>
    <w:p>
      <w:pPr>
        <w:spacing w:after="0" w:line="8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auto"/>
        </w:rPr>
        <w:t>Summit Holdings Term Loans</w:t>
      </w:r>
      <w:r>
        <w:rPr>
          <w:rFonts w:ascii="Arial" w:cs="Arial" w:eastAsia="Arial" w:hAnsi="Arial"/>
          <w:sz w:val="18"/>
          <w:szCs w:val="18"/>
          <w:color w:val="auto"/>
        </w:rPr>
        <w:t>. On May 28, 2020, in connection with the closing of the GP Buy-In Transaction, Summit Holdings entered</w:t>
      </w:r>
      <w:r>
        <w:rPr>
          <w:rFonts w:ascii="Arial" w:cs="Arial" w:eastAsia="Arial" w:hAnsi="Arial"/>
          <w:sz w:val="18"/>
          <w:szCs w:val="18"/>
          <w:b w:val="1"/>
          <w:bCs w:val="1"/>
          <w:color w:val="auto"/>
        </w:rPr>
        <w:t xml:space="preserve"> </w:t>
      </w:r>
      <w:r>
        <w:rPr>
          <w:rFonts w:ascii="Arial" w:cs="Arial" w:eastAsia="Arial" w:hAnsi="Arial"/>
          <w:sz w:val="18"/>
          <w:szCs w:val="18"/>
          <w:color w:val="auto"/>
        </w:rPr>
        <w:t>into (i) a Term Loan Credit Agreement (the “ECP NewCo Term Loan Credit Agreement”), with SMP TopCo, LLC, a Delaware limited liability company and affiliate of ECP (“ECP NewCo”), as lender and administrative agent, and Mizuho Bank (USA), as collateral agent (“Mizuho”), in a principal amount of $28.2 million (the “ECP NewCo Loan”), and (ii) a Term Loan Credit Agreement (the “ECP Holdings Term Loan Credit Agreement” and together with the ECP NewCo Term Loan Credit Agreement, the “ECP Term Loan Credit Agreements”), with ECP Holdings, as lender, and ECP NewCo, as administrative agent and Mizuho, as collateral agent, in a principal amount of $6.8 million (the “ECP Holdings Loan” and together with the ECP NewCo Loan, the “ECP Loans”). The ECP Loans mature on March 31, 2021 and are included in the current portion of long-term debt. The ECP Loans under each ECP Term Loan Credit Agreement bear interest at a rate of 8.00% per annum, with the interest expense due at maturity of the ECP Loans.</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Also on May 28, 2020 and in connection with the GP Buy-In Transaction, Summit Holdings entered into (i) in connection with the ECP NewCo Term Loan Credit Agreement, a Guarantee and Collateral Agreement (the “ECP NewCo Guarantee”), with the Partnership, the subsidiary guarantors listed therein and Mizuho and (ii) in connection with the ECP Holdings Term Loan Credit Agreement, a Guarantee and Collateral Agreement (the “ECP Holdings Guarantee” and together with the ECP NewCo Guarantee, the “ECP Term Loan Guarantees”), with the Partnership, the subsidiary guarantors listed therein and Mizuho. Pursuant to the ECP Term Loan Guarantees, the obligations under each of the ECP Term Loan Credit Agreements are generally (i) guaranteed by the Partnership and each subsidiary of Summit Holdings that guarantees the obligations under the Revolving Credit Facility, as and to the same extent as such guarantors guarantee the obligations under the Revolving Credit Facility and (ii) secured by a first priority lien on and security interest in all property on which a first priority lien and security interest secures the obligations under the Revolving Credit Facility, in each case, on the terms and subject to the conditions set forth in the ECP Term Loan Credit Agreements.</w:t>
      </w:r>
    </w:p>
    <w:p>
      <w:pPr>
        <w:spacing w:after="0" w:line="98"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The ECP Term Loan Credit Agreements each contain affirmative and negative covenants similar to those contained in the Revolving Credit Facility, that, among other things, limit or restrict the ability to (i) incur additional debt; (ii) incur certain liens on property; (iii) make investments; (iv) engage in certain mergers, consolidations, acquisitions or sales of assets; (v) declare or pay certain distributions with respect to equity interests; (vi) enter into certain transactions with any of its affiliates; (vii) enter into swap agreements and power purchase agreements; (viii) enter into certain leases that would cumulatively obligate payments in excess of $50 million over any 12-month period; and</w:t>
      </w:r>
    </w:p>
    <w:p>
      <w:pPr>
        <w:spacing w:after="0" w:line="3" w:lineRule="exact"/>
        <w:rPr>
          <w:sz w:val="20"/>
          <w:szCs w:val="20"/>
          <w:color w:val="auto"/>
        </w:rPr>
      </w:pPr>
    </w:p>
    <w:p>
      <w:pPr>
        <w:ind w:right="20" w:firstLine="8"/>
        <w:spacing w:after="0" w:line="236" w:lineRule="auto"/>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permit any Restricted Subsidiaries (as defined in the ECP Term Loan Credit Agreements) to sell certain industrial revenue bonds to certain parties without the consent of the administrative agent. In addition, the ECP Term Loan Credit Agreements contain maintenance financial covenants substantially similar to those contained in the Revolving Credit Facility, which will require Summit Holdings to maintain, beginning June 30, 2020: (a) a ratio of consolidated trailing 12-month earnings before interest, income taxes, depreciation and amortization (“EBITDA”) to net interest expense of not less than 2.50 to 1.00; (b) a ratio of total net indebtedness to consolidated trailing 12-month EBITDA of not more than 5.50 to 1.00; and (c) a ratio of first lien net indebtedness to consolidated trailing 12-month EBITDA of not more than 3.75 to 1.00. If any of the financial maintenance covenants contained in the Revolving Credit Facility are amended, modified or supplemented, the same financial maintenance covenant in each ECP Term Loan Credit Agreement will automatically be amended in the same manner.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6" w:name="page27"/>
    <w:bookmarkEnd w:id="26"/>
    <w:p>
      <w:pPr>
        <w:ind w:right="180"/>
        <w:spacing w:after="0" w:line="246" w:lineRule="auto"/>
        <w:rPr>
          <w:sz w:val="20"/>
          <w:szCs w:val="20"/>
          <w:color w:val="auto"/>
        </w:rPr>
      </w:pPr>
      <w:r>
        <w:rPr>
          <w:rFonts w:ascii="Arial" w:cs="Arial" w:eastAsia="Arial" w:hAnsi="Arial"/>
          <w:sz w:val="18"/>
          <w:szCs w:val="18"/>
          <w:color w:val="auto"/>
        </w:rPr>
        <w:t>As of June 30, 2020, the Partnership was in compliance with financial covenants of the ECP Loans’ and there were no defaults or events of default existing under either ECP Term Loan Credit Agreement as of June 30, 2020.</w:t>
      </w:r>
    </w:p>
    <w:p>
      <w:pPr>
        <w:spacing w:after="0" w:line="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July 2014, Summit Holdings and its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finance subsidiary, Finance Corp. (together with Summit Holdings,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"Co-Issuers") co-issued $300.0 million of 5.5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senior unsecured notes maturing August 15, 2022 (the "5.5% Senior Notes" and, together with the 5.75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Senior Notes (defined below), the “Senior Notes”) as described in the 2019 Annual Report.</w:t>
      </w:r>
    </w:p>
    <w:p>
      <w:pPr>
        <w:spacing w:after="0" w:line="8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February 2017, the Co-Issuers completed a public offering of $500.0 million of 5.75% senior unsecured notes (the "5.75% Senior Notes") maturing April 15, 2025 as described in the 2019 Annual Report.</w:t>
      </w:r>
    </w:p>
    <w:p>
      <w:pPr>
        <w:spacing w:after="0" w:line="60"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 Guarantor Subsidiaries are 100% owned by a subsidiary of SMLP. The Guarantor Subsidiaries and SMLP fully and unconditionally and</w:t>
      </w:r>
      <w:r>
        <w:rPr>
          <w:rFonts w:ascii="Arial" w:cs="Arial" w:eastAsia="Arial" w:hAnsi="Arial"/>
          <w:sz w:val="20"/>
          <w:szCs w:val="20"/>
          <w:color w:val="auto"/>
        </w:rPr>
        <w:t xml:space="preserve"> </w:t>
      </w:r>
      <w:r>
        <w:rPr>
          <w:rFonts w:ascii="Arial" w:cs="Arial" w:eastAsia="Arial" w:hAnsi="Arial"/>
          <w:sz w:val="17"/>
          <w:szCs w:val="17"/>
          <w:color w:val="auto"/>
        </w:rPr>
        <w:t>jointly and severally guarantee the Senior Notes. There are no significant restrictions on the ability of SMLP or Summit Holdings to obtain funds from its subsidiaries by dividend or loan. Finance Corp. has had no assets or operations since inception in 2013. We have no other independent assets or operations. At no time have the Senior Notes been guaranteed by the Co-Issuers.</w:t>
      </w:r>
    </w:p>
    <w:p>
      <w:pPr>
        <w:spacing w:after="0" w:line="8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 of and during the six months ended June 30, 2020, we were in compliance with the covenants governing our Senior Notes and there were no defaults or events of default during the six months ended June 30, 2020.</w:t>
      </w:r>
    </w:p>
    <w:p>
      <w:pPr>
        <w:spacing w:after="0" w:line="6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color w:val="auto"/>
        </w:rPr>
        <w:t>SMP Holdings Term Loan</w:t>
      </w:r>
      <w:r>
        <w:rPr>
          <w:rFonts w:ascii="Arial" w:cs="Arial" w:eastAsia="Arial" w:hAnsi="Arial"/>
          <w:sz w:val="18"/>
          <w:szCs w:val="18"/>
          <w:color w:val="auto"/>
        </w:rPr>
        <w:t>. On March 21, 2017, SMP Holdings entered into a senior secured term loan facility, the SMPH Term Loan, with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maturity date of May 15, 2022, pursuant to which term loans were made to SMP Holdings in the aggregate principal amount of $300.0 million. SMP Holdings became a subsidiary of the Partnership as a result of the GP Buy-In Transaction, and remains liable for the obligations under the SMPH Term Loan. The SMPH Term Loan bears interest at the Eurodollar Rate plus 6.00% or Alternate Base Rate plus 5.00% (each as defined in the SMPH Term Loan), in each case as elected by SMP Holdings in accordance with the SMPH Term Loan. The SMPH Term </w:t>
      </w:r>
      <w:r>
        <w:rPr>
          <w:rFonts w:ascii="Arial" w:cs="Arial" w:eastAsia="Arial" w:hAnsi="Arial"/>
          <w:sz w:val="18"/>
          <w:szCs w:val="18"/>
          <w:b w:val="1"/>
          <w:bCs w:val="1"/>
          <w:color w:val="auto"/>
        </w:rPr>
        <w:t>Loan contains certain customary negative covenants, including, but not limited to, limitations on the incurrence of debt, liens,</w:t>
      </w:r>
      <w:r>
        <w:rPr>
          <w:rFonts w:ascii="Arial" w:cs="Arial" w:eastAsia="Arial" w:hAnsi="Arial"/>
          <w:sz w:val="18"/>
          <w:szCs w:val="18"/>
          <w:color w:val="auto"/>
        </w:rPr>
        <w:t xml:space="preserve"> </w:t>
      </w:r>
      <w:r>
        <w:rPr>
          <w:rFonts w:ascii="Arial" w:cs="Arial" w:eastAsia="Arial" w:hAnsi="Arial"/>
          <w:sz w:val="18"/>
          <w:szCs w:val="18"/>
          <w:b w:val="1"/>
          <w:bCs w:val="1"/>
          <w:color w:val="auto"/>
        </w:rPr>
        <w:t>asset sales and sale leasebacks, investments, dividends, distributions, prepayments, and transactions with affiliates. The SMPH Term Loan also includes a maintenance financial covenant consisting of a minimum interest coverage ratio whereby SMP Holdings is required to maintain a ratio of consolidated trailing 12-month Operating Cash Flow (as defined in the SMPH Term Loan) minus G&amp;A Expenses (as defined in the SMPH Term Loan) paid by SMP Holdings to net interest expense of not less than 2.0 to 1.0 as of the last day of each fiscal quarter of SMP Holdings.</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SMPH Term Loan contains certain customary representations and warranties, affirmative covenants and events of default, including, but not limited to, payment defaults, breaches of representations and warranties, covenant defaults, certain events of insolvency or bankruptcy, material judgments, certain events under ERISA, actual or asserted failures of any guaranty or security document supporting the SMPH Term Loan to be in full force and effect and changes of control.</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obligations related to the SMPH Term Loan are (1) guaranteed by Summit Investments and (2) secured by the following collateral: (i) a perfected first-priority lien on, and pledge of, (A) all of the capital stock issued by SMP Holdings, (B) 34.6 million SMLP common units owned by SMP Holdings, (C) all of the equity interests owned by SMP Holdings in the General Partner, and (ii) substantially all other personal property of SMP Holdings.</w:t>
      </w:r>
    </w:p>
    <w:p>
      <w:pPr>
        <w:spacing w:after="0" w:line="97"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Loans under the SMPH Term Loan must be prepaid or there must be an offer to prepay the loans under the SMPH Term Loan under certain circumstances involving the activities of Summit Investments, including with proceeds from certain future debt issuances, asset sales and a portion of excess cash flow for the applicable fiscal quarter. Loans under the SMPH Term Loan may be voluntarily prepaid at any time, subject to certain redemption prices and customary LIBOR breakage costs.</w:t>
      </w:r>
    </w:p>
    <w:p>
      <w:pPr>
        <w:spacing w:after="0" w:line="8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SMP Holdings is required to repay principal amounts outstanding under the SMPH Term Loan quarterly in an amount equal to 1.0% per annum of the original principal amount of the loans under the SMPH Term Loan. SMP Holdings’ current portion of long-term debt includes scheduled principal amortization. We were not required to make an excess cash flow payment on the SMPH Term Loan for the second quarter of 2020, and have not included an estimated excess cash flow amount in the current portion of long-term debt relating to the third and fourth quarter of 2020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spacing w:after="0" w:line="246" w:lineRule="auto"/>
        <w:rPr>
          <w:sz w:val="20"/>
          <w:szCs w:val="20"/>
          <w:color w:val="auto"/>
        </w:rPr>
      </w:pPr>
      <w:r>
        <w:rPr>
          <w:rFonts w:ascii="Arial" w:cs="Arial" w:eastAsia="Arial" w:hAnsi="Arial"/>
          <w:sz w:val="18"/>
          <w:szCs w:val="18"/>
          <w:color w:val="auto"/>
        </w:rPr>
        <w:t>the first quarter of 2021 because the amount is not currently estimable given that the excess cash flow calculation is based on the occurrence of future events.</w:t>
      </w:r>
    </w:p>
    <w:p>
      <w:pPr>
        <w:spacing w:after="0" w:line="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April 17, 2020, we entered into a derivative financial instrument to convert a portion of our variable rate SMPH Term Loan to a fixed rate debt consisting of a 1% LIBOR interest rate cap for a fee of $0.2 million (exclusive of the applicable bank margin charged by our lender) on a $125.0 million notional amount beginning April 30, 2020 and ending on April 30, 2022. We have not designated the interest rate cap for hedge accounting as defined by GAAP and recognized an unsettled gain of $0.1 million on the interest rate cap in the other income line item on our unaudited condensed consolidated statement of operations for the three and six month periods ended June 30, 2020.</w:t>
      </w:r>
    </w:p>
    <w:p>
      <w:pPr>
        <w:spacing w:after="0" w:line="9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As of June 30, 2020, SMP Holdings was in compliance with the SMPH Term Loan’s financial covenants and there were no defaults or events of default existing under the SMPH Term Loan as of June 30, 2020.</w:t>
      </w:r>
    </w:p>
    <w:p>
      <w:pPr>
        <w:spacing w:after="0" w:line="6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auto"/>
        </w:rPr>
        <w:t xml:space="preserve">Repurchases. </w:t>
      </w:r>
      <w:r>
        <w:rPr>
          <w:rFonts w:ascii="Arial" w:cs="Arial" w:eastAsia="Arial" w:hAnsi="Arial"/>
          <w:sz w:val="18"/>
          <w:szCs w:val="18"/>
          <w:color w:val="auto"/>
        </w:rPr>
        <w:t>Subsequent to the GP Buy-In Transaction, the Partnership commenced a debt buyback program to repurchase 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Notes, which is ongoing. We repurchased $25.8 million of the outstanding $300 million aggregate principal amount of our 5.50% Senior Notes through June 30, 2020. The gain on early extinguishment of debt for the 5.50% Senior Notes during the three and six months ended June 30, 2020 totaled $9.2 million and is inclusive of a $0.1 million write off of debt issuance costs. We also repurchased $106.2 million of the outstanding $500 million aggregate principal amount of our 5.75% Senior Notes through June 30, 2020. The gain on early extinguishment of debt for the 5.75% Senior Notes during the three and six months ended June 30, 2020 totaled $45.1 million and is inclusive of a $1.0 million write off of debt issuance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w:t>
      </w:r>
    </w:p>
    <w:p>
      <w:pPr>
        <w:spacing w:after="0" w:line="104"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Financial instruments that potentially subject us to concentrations of credit risk consist of cash and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restricted cash and accounts receivable. We maintain our cash and cash equivalents and restricted cash in bank deposit accounts that frequently exceed federally insured limits. We have not experienced any losses in such accounts and do not believe we are exposed to any significant risk.</w:t>
      </w:r>
    </w:p>
    <w:p>
      <w:pPr>
        <w:spacing w:after="0" w:line="8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Accounts receivable primarily comprise amounts due for the gathering, compression, treating and processing services we provide to our customers and also the sale of natural gas liquids resulting from our processing services. This industry concentration has the potential to impact our overall exposure to credit risk, either positively or negatively, in that our customers may be similarly affected by changes in economic, industry or other conditions. We monitor the creditworthiness of our counterparties and can require letters of credit or other forms of credit assurance for receivables from counterparties that are judged to have substandard credit, unless the credit risk can otherwise be mitigated. Our top five customers or counterparties accounted for 50% of total accounts receivable as of June 30, 2020, compared with 46% as of December 31, 2019.</w:t>
      </w:r>
    </w:p>
    <w:p>
      <w:pPr>
        <w:spacing w:after="0" w:line="74"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The carrying amount of cash and cash equivalents, restricted cash, accounts receivable, trade accounts payable and ECP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Loans reported on the unaudited condensed consolidated balance sheet approximates fair value due to their short-term maturities.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estimated fair value of our debt financial instruments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842"/>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December 31, 2019</w:t>
            </w:r>
          </w:p>
        </w:tc>
      </w:tr>
      <w:tr>
        <w:trPr>
          <w:trHeight w:val="156"/>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right="201"/>
              <w:spacing w:after="0" w:line="156" w:lineRule="exact"/>
              <w:rPr>
                <w:sz w:val="20"/>
                <w:szCs w:val="20"/>
                <w:color w:val="auto"/>
              </w:rPr>
            </w:pPr>
            <w:r>
              <w:rPr>
                <w:rFonts w:ascii="Arial" w:cs="Arial" w:eastAsia="Arial" w:hAnsi="Arial"/>
                <w:sz w:val="14"/>
                <w:szCs w:val="14"/>
                <w:b w:val="1"/>
                <w:bCs w:val="1"/>
                <w:color w:val="auto"/>
              </w:rPr>
              <w:t>Estimated</w:t>
            </w:r>
          </w:p>
        </w:tc>
      </w:tr>
      <w:tr>
        <w:trPr>
          <w:trHeight w:val="162"/>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100" w:type="dxa"/>
            <w:vAlign w:val="bottom"/>
          </w:tcPr>
          <w:p>
            <w:pPr>
              <w:jc w:val="center"/>
              <w:ind w:right="201"/>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Summit Holdings 5.5% Senior Notes ($300.0 million</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03"/>
        </w:trPr>
        <w:tc>
          <w:tcPr>
            <w:tcW w:w="58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principal)</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61"/>
              <w:spacing w:after="0" w:line="203" w:lineRule="exact"/>
              <w:rPr>
                <w:sz w:val="20"/>
                <w:szCs w:val="20"/>
                <w:color w:val="auto"/>
              </w:rPr>
            </w:pPr>
            <w:r>
              <w:rPr>
                <w:rFonts w:ascii="Arial" w:cs="Arial" w:eastAsia="Arial" w:hAnsi="Arial"/>
                <w:sz w:val="18"/>
                <w:szCs w:val="18"/>
                <w:color w:val="auto"/>
              </w:rPr>
              <w:t>272,973</w:t>
            </w: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2"/>
              <w:spacing w:after="0" w:line="203" w:lineRule="exact"/>
              <w:rPr>
                <w:sz w:val="20"/>
                <w:szCs w:val="20"/>
                <w:color w:val="auto"/>
              </w:rPr>
            </w:pPr>
            <w:r>
              <w:rPr>
                <w:rFonts w:ascii="Arial" w:cs="Arial" w:eastAsia="Arial" w:hAnsi="Arial"/>
                <w:sz w:val="18"/>
                <w:szCs w:val="18"/>
                <w:color w:val="auto"/>
              </w:rPr>
              <w:t>180,531</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61"/>
              <w:spacing w:after="0" w:line="203" w:lineRule="exact"/>
              <w:rPr>
                <w:sz w:val="20"/>
                <w:szCs w:val="20"/>
                <w:color w:val="auto"/>
              </w:rPr>
            </w:pPr>
            <w:r>
              <w:rPr>
                <w:rFonts w:ascii="Arial" w:cs="Arial" w:eastAsia="Arial" w:hAnsi="Arial"/>
                <w:sz w:val="18"/>
                <w:szCs w:val="18"/>
                <w:color w:val="auto"/>
              </w:rPr>
              <w:t>298,314</w:t>
            </w: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1"/>
              <w:spacing w:after="0" w:line="203" w:lineRule="exact"/>
              <w:rPr>
                <w:sz w:val="20"/>
                <w:szCs w:val="20"/>
                <w:color w:val="auto"/>
              </w:rPr>
            </w:pPr>
            <w:r>
              <w:rPr>
                <w:rFonts w:ascii="Arial" w:cs="Arial" w:eastAsia="Arial" w:hAnsi="Arial"/>
                <w:sz w:val="18"/>
                <w:szCs w:val="18"/>
                <w:color w:val="auto"/>
              </w:rPr>
              <w:t>266,750</w:t>
            </w: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Summit Holdings 5.75% Senior Notes ($500.0 million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820" w:type="dxa"/>
            <w:vAlign w:val="bottom"/>
          </w:tcPr>
          <w:p>
            <w:pPr>
              <w:ind w:left="200"/>
              <w:spacing w:after="0"/>
              <w:rPr>
                <w:sz w:val="20"/>
                <w:szCs w:val="20"/>
                <w:color w:val="auto"/>
              </w:rPr>
            </w:pPr>
            <w:r>
              <w:rPr>
                <w:rFonts w:ascii="Arial" w:cs="Arial" w:eastAsia="Arial" w:hAnsi="Arial"/>
                <w:sz w:val="18"/>
                <w:szCs w:val="18"/>
                <w:color w:val="auto"/>
              </w:rPr>
              <w:t>principal)</w:t>
            </w:r>
          </w:p>
        </w:tc>
        <w:tc>
          <w:tcPr>
            <w:tcW w:w="18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390,183</w:t>
            </w:r>
          </w:p>
        </w:tc>
        <w:tc>
          <w:tcPr>
            <w:tcW w:w="2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8"/>
                <w:szCs w:val="18"/>
                <w:color w:val="auto"/>
              </w:rPr>
              <w:t>211,977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494,985</w:t>
            </w:r>
          </w:p>
        </w:tc>
        <w:tc>
          <w:tcPr>
            <w:tcW w:w="2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382,708</w:t>
            </w:r>
          </w:p>
        </w:tc>
      </w:tr>
    </w:tbl>
    <w:p>
      <w:pPr>
        <w:spacing w:after="0" w:line="9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The carrying values on the balance sheet of the Revolving Credit Facility and the SMPH Term Loan are their fair values due their floating interest rates. The fair value for the Senior Notes is based on an average of nonbinding broker quotes as of June 30, 2020 and December 31, 2019. The use of different market assumptions or valuation methodologies may have a material effect on the estimated fair value of the Senior Notes.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11. PARTNERS' CAPITAL AND MEZZANINE CAPITAL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number of common limited partner units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60" w:type="dxa"/>
            <w:vAlign w:val="bottom"/>
            <w:tcBorders>
              <w:bottom w:val="single" w:sz="8" w:color="CFF0FC"/>
            </w:tcBorders>
          </w:tcPr>
          <w:p>
            <w:pPr>
              <w:spacing w:after="0"/>
              <w:rPr>
                <w:sz w:val="15"/>
                <w:szCs w:val="15"/>
                <w:color w:val="auto"/>
              </w:rPr>
            </w:pPr>
          </w:p>
        </w:tc>
        <w:tc>
          <w:tcPr>
            <w:tcW w:w="800" w:type="dxa"/>
            <w:vAlign w:val="bottom"/>
            <w:tcBorders>
              <w:bottom w:val="single" w:sz="8" w:color="CFF0FC"/>
            </w:tcBorders>
          </w:tcPr>
          <w:p>
            <w:pPr>
              <w:spacing w:after="0"/>
              <w:rPr>
                <w:sz w:val="15"/>
                <w:szCs w:val="15"/>
                <w:color w:val="auto"/>
              </w:rPr>
            </w:pPr>
          </w:p>
        </w:tc>
        <w:tc>
          <w:tcPr>
            <w:tcW w:w="6780" w:type="dxa"/>
            <w:vAlign w:val="bottom"/>
            <w:tcBorders>
              <w:bottom w:val="single" w:sz="8" w:color="CFF0FC"/>
            </w:tcBorders>
          </w:tcPr>
          <w:p>
            <w:pPr>
              <w:spacing w:after="0"/>
              <w:rPr>
                <w:sz w:val="15"/>
                <w:szCs w:val="15"/>
                <w:color w:val="auto"/>
              </w:rPr>
            </w:pPr>
          </w:p>
        </w:tc>
        <w:tc>
          <w:tcPr>
            <w:tcW w:w="1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Common Units</w:t>
            </w:r>
          </w:p>
        </w:tc>
      </w:tr>
      <w:tr>
        <w:trPr>
          <w:trHeight w:val="209"/>
        </w:trPr>
        <w:tc>
          <w:tcPr>
            <w:tcW w:w="1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Units, December 31,</w:t>
            </w:r>
          </w:p>
        </w:tc>
        <w:tc>
          <w:tcPr>
            <w:tcW w:w="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2019 (1)</w:t>
            </w:r>
          </w:p>
        </w:tc>
        <w:tc>
          <w:tcPr>
            <w:tcW w:w="678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45,318,866</w:t>
            </w:r>
          </w:p>
        </w:tc>
      </w:tr>
      <w:tr>
        <w:trPr>
          <w:trHeight w:val="216"/>
        </w:trPr>
        <w:tc>
          <w:tcPr>
            <w:tcW w:w="9340" w:type="dxa"/>
            <w:vAlign w:val="bottom"/>
            <w:gridSpan w:val="3"/>
          </w:tcPr>
          <w:p>
            <w:pPr>
              <w:ind w:left="140"/>
              <w:spacing w:after="0"/>
              <w:rPr>
                <w:sz w:val="20"/>
                <w:szCs w:val="20"/>
                <w:color w:val="auto"/>
              </w:rPr>
            </w:pPr>
            <w:r>
              <w:rPr>
                <w:rFonts w:ascii="Arial" w:cs="Arial" w:eastAsia="Arial" w:hAnsi="Arial"/>
                <w:sz w:val="18"/>
                <w:szCs w:val="18"/>
                <w:color w:val="auto"/>
              </w:rPr>
              <w:t>Net units issued under the SMLP LTIP</w:t>
            </w:r>
          </w:p>
        </w:tc>
        <w:tc>
          <w:tcPr>
            <w:tcW w:w="1900" w:type="dxa"/>
            <w:vAlign w:val="bottom"/>
          </w:tcPr>
          <w:p>
            <w:pPr>
              <w:jc w:val="right"/>
              <w:ind w:right="54"/>
              <w:spacing w:after="0"/>
              <w:rPr>
                <w:sz w:val="20"/>
                <w:szCs w:val="20"/>
                <w:color w:val="auto"/>
              </w:rPr>
            </w:pPr>
            <w:r>
              <w:rPr>
                <w:rFonts w:ascii="Arial" w:cs="Arial" w:eastAsia="Arial" w:hAnsi="Arial"/>
                <w:sz w:val="18"/>
                <w:szCs w:val="18"/>
                <w:color w:val="auto"/>
              </w:rPr>
              <w:t>308,364</w:t>
            </w:r>
          </w:p>
        </w:tc>
      </w:tr>
      <w:tr>
        <w:trPr>
          <w:trHeight w:val="216"/>
        </w:trPr>
        <w:tc>
          <w:tcPr>
            <w:tcW w:w="93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Impact of GP Buy-In Transaction</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(2,084,174)</w:t>
            </w:r>
          </w:p>
        </w:tc>
      </w:tr>
      <w:tr>
        <w:trPr>
          <w:trHeight w:val="210"/>
        </w:trPr>
        <w:tc>
          <w:tcPr>
            <w:tcW w:w="1760" w:type="dxa"/>
            <w:vAlign w:val="bottom"/>
          </w:tcPr>
          <w:p>
            <w:pPr>
              <w:spacing w:after="0"/>
              <w:rPr>
                <w:sz w:val="20"/>
                <w:szCs w:val="20"/>
                <w:color w:val="auto"/>
              </w:rPr>
            </w:pPr>
            <w:r>
              <w:rPr>
                <w:rFonts w:ascii="Arial" w:cs="Arial" w:eastAsia="Arial" w:hAnsi="Arial"/>
                <w:sz w:val="18"/>
                <w:szCs w:val="18"/>
                <w:b w:val="1"/>
                <w:bCs w:val="1"/>
                <w:color w:val="auto"/>
              </w:rPr>
              <w:t>Units, June 30, 2020</w:t>
            </w:r>
          </w:p>
        </w:tc>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(1)</w:t>
            </w:r>
          </w:p>
        </w:tc>
        <w:tc>
          <w:tcPr>
            <w:tcW w:w="6780" w:type="dxa"/>
            <w:vAlign w:val="bottom"/>
          </w:tcPr>
          <w:p>
            <w:pPr>
              <w:spacing w:after="0"/>
              <w:rPr>
                <w:sz w:val="18"/>
                <w:szCs w:val="18"/>
                <w:color w:val="auto"/>
              </w:rPr>
            </w:pPr>
          </w:p>
        </w:tc>
        <w:tc>
          <w:tcPr>
            <w:tcW w:w="19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43,543,056</w:t>
            </w:r>
          </w:p>
        </w:tc>
      </w:tr>
      <w:tr>
        <w:trPr>
          <w:trHeight w:val="20"/>
        </w:trPr>
        <w:tc>
          <w:tcPr>
            <w:tcW w:w="1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15"/>
        </w:trPr>
        <w:tc>
          <w:tcPr>
            <w:tcW w:w="1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780" w:type="dxa"/>
            <w:vAlign w:val="bottom"/>
          </w:tcPr>
          <w:p>
            <w:pPr>
              <w:spacing w:after="0"/>
              <w:rPr>
                <w:sz w:val="10"/>
                <w:szCs w:val="10"/>
                <w:color w:val="auto"/>
              </w:rPr>
            </w:pPr>
          </w:p>
        </w:tc>
        <w:tc>
          <w:tcPr>
            <w:tcW w:w="1900" w:type="dxa"/>
            <w:vAlign w:val="bottom"/>
          </w:tcPr>
          <w:p>
            <w:pPr>
              <w:spacing w:after="0"/>
              <w:rPr>
                <w:sz w:val="10"/>
                <w:szCs w:val="10"/>
                <w:color w:val="auto"/>
              </w:rPr>
            </w:pPr>
          </w:p>
        </w:tc>
      </w:tr>
    </w:tbl>
    <w:p>
      <w:pPr>
        <w:spacing w:after="0" w:line="110" w:lineRule="exact"/>
        <w:rPr>
          <w:sz w:val="20"/>
          <w:szCs w:val="20"/>
          <w:color w:val="auto"/>
        </w:rPr>
      </w:pPr>
    </w:p>
    <w:p>
      <w:pPr>
        <w:ind w:right="60" w:firstLine="8"/>
        <w:spacing w:after="0" w:line="249" w:lineRule="auto"/>
        <w:tabs>
          <w:tab w:leader="none" w:pos="2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a result of the GP Buy-In Transaction, the recast of the historical financial statements resulted in a recasted common limited partner unit count of 45.3 million units at December 31, 2019. Prior to the GP Buy-In Transaction, the common limited partner unit count was 93.5 million units at December 31, 2019, and after adjusting these 93.5 million units for the effect of 1.2 million units issued through June 30, 2020 for the SMLP LTIP, and the GP Buy-In Transaction’s repurchase of 34.6 million units pledged under the Term Loan B, the 10.7 million units not pledged under the Term Loan B, and the 5.9 million units owned by ECP, the common limited partner unit count would have been an otherwise identical 43.5 million common limited partner units at June 30, 2020.</w:t>
      </w:r>
    </w:p>
    <w:p>
      <w:pPr>
        <w:spacing w:after="0" w:line="26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 xml:space="preserve">GP Buy-In Transaction. </w:t>
      </w:r>
      <w:r>
        <w:rPr>
          <w:rFonts w:ascii="Arial" w:cs="Arial" w:eastAsia="Arial" w:hAnsi="Arial"/>
          <w:sz w:val="18"/>
          <w:szCs w:val="18"/>
          <w:color w:val="auto"/>
        </w:rPr>
        <w:t>The purchase price for the common units reflected in the unaudited condensed consolidated statement of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for the six months ended June 30, 2020 is comprised of the (i) the $35.0 million cash payment to ECP, (ii) the $ 2.3 million fair value for the issuance of 10,000,000 warrants, (iii) and $6.8 million of advisory fees and other direct costs related to closing the GP Buy-In Transaction.</w:t>
      </w:r>
    </w:p>
    <w:p>
      <w:pPr>
        <w:spacing w:after="0" w:line="6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In 2017, we issued 300,000 Series A Preferred Units representing limited partner interests in the Partnership 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to the public of $1,000 per unit as described in the 2019 Annual Report. In connection with the GP Buy-In Transaction, the Partnership suspended its distributions to holders of its Series A Preferred Units, commencing with respect to the quarter ending March 31, 2020. On June 18, 2020, the Partnership, commenced an offer to exchange any and all of its Series A Preferred Units for newly issued common units (the “Exchange Offer”). As of June 30, 2020, the Exchange Offer was still pending. See Note 17 for additional details on the Exchange Offer.</w:t>
      </w:r>
    </w:p>
    <w:p>
      <w:pPr>
        <w:spacing w:after="0" w:line="65"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 xml:space="preserve">Subsidiary Series A Preferred Units. </w:t>
      </w:r>
      <w:r>
        <w:rPr>
          <w:rFonts w:ascii="Arial" w:cs="Arial" w:eastAsia="Arial" w:hAnsi="Arial"/>
          <w:sz w:val="18"/>
          <w:szCs w:val="18"/>
          <w:color w:val="auto"/>
        </w:rPr>
        <w:t>In December 2019, we issued 30,000 Subsidiary Series A Preferred Units representing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interests in Permian Holdco at a price of $1,000 per unit as described in the 2019 Annual Report.</w:t>
      </w:r>
    </w:p>
    <w:p>
      <w:pPr>
        <w:spacing w:after="0" w:line="6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During the six months ended June 30, 2020, we issued an additional 50,000 Subsidiary Series A Preferred Units representing limited partner interests in Permian Holdco at a price of $1,000 per unit. We used the net proceeds of $48.7 million (after deducting underwriting discounts and offering expenses) to fund our share of capital expenses associated with the Double E Project.</w:t>
      </w:r>
    </w:p>
    <w:p>
      <w:pPr>
        <w:spacing w:after="0" w:line="95"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The proceeds associated with the issuance of Subsidiary Series A Preferred Units are classified as restricted cash on the accompanying unaudited condensed consolidated balance sheets in accordance with the underlying agreement with TPG Energy Solutions Anthem, L.P. until the related funding is used for the Double E Project.</w:t>
      </w:r>
    </w:p>
    <w:p>
      <w:pPr>
        <w:spacing w:after="0" w:line="73"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On May 28, 2020 and in connection with the GP Buy-In Transaction, the Partnership issued (i) a Warrant to purchase up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8,059,609 common units to ECP NewCo (the “ECP NewCo Warrant”) and (ii) a Warrant to purchase up to 1,940,391 common units to ECP Holdings (the “ECP Holdings Warrant” and together with the ECP NewCo Warrant, the “ECP Warrants”). The exercise price under the ECP Warrants is $1.023 per common unit. The Partnership may issue a maximum of 10,000,000 common units under the ECP Warrants.</w:t>
      </w:r>
    </w:p>
    <w:p>
      <w:pPr>
        <w:spacing w:after="0" w:line="7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ECP Warrants also provide that the Partnership will file a registration statement to register the common units issuable upon exercise of the ECP Warrants no later than 90 days following the Closing Date and use commercially reasonable efforts to cause such registration statement to become effective.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Upon exercise of the ECP Warrants, each of ECP NewCo and ECP Holdings may receive, at its election: (i) a number of common units equal to the number of common units for which the ECP Warrant is being exercised, if exercising the ECP Warrant by cash payment of the exercise price; (ii) a number of common units equal to the product of the number of common units being exercised multiplied by (a) the difference between the average of the daily volume-weighted average price (“VWAP”) of the common units on the New York Stock Exchange (the “NYSE”) on each of the three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trading days prior to the delivery of the notice of exercise (the “VWAP Average”) and the exercise price (the “VWAP Difference”), divided by</w:t>
      </w:r>
    </w:p>
    <w:p>
      <w:pPr>
        <w:jc w:val="both"/>
        <w:ind w:right="100" w:firstLine="8"/>
        <w:spacing w:after="0"/>
        <w:tabs>
          <w:tab w:leader="none" w:pos="2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VWAP Average; and/or (iii) an amount in cash, to the extent that the Partnership’s leverage ratio would be at least 0.5x less than the maximum applicable ratio set forth in the Revolving Credit Facility, equal to the product of (a) the number of common units exercised and (b) the VWAP Difference, subject to certain adjustments under the ECP Warrants.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ECP Warrants are subject to standard anti-dilution adjustments for stock dividends, stock splits and recapitalizations and are exercisable at any time after the Closing Date and on or before the third anniversary of the Closing Date. Upon exercise of the ECP Warrants, the proceeds to the holders of the ECP Warrants, whether in the form of cash or common units, will be capped at $2.00 per common unit above the exercise price.</w:t>
      </w:r>
    </w:p>
    <w:p>
      <w:pPr>
        <w:spacing w:after="0" w:line="97"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At issuance we valued the ECP Warrants at $2.3 million using a Black-Scholes model and account for the ECP Warrants as a liability instrument. At June 30, 2020, the ECP Warrants were valued at $2.3 million.</w:t>
      </w:r>
    </w:p>
    <w:p>
      <w:pPr>
        <w:spacing w:after="0" w:line="67"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b w:val="1"/>
          <w:bCs w:val="1"/>
          <w:i w:val="1"/>
          <w:iCs w:val="1"/>
          <w:color w:val="auto"/>
        </w:rPr>
        <w:t xml:space="preserve">SMLP General Partner and Incentive Distribution Rights (“IDR”) Exchange. </w:t>
      </w:r>
      <w:r>
        <w:rPr>
          <w:rFonts w:ascii="Arial" w:cs="Arial" w:eastAsia="Arial" w:hAnsi="Arial"/>
          <w:sz w:val="18"/>
          <w:szCs w:val="18"/>
          <w:color w:val="auto"/>
        </w:rPr>
        <w:t>In March 2019, and prior to the GP Buy-In Transaction,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subsidiary of Summit Investments cancelled its IDR agreement with SMLP and converted its 2% economic general partner interest to a non-economic general partner interest in exchange for 8,750,000 SMLP common units. This exchange is reflected in the Consolidated Statements of Partners’ Capital as a reduction to noncontrolling interest and an increase to Partners’ Capital.</w:t>
      </w:r>
    </w:p>
    <w:p>
      <w:pPr>
        <w:spacing w:after="0" w:line="66"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b w:val="1"/>
          <w:bCs w:val="1"/>
          <w:i w:val="1"/>
          <w:iCs w:val="1"/>
          <w:color w:val="auto"/>
        </w:rPr>
        <w:t xml:space="preserve">Cash Distributions Paid and Declared. </w:t>
      </w:r>
      <w:r>
        <w:rPr>
          <w:rFonts w:ascii="Arial" w:cs="Arial" w:eastAsia="Arial" w:hAnsi="Arial"/>
          <w:sz w:val="18"/>
          <w:szCs w:val="18"/>
          <w:color w:val="auto"/>
        </w:rPr>
        <w:t>Prior to the GP Buy-In Transaction, SMLP paid the following per-unit distributions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six months ended June 30 (All payments represent per-unit distributions based on the SMLP common units outstanding prior to the GP Buy-In Transaction):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78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20" w:type="dxa"/>
            <w:vAlign w:val="bottom"/>
            <w:tcBorders>
              <w:bottom w:val="single" w:sz="8" w:color="CFF0FC"/>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Per-unit distributions to unitholders</w:t>
            </w:r>
          </w:p>
        </w:tc>
        <w:tc>
          <w:tcPr>
            <w:tcW w:w="840" w:type="dxa"/>
            <w:vAlign w:val="bottom"/>
            <w:shd w:val="clear" w:color="auto" w:fill="CFF0FC"/>
          </w:tcPr>
          <w:p>
            <w:pPr>
              <w:jc w:val="right"/>
              <w:ind w:right="662"/>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0.2875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0.125</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0.8625</w:t>
            </w:r>
          </w:p>
        </w:tc>
      </w:tr>
    </w:tbl>
    <w:p>
      <w:pPr>
        <w:spacing w:after="0" w:line="10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connection with the GP Buy-In Transaction, the Partnership suspended its distributions to holders of its common units, commencing with respect to the quarter ending March 31, 2020.</w:t>
      </w:r>
    </w:p>
    <w:p>
      <w:pPr>
        <w:spacing w:after="0" w:line="4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With respect to our Subsidiary Series A Preferred Units relating to the three and six months ended June 30, 2020, we declared a payment-in-kind ("PIK") of the quarterly distribution, which resulted in the issuance of 490 Subsidiary Series A Preferred Units and 1,397 Subsidiary Series A Preferred Units, respectively. This PIK amount equates to a distribution of $30.7320 and $17.2579 per Subsidiary Series A Preferred Unit for the three and six months ended June 30, 2020, respectively, or $70 on an annualized basis. In addition, we issued approximately 38 Subsidiary Series A Preferred Units related to the remaining undrawn commitment (as defined in the underlying agreement with TPG Energy Solutions Anthem, L.P.) as of and for the six months ended June 30,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12. EARNINGS PER UNIT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169"/>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per-unit amounts)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 for basic and diluted EPU:</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Allocation of net income (loss) among limited partner interests:</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 attributable to limited partners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58,114</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4,369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63,757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(10,341)</w:t>
            </w: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Less net income attributable to Series A Preferred Units</w:t>
            </w: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14,250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14,250</w:t>
            </w: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net income attributable to Subsidiary Series A Preferred Units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1,397</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2,342</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49"/>
        </w:trPr>
        <w:tc>
          <w:tcPr>
            <w:tcW w:w="5820" w:type="dxa"/>
            <w:vAlign w:val="bottom"/>
          </w:tcPr>
          <w:p>
            <w:pPr>
              <w:ind w:left="260"/>
              <w:spacing w:after="0"/>
              <w:rPr>
                <w:sz w:val="20"/>
                <w:szCs w:val="20"/>
                <w:color w:val="auto"/>
              </w:rPr>
            </w:pPr>
            <w:r>
              <w:rPr>
                <w:rFonts w:ascii="Arial" w:cs="Arial" w:eastAsia="Arial" w:hAnsi="Arial"/>
                <w:sz w:val="18"/>
                <w:szCs w:val="18"/>
                <w:color w:val="auto"/>
              </w:rPr>
              <w:t>Net income (loss) attributable to common limited partners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49,592</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(2,756)</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47,165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(24,591)</w:t>
            </w:r>
          </w:p>
        </w:tc>
      </w:tr>
      <w:tr>
        <w:trPr>
          <w:trHeight w:val="197"/>
        </w:trPr>
        <w:tc>
          <w:tcPr>
            <w:tcW w:w="58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Denominator for basic and diluted EPU:</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units outstanding – basic (1)</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44,650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45,319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44,985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45,319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Effect of nonvested phantom units</w:t>
            </w:r>
          </w:p>
        </w:tc>
        <w:tc>
          <w:tcPr>
            <w:tcW w:w="16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2,087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1,338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10"/>
        </w:trPr>
        <w:tc>
          <w:tcPr>
            <w:tcW w:w="58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Weighted-average common units outstanding – diluted</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46,737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45,319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46,323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45,319</w:t>
            </w: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6"/>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per limited partner unit: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Arial" w:cs="Arial" w:eastAsia="Arial" w:hAnsi="Arial"/>
                <w:sz w:val="18"/>
                <w:szCs w:val="18"/>
                <w:color w:val="auto"/>
              </w:rPr>
              <w:t>Common unit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(0.54)</w:t>
            </w:r>
          </w:p>
        </w:tc>
      </w:tr>
      <w:tr>
        <w:trPr>
          <w:trHeight w:val="216"/>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1.06</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1.02</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5"/>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Nonvested anti-dilutive phantom units excluded from the</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03"/>
        </w:trPr>
        <w:tc>
          <w:tcPr>
            <w:tcW w:w="58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calculation of diluted EPU</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4,139</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3,014</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198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1" w:lineRule="exact"/>
        <w:rPr>
          <w:sz w:val="20"/>
          <w:szCs w:val="20"/>
          <w:color w:val="auto"/>
        </w:rPr>
      </w:pPr>
    </w:p>
    <w:p>
      <w:pPr>
        <w:ind w:right="100" w:firstLine="8"/>
        <w:spacing w:after="0" w:line="260" w:lineRule="auto"/>
        <w:tabs>
          <w:tab w:leader="none" w:pos="243"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a result of the GP Buy-In Transaction, our historical results are those of Summit Investments. The number of common units of 45.3 million represents those of Summit Investments and has been used for the earnings per unit calculations presented herein.</w:t>
      </w:r>
    </w:p>
    <w:p>
      <w:pPr>
        <w:spacing w:after="0" w:line="8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As discussed in Note 9, the SMPH Term Loan is secured by 34.6 million SMLP common units owned by SMP Holdings. These common units are not included in the calculation of EPU because they are not deemed contingently issuable under GAAP.</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UNIT-BASED AND NONCASH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SMLP Long-Term Incentive Plan. </w:t>
      </w:r>
      <w:r>
        <w:rPr>
          <w:rFonts w:ascii="Arial" w:cs="Arial" w:eastAsia="Arial" w:hAnsi="Arial"/>
          <w:sz w:val="18"/>
          <w:szCs w:val="18"/>
          <w:color w:val="auto"/>
        </w:rPr>
        <w:t>The SMLP LTIP provides for equity awards to eligible officers, employees, consultants and directors.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Items to note:</w:t>
      </w:r>
    </w:p>
    <w:p>
      <w:pPr>
        <w:spacing w:after="0" w:line="104" w:lineRule="exact"/>
        <w:rPr>
          <w:sz w:val="20"/>
          <w:szCs w:val="20"/>
          <w:color w:val="auto"/>
        </w:rPr>
      </w:pPr>
    </w:p>
    <w:p>
      <w:pPr>
        <w:ind w:left="800" w:right="140" w:hanging="401"/>
        <w:spacing w:after="0" w:line="256" w:lineRule="auto"/>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March 2020, we granted 3,811,301 phantom units and associated distribution equivalent rights to employees in connection with our annual incentive compensation award cycle. These awards had a grant date fair value of $0.55 and vest ratably over a three-year period.</w:t>
      </w:r>
    </w:p>
    <w:p>
      <w:pPr>
        <w:spacing w:after="0" w:line="93" w:lineRule="exact"/>
        <w:rPr>
          <w:rFonts w:ascii="Arial" w:cs="Arial" w:eastAsia="Arial" w:hAnsi="Arial"/>
          <w:sz w:val="18"/>
          <w:szCs w:val="18"/>
          <w:color w:val="auto"/>
        </w:rPr>
      </w:pPr>
    </w:p>
    <w:p>
      <w:pPr>
        <w:ind w:left="800" w:right="920" w:hanging="401"/>
        <w:spacing w:after="0" w:line="246" w:lineRule="auto"/>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March 2020, we also issued 549,450 common units to our three independent directors in connection with their annual compensation plan.</w:t>
      </w:r>
    </w:p>
    <w:p>
      <w:pPr>
        <w:spacing w:after="0" w:line="88" w:lineRule="exact"/>
        <w:rPr>
          <w:rFonts w:ascii="Arial" w:cs="Arial" w:eastAsia="Arial" w:hAnsi="Arial"/>
          <w:sz w:val="18"/>
          <w:szCs w:val="18"/>
          <w:color w:val="auto"/>
        </w:rPr>
      </w:pPr>
    </w:p>
    <w:p>
      <w:pPr>
        <w:ind w:left="800" w:right="180" w:hanging="401"/>
        <w:spacing w:after="0" w:line="246" w:lineRule="auto"/>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June 2020, we issued 187,500 common units to three new independent directors in connection with their annual compensation plan.</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During the six months ended June 30, 2020, 539,721 phantom units vested.</w:t>
      </w:r>
    </w:p>
    <w:p>
      <w:pPr>
        <w:spacing w:after="0" w:line="117" w:lineRule="exact"/>
        <w:rPr>
          <w:rFonts w:ascii="Arial" w:cs="Arial" w:eastAsia="Arial" w:hAnsi="Arial"/>
          <w:sz w:val="18"/>
          <w:szCs w:val="18"/>
          <w:color w:val="auto"/>
        </w:rPr>
      </w:pPr>
    </w:p>
    <w:p>
      <w:pPr>
        <w:ind w:left="800" w:right="480" w:hanging="401"/>
        <w:spacing w:after="0" w:line="246" w:lineRule="auto"/>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March 2020, we increased the number of common units authorized under the SMLP LTIP to 15,000,000 common units and extended the term of the SMLP LTIP for 10 years.</w:t>
      </w:r>
    </w:p>
    <w:p>
      <w:pPr>
        <w:spacing w:after="0" w:line="75" w:lineRule="exact"/>
        <w:rPr>
          <w:rFonts w:ascii="Arial" w:cs="Arial" w:eastAsia="Arial" w:hAnsi="Arial"/>
          <w:sz w:val="18"/>
          <w:szCs w:val="18"/>
          <w:color w:val="auto"/>
        </w:rPr>
      </w:pPr>
    </w:p>
    <w:p>
      <w:pPr>
        <w:ind w:left="800" w:hanging="401"/>
        <w:spacing w:after="0"/>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 of June 30, 2020, approximately 6.7 million common units remained available for future issuance under the SMLP LTIP.</w:t>
      </w:r>
    </w:p>
    <w:p>
      <w:pPr>
        <w:spacing w:after="0" w:line="108" w:lineRule="exact"/>
        <w:rPr>
          <w:rFonts w:ascii="Arial" w:cs="Arial" w:eastAsia="Arial" w:hAnsi="Arial"/>
          <w:sz w:val="18"/>
          <w:szCs w:val="18"/>
          <w:color w:val="auto"/>
        </w:rPr>
      </w:pPr>
    </w:p>
    <w:p>
      <w:pPr>
        <w:ind w:left="300" w:hanging="292"/>
        <w:spacing w:after="0"/>
        <w:tabs>
          <w:tab w:leader="none" w:pos="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See Notes 1 and 17 of the 2019 Annual Report.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1" w:name="page32"/>
    <w:bookmarkEnd w:id="31"/>
    <w:p>
      <w:pPr>
        <w:ind w:right="6760" w:firstLine="8"/>
        <w:spacing w:after="0" w:line="372" w:lineRule="auto"/>
        <w:tabs>
          <w:tab w:leader="none" w:pos="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Right-of-Use (“ROU”) assets (included in the Property, plant and equipment, net caption on our unaudited condensed consolidated balance sheet) and lease liabilities (included in the Other current liabilities and Other noncurrent liabilities captions on our unaudited condensed consolidated balance sheet) follow: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December 31, 2019</w:t>
            </w:r>
          </w:p>
        </w:tc>
      </w:tr>
      <w:tr>
        <w:trPr>
          <w:trHeight w:val="184"/>
        </w:trPr>
        <w:tc>
          <w:tcPr>
            <w:tcW w:w="7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40" w:type="dxa"/>
            <w:vAlign w:val="bottom"/>
            <w:gridSpan w:val="4"/>
          </w:tcPr>
          <w:p>
            <w:pPr>
              <w:jc w:val="right"/>
              <w:ind w:right="1412"/>
              <w:spacing w:after="0"/>
              <w:rPr>
                <w:sz w:val="20"/>
                <w:szCs w:val="20"/>
                <w:color w:val="auto"/>
              </w:rPr>
            </w:pPr>
            <w:r>
              <w:rPr>
                <w:rFonts w:ascii="Arial" w:cs="Arial" w:eastAsia="Arial" w:hAnsi="Arial"/>
                <w:sz w:val="14"/>
                <w:szCs w:val="14"/>
                <w:b w:val="1"/>
                <w:bCs w:val="1"/>
                <w:color w:val="auto"/>
              </w:rPr>
              <w:t>(In thousands)</w:t>
            </w:r>
          </w:p>
        </w:tc>
      </w:tr>
      <w:tr>
        <w:trPr>
          <w:trHeight w:val="201"/>
        </w:trPr>
        <w:tc>
          <w:tcPr>
            <w:tcW w:w="7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ROU assets</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4,996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3,580</w:t>
            </w: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2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2,253</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3,159</w:t>
            </w:r>
          </w:p>
        </w:tc>
      </w:tr>
      <w:tr>
        <w:trPr>
          <w:trHeight w:val="209"/>
        </w:trPr>
        <w:tc>
          <w:tcPr>
            <w:tcW w:w="7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7,249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6,739</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current</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1,659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1,221</w:t>
            </w: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2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826</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1,246</w:t>
            </w:r>
          </w:p>
        </w:tc>
      </w:tr>
      <w:tr>
        <w:trPr>
          <w:trHeight w:val="209"/>
        </w:trPr>
        <w:tc>
          <w:tcPr>
            <w:tcW w:w="73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2,485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2,467</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noncurrent</w:t>
            </w: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4,120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2,513</w:t>
            </w: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24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676</w:t>
            </w:r>
          </w:p>
        </w:tc>
      </w:tr>
      <w:tr>
        <w:trPr>
          <w:trHeight w:val="223"/>
        </w:trPr>
        <w:tc>
          <w:tcPr>
            <w:tcW w:w="73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4,430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3,189</w:t>
            </w:r>
          </w:p>
        </w:tc>
      </w:tr>
    </w:tbl>
    <w:p>
      <w:pPr>
        <w:spacing w:after="0" w:line="94"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We recognize total lease expense incurred in general and administrative expenses. Lease expense related to operating leases,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5"/>
                <w:szCs w:val="15"/>
                <w:color w:val="auto"/>
              </w:rPr>
            </w:pPr>
          </w:p>
        </w:tc>
        <w:tc>
          <w:tcPr>
            <w:tcW w:w="242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r>
      <w:tr>
        <w:trPr>
          <w:trHeight w:val="209"/>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Lease expense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937</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1,033</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62"/>
              <w:spacing w:after="0"/>
              <w:rPr>
                <w:sz w:val="20"/>
                <w:szCs w:val="20"/>
                <w:color w:val="auto"/>
              </w:rPr>
            </w:pPr>
            <w:r>
              <w:rPr>
                <w:rFonts w:ascii="Arial" w:cs="Arial" w:eastAsia="Arial" w:hAnsi="Arial"/>
                <w:sz w:val="18"/>
                <w:szCs w:val="18"/>
                <w:color w:val="auto"/>
              </w:rPr>
              <w:t>1,890</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2,023</w:t>
            </w:r>
          </w:p>
        </w:tc>
      </w:tr>
    </w:tbl>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we believe that we are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we can provide no assurances that significant environmental remediation costs and liabilities will not be incurred by the Partnership in the future. We are currently not aware of any material contingent liabilities that exist with respect to environmental matters, except as noted below.</w:t>
      </w:r>
    </w:p>
    <w:p>
      <w:pPr>
        <w:spacing w:after="0" w:line="84"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In 2015, we learned of the rupture of a four-inch produced water gathering pipeline on the Meadowlark Midstream system near Williston, North Dakota. The incident, which was covered by insurance policies, was subject to maximum coverage of $25.0 million from its pollution</w:t>
      </w:r>
    </w:p>
    <w:p>
      <w:pPr>
        <w:ind w:right="520"/>
        <w:spacing w:after="0" w:line="261" w:lineRule="auto"/>
        <w:rPr>
          <w:sz w:val="20"/>
          <w:szCs w:val="20"/>
          <w:color w:val="auto"/>
        </w:rPr>
      </w:pPr>
      <w:r>
        <w:rPr>
          <w:rFonts w:ascii="Arial" w:cs="Arial" w:eastAsia="Arial" w:hAnsi="Arial"/>
          <w:sz w:val="18"/>
          <w:szCs w:val="18"/>
          <w:color w:val="auto"/>
        </w:rPr>
        <w:t>liability insurance policy and $200.0 million from its property and business interruption insurance policy. The pollution liability policy was exhausted in 2015.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Partnership’s undiscounted accrued environmental remediation liabilities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9500" w:type="dxa"/>
            <w:vAlign w:val="bottom"/>
            <w:vMerge w:val="restart"/>
          </w:tcPr>
          <w:p>
            <w:pPr>
              <w:spacing w:after="0"/>
              <w:rPr>
                <w:sz w:val="20"/>
                <w:szCs w:val="20"/>
                <w:color w:val="auto"/>
              </w:rPr>
            </w:pPr>
            <w:r>
              <w:rPr>
                <w:rFonts w:ascii="Arial" w:cs="Arial" w:eastAsia="Arial" w:hAnsi="Arial"/>
                <w:sz w:val="18"/>
                <w:szCs w:val="18"/>
                <w:b w:val="1"/>
                <w:bCs w:val="1"/>
                <w:color w:val="auto"/>
              </w:rPr>
              <w:t>Accrued environmental remediation, January 1, 2020</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950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16"/>
        </w:trPr>
        <w:tc>
          <w:tcPr>
            <w:tcW w:w="9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 made</w:t>
            </w: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9500" w:type="dxa"/>
            <w:vAlign w:val="bottom"/>
          </w:tcPr>
          <w:p>
            <w:pPr>
              <w:spacing w:after="0"/>
              <w:rPr>
                <w:sz w:val="20"/>
                <w:szCs w:val="20"/>
                <w:color w:val="auto"/>
              </w:rPr>
            </w:pPr>
            <w:r>
              <w:rPr>
                <w:rFonts w:ascii="Arial" w:cs="Arial" w:eastAsia="Arial" w:hAnsi="Arial"/>
                <w:sz w:val="18"/>
                <w:szCs w:val="18"/>
                <w:b w:val="1"/>
                <w:bCs w:val="1"/>
                <w:color w:val="auto"/>
              </w:rPr>
              <w:t>Accrued environmental remediation, June 30, 2020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of June 30, 2020, we have recognized (i) a current liability for remediation effort expenditures expected to be incurred within the next 12 months and (ii) a noncurrent liability for estimated remediation expenditures and fines expected to be incurred subsequent to June 30, 2021. Each of these amounts represent our best estimate for costs expected to be incurred. Neither of these amounts has been discounted to its present value.</w:t>
      </w:r>
    </w:p>
    <w:p>
      <w:pPr>
        <w:spacing w:after="0" w:line="9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Prior to the GP Buy-In Transaction, Summit Investments and SMP Holdings indemnified the Partnership for certain obligations and liabilities related to the incident. As a result of the GP Buy-In Transaction, the Partnership is no longer indemnified for these obligations by a third party.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2" w:name="page33"/>
    <w:bookmarkEnd w:id="32"/>
    <w:p>
      <w:pPr>
        <w:ind w:right="160"/>
        <w:spacing w:after="0" w:line="238" w:lineRule="auto"/>
        <w:rPr>
          <w:sz w:val="20"/>
          <w:szCs w:val="20"/>
          <w:color w:val="auto"/>
        </w:rPr>
      </w:pPr>
      <w:r>
        <w:rPr>
          <w:rFonts w:ascii="Arial" w:cs="Arial" w:eastAsia="Arial" w:hAnsi="Arial"/>
          <w:sz w:val="18"/>
          <w:szCs w:val="18"/>
          <w:color w:val="auto"/>
        </w:rPr>
        <w:t>The U.S. Department of Justice issued grand jury subpoenas to the Partnership requesting certain materials related to the Meadowlark Midstream rupture. Based on information currently available to the Partnership, the Partnership believes a loss for claims and/or actions arising from the Meadowlark Midstream rupture is probable. Due to the complexity surrounding the resolution of the Meadowlark Midstream rupture, the Partnership is not able to reasonably estimate the extent of the Partnership’s loss for this matter, or to express an opinion regarding the ultimate outcome. Any such loss, if incurred, could be material.</w:t>
      </w:r>
    </w:p>
    <w:p>
      <w:pPr>
        <w:spacing w:after="0" w:line="72"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b w:val="1"/>
          <w:bCs w:val="1"/>
          <w:i w:val="1"/>
          <w:iCs w:val="1"/>
          <w:color w:val="auto"/>
        </w:rPr>
        <w:t xml:space="preserve">Legal Proceedings. </w:t>
      </w:r>
      <w:r>
        <w:rPr>
          <w:rFonts w:ascii="Arial" w:cs="Arial" w:eastAsia="Arial" w:hAnsi="Arial"/>
          <w:sz w:val="17"/>
          <w:szCs w:val="17"/>
          <w:color w:val="auto"/>
        </w:rPr>
        <w:t>The Partnership is involved in various litigation and administrative proceedings arising in the normal course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 the opinion of management, any liabilities that may result from these claims or those arising in the normal course of business would not individually or in the aggregate have a material adverse effect on the Partnership's financial position or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DISPOSITIONS AND RESTRUCTURING</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Tioga Midstream Disposition. </w:t>
      </w:r>
      <w:r>
        <w:rPr>
          <w:rFonts w:ascii="Arial" w:cs="Arial" w:eastAsia="Arial" w:hAnsi="Arial"/>
          <w:sz w:val="18"/>
          <w:szCs w:val="18"/>
          <w:color w:val="auto"/>
        </w:rPr>
        <w:t>In February 2019, Tioga Midstream, LLC, a subsidiary of SMLP, and certain affiliates of SMLP (collectively,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“Summit”) entered into two Purchase and Sale Agreements (the “Tioga PSAs”) with Hess Infrastructure Partners LP and Hess North Dakota Pipelines LLC (collectively, “Hess Infrastructure”), pursuant to which Summit agreed to sell the Tioga Midstream system to Hess Infrastructure for a combined cash purchase price of $90 million, subject to adjustments as provided in the Tioga PSAs (the “Tioga Midstream Sale”). On March 22, 2019, Summit closed the Tioga Midstream Sale and recorded a gain on sale of $ 0.9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our unaudited condensed consolidated financial statements and footnotes for the period from January 1, 2019 through March 22, 2019.</w:t>
      </w:r>
    </w:p>
    <w:p>
      <w:pPr>
        <w:spacing w:after="0" w:line="7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2016 Drop Down. </w:t>
      </w:r>
      <w:r>
        <w:rPr>
          <w:rFonts w:ascii="Arial" w:cs="Arial" w:eastAsia="Arial" w:hAnsi="Arial"/>
          <w:sz w:val="18"/>
          <w:szCs w:val="18"/>
          <w:color w:val="auto"/>
        </w:rPr>
        <w:t>In 2016, SMLP acquired a controlling interest in OpCo, the entity which owns the 2016 Drop Down Assets. The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paid and recognized in connection with the 2016 Drop Down (i) consisted of a cash payment to SMP Holdings of $360.0 million funded with borrowings under our Revolving Credit Facility and a $0.6 million working capital adjustment received in June 2016 and (ii) includes the Deferred Purchase Price Obligation payment due in 2020.</w:t>
      </w:r>
    </w:p>
    <w:p>
      <w:pPr>
        <w:spacing w:after="0" w:line="7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As a result of the GP Buy-In Transaction (Refer to Note 1 for additional details), SMP Holdings transferred its right to receive payment of the Deferred Purchase Price Obligation under the Contribution Agreement. Under the Contribution Agreement, the Partnership is now required to pay the remaining consideration under the Contribution Agreement to its subsidiary, Summit Contribution Holdings, LLC, by January 15, 2022. Because this obligation is owed to the Partnership’s own subsidiary, the unaudited condensed consolidated balance sheet as of June 30, 2020 and December 31, 2019 reflects no liabilities associated with this obligation.</w:t>
      </w:r>
    </w:p>
    <w:p>
      <w:pPr>
        <w:spacing w:after="0" w:line="7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b w:val="1"/>
          <w:bCs w:val="1"/>
          <w:i w:val="1"/>
          <w:iCs w:val="1"/>
          <w:color w:val="auto"/>
        </w:rPr>
        <w:t xml:space="preserve">Restructuring Activities. </w:t>
      </w:r>
      <w:r>
        <w:rPr>
          <w:rFonts w:ascii="Arial" w:cs="Arial" w:eastAsia="Arial" w:hAnsi="Arial"/>
          <w:sz w:val="18"/>
          <w:szCs w:val="18"/>
          <w:color w:val="auto"/>
        </w:rPr>
        <w:t>As of December 31, 2019, we had $3.3 million of unpaid employee severance costs related to 2019 restructuring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initiatives that resulted in certain management, facility and organizational changes. During the three- and six-month periods ended June 30, 2020, our 2019 restructuring initiatives resulted in additional restructuring costs of $0.6 million and $3.3 million, respectively. We paid out $5.7 million of these 2019 restructuring costs during the six months ended June 30, 2020 and have a $0.9 million current liability for unpaid employee severance costs at June 30, 2020 related to these 2019 restructuring initiatives. The 2019 restructuring activities primarily consisted of employee-related costs and consulting costs in support of the restructuring initiatives. Restructuring costs are included within the General and administrative caption on the condensed consolidated statement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6"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have evaluated subsequent events for recognition or disclosure in the unaudited condensed consolidated financial statements and no events have occurred that require recognition or disclosure, except for the following.</w:t>
      </w:r>
    </w:p>
    <w:p>
      <w:pPr>
        <w:spacing w:after="0" w:line="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Exchange Offer expired on July 28, 2020 and the Partnership exchanged 62,816 Series A Preferred Units at a ratio of 200 common units per Series A Preferred Unit for a total of 12,563,200 common units, subject to applicable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withholding taxes. Upon completion of the Exchange Offer, 237,184 Series A Preferred Units were not tendered and remain outstanding.</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Subsequent to June 30, 2020 and through August 6, 2020, we have repurchased approximately $5.9 million face value of Summit Holdings and Finance Corp 5.5% senior unsecured notes due August 2022 at a weighted average 34% discount for approximately $3.9 million in cash.</w:t>
      </w:r>
    </w:p>
    <w:p>
      <w:pPr>
        <w:spacing w:after="0" w:line="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August 7, 2020, we repaid all amounts outstanding under the ECP Loans which included $35 million of principal and $0.6 million of accrued interest. The ECP Loan repayment was financed in full with borrowings drawn under our Revolving Credit Facility.</w:t>
      </w:r>
    </w:p>
    <w:p>
      <w:pPr>
        <w:spacing w:after="0" w:line="200" w:lineRule="exact"/>
        <w:rPr>
          <w:sz w:val="20"/>
          <w:szCs w:val="20"/>
          <w:color w:val="auto"/>
        </w:rPr>
      </w:pPr>
    </w:p>
    <w:p>
      <w:pPr>
        <w:spacing w:after="0" w:line="2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476" w:right="51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inform the reader about matters affecting the financial condition and results of operations of SMLP and its subsidiaries for the periods since December 31, 2019.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2019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This MD&amp;A comprises the following sections:</w:t>
      </w:r>
    </w:p>
    <w:p>
      <w:pPr>
        <w:spacing w:after="0" w:line="104" w:lineRule="exact"/>
        <w:rPr>
          <w:sz w:val="20"/>
          <w:szCs w:val="20"/>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Overview</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Trends and Outlook</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How We Evaluate Our Operations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 are a value-oriented limited partnership focused on developing, owning and operating midstream energy infrastructure assets that are strategically located in unconventional resource basins, primarily shale formations, in the continental United States.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midstream energy infrastructure assets into two categories:</w:t>
      </w:r>
    </w:p>
    <w:p>
      <w:pPr>
        <w:spacing w:after="0" w:line="104" w:lineRule="exact"/>
        <w:rPr>
          <w:sz w:val="20"/>
          <w:szCs w:val="20"/>
          <w:color w:val="auto"/>
        </w:rPr>
      </w:pPr>
    </w:p>
    <w:p>
      <w:pPr>
        <w:ind w:left="800" w:right="60" w:hanging="401"/>
        <w:spacing w:after="0" w:line="23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Core Focus Areas – core producing areas of basins in which we expect our gathering systems to experience greater long-term growth, driven by 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94" w:lineRule="exact"/>
        <w:rPr>
          <w:rFonts w:ascii="Arial" w:cs="Arial" w:eastAsia="Arial" w:hAnsi="Arial"/>
          <w:sz w:val="18"/>
          <w:szCs w:val="18"/>
          <w:color w:val="auto"/>
        </w:rPr>
      </w:pPr>
    </w:p>
    <w:p>
      <w:pPr>
        <w:ind w:left="800" w:right="200" w:hanging="401"/>
        <w:spacing w:after="0" w:line="237"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Legacy Areas – production basins in which we expect volume throughput on our gathering systems to experience relatively lower long-term growth 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reduce our near-term capital expenditures in these Legacy Areas. Our Piceance Basin, Barnett Shale and Marcellus Shale reportable segments (as described below) comprise our Legacy Areas.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right="160"/>
        <w:spacing w:after="0" w:line="246" w:lineRule="auto"/>
        <w:rPr>
          <w:sz w:val="20"/>
          <w:szCs w:val="20"/>
          <w:color w:val="auto"/>
        </w:rPr>
      </w:pPr>
      <w:r>
        <w:rPr>
          <w:rFonts w:ascii="Arial" w:cs="Arial" w:eastAsia="Arial" w:hAnsi="Arial"/>
          <w:sz w:val="18"/>
          <w:szCs w:val="18"/>
          <w:color w:val="auto"/>
        </w:rPr>
        <w:t>We are the owner-operator of or have significant ownership interests in the following gathering and transportation systems, which comprise our Core Focus Areas:</w:t>
      </w:r>
    </w:p>
    <w:p>
      <w:pPr>
        <w:spacing w:after="0" w:line="89" w:lineRule="exact"/>
        <w:rPr>
          <w:sz w:val="20"/>
          <w:szCs w:val="20"/>
          <w:color w:val="auto"/>
        </w:rPr>
      </w:pPr>
    </w:p>
    <w:p>
      <w:pPr>
        <w:ind w:left="800" w:right="36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22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46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42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10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 southeastern Wyoming;</w:t>
      </w:r>
    </w:p>
    <w:p>
      <w:pPr>
        <w:spacing w:after="0" w:line="88" w:lineRule="exact"/>
        <w:rPr>
          <w:rFonts w:ascii="Arial" w:cs="Arial" w:eastAsia="Arial" w:hAnsi="Arial"/>
          <w:sz w:val="18"/>
          <w:szCs w:val="18"/>
          <w:color w:val="auto"/>
        </w:rPr>
      </w:pPr>
    </w:p>
    <w:p>
      <w:pPr>
        <w:ind w:left="800" w:right="36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 and</w:t>
      </w:r>
    </w:p>
    <w:p>
      <w:pPr>
        <w:spacing w:after="0" w:line="88" w:lineRule="exact"/>
        <w:rPr>
          <w:rFonts w:ascii="Arial" w:cs="Arial" w:eastAsia="Arial" w:hAnsi="Arial"/>
          <w:sz w:val="18"/>
          <w:szCs w:val="18"/>
          <w:color w:val="auto"/>
        </w:rPr>
      </w:pPr>
    </w:p>
    <w:p>
      <w:pPr>
        <w:ind w:left="800" w:right="340" w:hanging="401"/>
        <w:spacing w:after="0" w:line="246"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Double E, a 1.35 Bcf/d natural gas transmission pipeline that is under development and will provide transportation service from multiple receipt points in the Delaware Basin to various delivery points in and around the Waha Hub in Texas.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are the owner-operator of the following gathering systems, which comprise our Legacy Areas:</w:t>
      </w:r>
    </w:p>
    <w:p>
      <w:pPr>
        <w:spacing w:after="0" w:line="104" w:lineRule="exact"/>
        <w:rPr>
          <w:sz w:val="20"/>
          <w:szCs w:val="20"/>
          <w:color w:val="auto"/>
        </w:rPr>
      </w:pPr>
    </w:p>
    <w:p>
      <w:pPr>
        <w:ind w:left="800" w:right="52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w:t>
      </w:r>
    </w:p>
    <w:p>
      <w:pPr>
        <w:spacing w:after="0" w:line="88" w:lineRule="exact"/>
        <w:rPr>
          <w:rFonts w:ascii="Arial" w:cs="Arial" w:eastAsia="Arial" w:hAnsi="Arial"/>
          <w:sz w:val="18"/>
          <w:szCs w:val="18"/>
          <w:color w:val="auto"/>
        </w:rPr>
      </w:pPr>
    </w:p>
    <w:p>
      <w:pPr>
        <w:ind w:left="800" w:right="16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88" w:lineRule="exact"/>
        <w:rPr>
          <w:rFonts w:ascii="Arial" w:cs="Arial" w:eastAsia="Arial" w:hAnsi="Arial"/>
          <w:sz w:val="18"/>
          <w:szCs w:val="18"/>
          <w:color w:val="auto"/>
        </w:rPr>
      </w:pPr>
    </w:p>
    <w:p>
      <w:pPr>
        <w:ind w:left="800" w:right="220" w:hanging="401"/>
        <w:spacing w:after="0" w:line="24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89"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For additional information on our organization and systems, see Notes 1 and 4 to the unaudited condensed consolidated financial statements.</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revenues from the following activities that directly expose us to fluctuations in commodity prices: (i) the sale of physical natural gas and/or NGLs purchased under percentage-of-proceeds or other processing arrangements with certain of our customers on the Bison Midstream, Grand River and Summit Permian systems, (ii) the sale of natural gas we retain from certain DFW Midstream customers and (iii) the sale of condensate we retain from our gathering services at Grand River. During the three and six months ended June 30, 2020, these additional activities accounted for approximately 12% of total revenues.</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6" w:name="page37"/>
    <w:bookmarkEnd w:id="36"/>
    <w:p>
      <w:pPr>
        <w:ind w:right="720"/>
        <w:spacing w:after="0" w:line="246"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Three and Six Months Ended June 30, 2020 and 2019" section herein.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5"/>
                <w:szCs w:val="15"/>
                <w:color w:val="auto"/>
              </w:rPr>
            </w:pPr>
          </w:p>
        </w:tc>
        <w:tc>
          <w:tcPr>
            <w:tcW w:w="2460" w:type="dxa"/>
            <w:vAlign w:val="bottom"/>
            <w:gridSpan w:val="3"/>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69"/>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56,721</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3,028</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60,483</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(37,252)</w:t>
            </w: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Utica Shale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10,693</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6,640</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16,621</w:t>
            </w:r>
          </w:p>
        </w:tc>
        <w:tc>
          <w:tcPr>
            <w:tcW w:w="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12,833</w:t>
            </w: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Ohio Gathering</w:t>
            </w:r>
          </w:p>
        </w:tc>
        <w:tc>
          <w:tcPr>
            <w:tcW w:w="22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7,514</w:t>
            </w: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9,939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15,453</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19,149</w:t>
            </w:r>
          </w:p>
        </w:tc>
      </w:tr>
      <w:tr>
        <w:trPr>
          <w:trHeight w:val="216"/>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Williston Basin</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12,727</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16,650</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28,919</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35,384</w:t>
            </w: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DJ Basin</w:t>
            </w:r>
          </w:p>
        </w:tc>
        <w:tc>
          <w:tcPr>
            <w:tcW w:w="22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4,339</w:t>
            </w: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2,816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10,250</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5,489</w:t>
            </w:r>
          </w:p>
        </w:tc>
      </w:tr>
      <w:tr>
        <w:trPr>
          <w:trHeight w:val="216"/>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Permian Basin</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1,828</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3,409</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Piceance Basin</w:t>
            </w:r>
          </w:p>
        </w:tc>
        <w:tc>
          <w:tcPr>
            <w:tcW w:w="22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21,734</w:t>
            </w: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24,584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45,291</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50,583</w:t>
            </w:r>
          </w:p>
        </w:tc>
      </w:tr>
      <w:tr>
        <w:trPr>
          <w:trHeight w:val="216"/>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Barnett Shale</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8,510</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11,208</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17,270</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22,582</w:t>
            </w: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Marcellus Shale</w:t>
            </w:r>
          </w:p>
        </w:tc>
        <w:tc>
          <w:tcPr>
            <w:tcW w:w="22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4,888</w:t>
            </w: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4,635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10,208</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9,777</w:t>
            </w:r>
          </w:p>
        </w:tc>
      </w:tr>
      <w:tr>
        <w:trPr>
          <w:trHeight w:val="216"/>
        </w:trPr>
        <w:tc>
          <w:tcPr>
            <w:tcW w:w="5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35,170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39,381</w:t>
            </w: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105,371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84,574</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(1)</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8,843</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50,244</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27,426</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111,092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Investment in equity method investee</w:t>
            </w:r>
          </w:p>
        </w:tc>
        <w:tc>
          <w:tcPr>
            <w:tcW w:w="22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21,695</w:t>
            </w:r>
          </w:p>
        </w:tc>
        <w:tc>
          <w:tcPr>
            <w:tcW w:w="3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5,921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79,728</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5,921</w:t>
            </w:r>
          </w:p>
        </w:tc>
      </w:tr>
      <w:tr>
        <w:trPr>
          <w:trHeight w:val="216"/>
        </w:trPr>
        <w:tc>
          <w:tcPr>
            <w:tcW w:w="5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Distributions to common SMLP unitholders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13,826</w:t>
            </w: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6,037</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41,200</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Series A Preferred unitholders</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14,250</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14,250</w:t>
            </w:r>
          </w:p>
        </w:tc>
      </w:tr>
      <w:tr>
        <w:trPr>
          <w:trHeight w:val="215"/>
        </w:trPr>
        <w:tc>
          <w:tcPr>
            <w:tcW w:w="5400" w:type="dxa"/>
            <w:vAlign w:val="bottom"/>
          </w:tcPr>
          <w:p>
            <w:pPr>
              <w:spacing w:after="0"/>
              <w:rPr>
                <w:sz w:val="20"/>
                <w:szCs w:val="20"/>
                <w:color w:val="auto"/>
              </w:rPr>
            </w:pPr>
            <w:r>
              <w:rPr>
                <w:rFonts w:ascii="Arial" w:cs="Arial" w:eastAsia="Arial" w:hAnsi="Arial"/>
                <w:sz w:val="18"/>
                <w:szCs w:val="18"/>
                <w:color w:val="auto"/>
              </w:rPr>
              <w:t>Net borrowings (repayments) under Revolving</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5400" w:type="dxa"/>
            <w:vAlign w:val="bottom"/>
          </w:tcPr>
          <w:p>
            <w:pPr>
              <w:ind w:left="200"/>
              <w:spacing w:after="0" w:line="203" w:lineRule="exact"/>
              <w:rPr>
                <w:sz w:val="20"/>
                <w:szCs w:val="20"/>
                <w:color w:val="auto"/>
              </w:rPr>
            </w:pPr>
            <w:r>
              <w:rPr>
                <w:rFonts w:ascii="Arial" w:cs="Arial" w:eastAsia="Arial" w:hAnsi="Arial"/>
                <w:sz w:val="18"/>
                <w:szCs w:val="18"/>
                <w:color w:val="auto"/>
              </w:rPr>
              <w:t>Credit Facility</w:t>
            </w:r>
          </w:p>
        </w:tc>
        <w:tc>
          <w:tcPr>
            <w:tcW w:w="220" w:type="dxa"/>
            <w:vAlign w:val="bottom"/>
          </w:tcPr>
          <w:p>
            <w:pPr>
              <w:spacing w:after="0"/>
              <w:rPr>
                <w:sz w:val="17"/>
                <w:szCs w:val="17"/>
                <w:color w:val="auto"/>
              </w:rPr>
            </w:pPr>
          </w:p>
        </w:tc>
        <w:tc>
          <w:tcPr>
            <w:tcW w:w="1180" w:type="dxa"/>
            <w:vAlign w:val="bottom"/>
          </w:tcPr>
          <w:p>
            <w:pPr>
              <w:jc w:val="right"/>
              <w:ind w:right="72"/>
              <w:spacing w:after="0" w:line="203" w:lineRule="exact"/>
              <w:rPr>
                <w:sz w:val="20"/>
                <w:szCs w:val="20"/>
                <w:color w:val="auto"/>
              </w:rPr>
            </w:pPr>
            <w:r>
              <w:rPr>
                <w:rFonts w:ascii="Arial" w:cs="Arial" w:eastAsia="Arial" w:hAnsi="Arial"/>
                <w:sz w:val="18"/>
                <w:szCs w:val="18"/>
                <w:color w:val="auto"/>
              </w:rPr>
              <w:t>35,000</w:t>
            </w:r>
          </w:p>
        </w:tc>
        <w:tc>
          <w:tcPr>
            <w:tcW w:w="3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139,000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Arial" w:cs="Arial" w:eastAsia="Arial" w:hAnsi="Arial"/>
                <w:sz w:val="18"/>
                <w:szCs w:val="18"/>
                <w:color w:val="auto"/>
              </w:rPr>
              <w:t>56,000</w:t>
            </w:r>
          </w:p>
        </w:tc>
        <w:tc>
          <w:tcPr>
            <w:tcW w:w="380" w:type="dxa"/>
            <w:vAlign w:val="bottom"/>
          </w:tcPr>
          <w:p>
            <w:pPr>
              <w:spacing w:after="0"/>
              <w:rPr>
                <w:sz w:val="17"/>
                <w:szCs w:val="17"/>
                <w:color w:val="auto"/>
              </w:rPr>
            </w:pPr>
          </w:p>
        </w:tc>
        <w:tc>
          <w:tcPr>
            <w:tcW w:w="10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107,000</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Repayments on SMP Holdings term loan</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w:t>
            </w: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(41,500)</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(6,300)</w:t>
            </w: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Repurchase of Senior Notes</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(76,707)</w:t>
            </w:r>
          </w:p>
        </w:tc>
        <w:tc>
          <w:tcPr>
            <w:tcW w:w="3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(76,707)</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Subsidiary Series A</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03"/>
        </w:trPr>
        <w:tc>
          <w:tcPr>
            <w:tcW w:w="54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preferred units, net of costs (2)</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72"/>
              <w:spacing w:after="0" w:line="203" w:lineRule="exact"/>
              <w:rPr>
                <w:sz w:val="20"/>
                <w:szCs w:val="20"/>
                <w:color w:val="auto"/>
              </w:rPr>
            </w:pPr>
            <w:r>
              <w:rPr>
                <w:rFonts w:ascii="Arial" w:cs="Arial" w:eastAsia="Arial" w:hAnsi="Arial"/>
                <w:sz w:val="18"/>
                <w:szCs w:val="18"/>
                <w:color w:val="auto"/>
              </w:rPr>
              <w:t>14,764</w:t>
            </w:r>
          </w:p>
        </w:tc>
        <w:tc>
          <w:tcPr>
            <w:tcW w:w="3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2"/>
              <w:spacing w:after="0" w:line="203" w:lineRule="exact"/>
              <w:rPr>
                <w:sz w:val="20"/>
                <w:szCs w:val="20"/>
                <w:color w:val="auto"/>
              </w:rPr>
            </w:pPr>
            <w:r>
              <w:rPr>
                <w:rFonts w:ascii="Arial" w:cs="Arial" w:eastAsia="Arial" w:hAnsi="Arial"/>
                <w:sz w:val="18"/>
                <w:szCs w:val="18"/>
                <w:color w:val="auto"/>
              </w:rPr>
              <w:t>48,710</w:t>
            </w:r>
          </w:p>
        </w:tc>
        <w:tc>
          <w:tcPr>
            <w:tcW w:w="3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r>
      <w:tr>
        <w:trPr>
          <w:trHeight w:val="215"/>
        </w:trPr>
        <w:tc>
          <w:tcPr>
            <w:tcW w:w="5400" w:type="dxa"/>
            <w:vAlign w:val="bottom"/>
          </w:tcPr>
          <w:p>
            <w:pPr>
              <w:spacing w:after="0"/>
              <w:rPr>
                <w:sz w:val="20"/>
                <w:szCs w:val="20"/>
                <w:color w:val="auto"/>
              </w:rPr>
            </w:pPr>
            <w:r>
              <w:rPr>
                <w:rFonts w:ascii="Arial" w:cs="Arial" w:eastAsia="Arial" w:hAnsi="Arial"/>
                <w:sz w:val="18"/>
                <w:szCs w:val="18"/>
                <w:color w:val="auto"/>
              </w:rPr>
              <w:t>Purchase of common units in GP Buy-In</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5400" w:type="dxa"/>
            <w:vAlign w:val="bottom"/>
          </w:tcPr>
          <w:p>
            <w:pPr>
              <w:ind w:left="200"/>
              <w:spacing w:after="0"/>
              <w:rPr>
                <w:sz w:val="20"/>
                <w:szCs w:val="20"/>
                <w:color w:val="auto"/>
              </w:rPr>
            </w:pPr>
            <w:r>
              <w:rPr>
                <w:rFonts w:ascii="Arial" w:cs="Arial" w:eastAsia="Arial" w:hAnsi="Arial"/>
                <w:sz w:val="18"/>
                <w:szCs w:val="18"/>
                <w:color w:val="auto"/>
              </w:rPr>
              <w:t>Transaction (3)</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(41,778)</w:t>
            </w:r>
          </w:p>
        </w:tc>
        <w:tc>
          <w:tcPr>
            <w:tcW w:w="3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(41,778)</w:t>
            </w:r>
          </w:p>
        </w:tc>
        <w:tc>
          <w:tcPr>
            <w:tcW w:w="3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bl>
    <w:p>
      <w:pPr>
        <w:spacing w:after="0" w:line="29" w:lineRule="exact"/>
        <w:rPr>
          <w:sz w:val="20"/>
          <w:szCs w:val="20"/>
          <w:color w:val="auto"/>
        </w:rPr>
      </w:pPr>
    </w:p>
    <w:p>
      <w:pPr>
        <w:ind w:right="420" w:firstLine="8"/>
        <w:spacing w:after="0" w:line="260" w:lineRule="auto"/>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"Liquidity and Capital Resources" herein and Note 4 to the unaudited condensed consolidated financial statements for additional information on capital expenditures.</w:t>
      </w:r>
    </w:p>
    <w:p>
      <w:pPr>
        <w:spacing w:after="0" w:line="6"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Reflects proceeds from the issuance of Subsidiary Series A Preferred Units.</w:t>
      </w:r>
    </w:p>
    <w:p>
      <w:pPr>
        <w:spacing w:after="0" w:line="45" w:lineRule="exact"/>
        <w:rPr>
          <w:rFonts w:ascii="Arial" w:cs="Arial" w:eastAsia="Arial" w:hAnsi="Arial"/>
          <w:sz w:val="16"/>
          <w:szCs w:val="16"/>
          <w:color w:val="auto"/>
        </w:rPr>
      </w:pPr>
    </w:p>
    <w:p>
      <w:pPr>
        <w:ind w:right="140" w:firstLine="8"/>
        <w:spacing w:after="0" w:line="249" w:lineRule="auto"/>
        <w:tabs>
          <w:tab w:leader="none" w:pos="243"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Following the closing of the GP Buy-In Transaction, in May 2020, we commenced a debt buyback program on our Senior Notes, which is ongoing. We repurchased $25.8 million of the outstanding $300 million aggregate principal amount of our 5.50% Senior Notes through June 30, 2020. The gain on early extinguishment of debt for the 5.50% Senior Notes during the three and six months ended June 30, 2020 totaled $9.2 million and is inclusive of the write off of debt issuance costs of $0.1 million. We also repurchased $106.2 million of the outstanding $500 million aggregate principal amount of our 5.75% Senior Notes through June 30, 2020. The gain on early extinguishment of debt for the 5.75% Senior Notes during the three and six months ended June 30, 2020 totaled $45.1 million and is inclusive of the write off of debt issuance costs of $1.0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and six months ended June 30, 2020. </w:t>
      </w:r>
      <w:r>
        <w:rPr>
          <w:rFonts w:ascii="Arial" w:cs="Arial" w:eastAsia="Arial" w:hAnsi="Arial"/>
          <w:sz w:val="18"/>
          <w:szCs w:val="18"/>
          <w:color w:val="auto"/>
        </w:rPr>
        <w:t>The following items are reflected in our financial results:</w:t>
      </w:r>
    </w:p>
    <w:p>
      <w:pPr>
        <w:spacing w:after="0" w:line="139" w:lineRule="exact"/>
        <w:rPr>
          <w:sz w:val="20"/>
          <w:szCs w:val="20"/>
          <w:color w:val="auto"/>
        </w:rPr>
      </w:pPr>
    </w:p>
    <w:p>
      <w:pPr>
        <w:ind w:left="800" w:right="100" w:hanging="401"/>
        <w:spacing w:after="0" w:line="246"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May 2020, we closed on the GP Buy-In Transaction. Refer to Note 1 of the notes to unaudited condensed consolidated financial statements for details.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and six months ended June 30, 2019. </w:t>
      </w:r>
      <w:r>
        <w:rPr>
          <w:rFonts w:ascii="Arial" w:cs="Arial" w:eastAsia="Arial" w:hAnsi="Arial"/>
          <w:sz w:val="18"/>
          <w:szCs w:val="18"/>
          <w:color w:val="auto"/>
        </w:rPr>
        <w:t>The following items are reflected in our financial results:</w:t>
      </w:r>
    </w:p>
    <w:p>
      <w:pPr>
        <w:spacing w:after="0" w:line="139" w:lineRule="exact"/>
        <w:rPr>
          <w:sz w:val="20"/>
          <w:szCs w:val="20"/>
          <w:color w:val="auto"/>
        </w:rPr>
      </w:pPr>
    </w:p>
    <w:p>
      <w:pPr>
        <w:ind w:left="800" w:right="68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June 2019, we decided to proceed with the Double E Project after securing firm 10-year take-or-pay commitments for a substantial majority of the pipeline’s initial throughput capacity of 1.35 billion cubic feet of gas per day and executing the JV Agreement with an affiliate of Double E’s foundation shipper.</w:t>
      </w:r>
    </w:p>
    <w:p>
      <w:pPr>
        <w:spacing w:after="0" w:line="94" w:lineRule="exact"/>
        <w:rPr>
          <w:rFonts w:ascii="Arial" w:cs="Arial" w:eastAsia="Arial" w:hAnsi="Arial"/>
          <w:sz w:val="18"/>
          <w:szCs w:val="18"/>
          <w:color w:val="auto"/>
        </w:rPr>
      </w:pPr>
    </w:p>
    <w:p>
      <w:pPr>
        <w:ind w:left="800" w:right="20"/>
        <w:spacing w:after="0" w:line="238" w:lineRule="auto"/>
        <w:rPr>
          <w:rFonts w:ascii="Arial" w:cs="Arial" w:eastAsia="Arial" w:hAnsi="Arial"/>
          <w:sz w:val="18"/>
          <w:szCs w:val="18"/>
          <w:color w:val="auto"/>
        </w:rPr>
      </w:pPr>
      <w:r>
        <w:rPr>
          <w:rFonts w:ascii="Arial" w:cs="Arial" w:eastAsia="Arial" w:hAnsi="Arial"/>
          <w:sz w:val="18"/>
          <w:szCs w:val="18"/>
          <w:color w:val="auto"/>
        </w:rPr>
        <w:t>In connection with the Double E Project, Summit Permian Transmission contributed total assets of approximately $23.6 million for a 70% ownership interest in Double E. We own a majority interest in the Double E Project and are leading efforts to develop, permit and construct the pipeline. Upon commissioning, we will operate the pipeline. We estimate that our share of the capital expenditures required to develop the Double E Project will total approximately $350.0 million, and that more than 90% of those capital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ind w:left="800" w:right="180"/>
        <w:spacing w:after="0" w:line="246" w:lineRule="auto"/>
        <w:rPr>
          <w:sz w:val="20"/>
          <w:szCs w:val="20"/>
          <w:color w:val="auto"/>
        </w:rPr>
      </w:pPr>
      <w:r>
        <w:rPr>
          <w:rFonts w:ascii="Arial" w:cs="Arial" w:eastAsia="Arial" w:hAnsi="Arial"/>
          <w:sz w:val="18"/>
          <w:szCs w:val="18"/>
          <w:color w:val="auto"/>
        </w:rPr>
        <w:t>expenditures will be incurred in 2020 and 2021. Assuming timely receipt of the requisite regulatory approvals, we expect that the Double E Project will be placed into service in the third quarter of 2021.</w:t>
      </w:r>
    </w:p>
    <w:p>
      <w:pPr>
        <w:spacing w:after="0" w:line="89" w:lineRule="exact"/>
        <w:rPr>
          <w:sz w:val="20"/>
          <w:szCs w:val="20"/>
          <w:color w:val="auto"/>
        </w:rPr>
      </w:pPr>
    </w:p>
    <w:p>
      <w:pPr>
        <w:ind w:left="800" w:hanging="401"/>
        <w:spacing w:after="0" w:line="23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March 2019, we sold the Tioga Midstream system to affiliates of Hess Infrastructure Partners LP for a combined cash purchase price of approximately $90 million and recorded a gain on sale of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our unaudited condensed consolidated financial statements and footnotes for the period from January 1, 2019 through March 22, 2019.</w:t>
      </w:r>
    </w:p>
    <w:p>
      <w:pPr>
        <w:spacing w:after="0" w:line="96" w:lineRule="exact"/>
        <w:rPr>
          <w:rFonts w:ascii="Arial" w:cs="Arial" w:eastAsia="Arial" w:hAnsi="Arial"/>
          <w:sz w:val="18"/>
          <w:szCs w:val="18"/>
          <w:color w:val="auto"/>
        </w:rPr>
      </w:pPr>
    </w:p>
    <w:p>
      <w:pPr>
        <w:ind w:left="800" w:right="40" w:hanging="401"/>
        <w:spacing w:after="0" w:line="237"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March 2019, certain events occurred which indicated that certain long-lived assets in the DJ Basin and Barnett Shale reporting segments could be impaired. Consequently, we performed a recoverability assessment of certain assets within these reporting segments. In the DJ Basin, we determined certain processing plant assets related to our existing 20 MMcf/d plant would no longer be operational due to our expansion plans for the Niobrara G&amp;P system and we recorded an impairment charge of $34.7 million related to these assets. In the Barnett Shale, we determined certain compressor station assets were impaired and recorded an impairment charge of $10.2 million.</w:t>
      </w:r>
    </w:p>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Trends and Outlook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04" w:lineRule="exact"/>
        <w:rPr>
          <w:sz w:val="20"/>
          <w:szCs w:val="20"/>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Natural gas, NGL and crude oil supply and demand dynamics;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from U.S. shale plays;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markets availability and cost of capital;</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Shifts in operating costs and inflation;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Ongoing impact of the COVID-19 pandemic and reduced demand and prices for oil.</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closely monitoring the impact of the outbreak of COVID-19 on all aspects of our business, including how it has impacted and will impact our customers, employees, supply chain and distribution network. While COVID-19 did not have a material adverse effect on our reported results for the first six months of 2020, we are unable to predict the ultimate impact that COVID-19 and related factors may have on our business, future results of operations, financial position or cash flows. Given the dynamic nature of the COVID-19 pandemic and related market conditions, we cannot reasonably estimate the period of time that these events will persist or the full extent of the impact they will have on our business. The extent to which our operations may be impacted by the COVID-19 pandemic will depend largely on future developments, which are highly uncertain and cannot be accurately predicted, including changes in the severity of the pandemic, countermeasures taken by governments, businesses and individuals to slow the spread of the pandemic, and the ability of pharmaceutical companies to develop effective and safe vaccines and therapeutic drugs. Furthermore, the impacts of a potential worsening of global economic conditions and the continued disruptions to and volatility in the financial markets remain unknown.</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response to the COVID-19 pandemic, we have modified our business practices, including restricting employee travel, modifying employee work locations, implementing social distancing and enhancing sanitary measures in our facilities. Many of our suppliers, vendors and service providers have made similar modifications. The resources available to employees working remotely may not enable them to maintain the same level of productivity and efficiency, and these and other employees may face additional demands on their time.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 There is no certainty that such measures will be sufficient to mitigate the risks posed by the virus, in which case our employees may become sick, our ability to perform critical functions could be harmed, and we may be unable to respond to the needs of our business. The resumption of normal business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38" w:name="page39"/>
    <w:bookmarkEnd w:id="38"/>
    <w:p>
      <w:pPr>
        <w:ind w:right="500"/>
        <w:spacing w:after="0" w:line="246" w:lineRule="auto"/>
        <w:rPr>
          <w:sz w:val="20"/>
          <w:szCs w:val="20"/>
          <w:color w:val="auto"/>
        </w:rPr>
      </w:pPr>
      <w:r>
        <w:rPr>
          <w:rFonts w:ascii="Arial" w:cs="Arial" w:eastAsia="Arial" w:hAnsi="Arial"/>
          <w:sz w:val="18"/>
          <w:szCs w:val="18"/>
          <w:color w:val="auto"/>
        </w:rPr>
        <w:t>operations after such interruptions may be delayed or constrained by lingering effects of COVID-19 on our suppliers, third-party service providers, and/or customers.</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the COVID-19 pandemic has significantly reduced the global demand for oil and natural gas. This significant decline in demand has been met with a sharp decline in oil prices following the announcement of price reductions and production increases in March 2020 by members of the Organization of Petroleum Exporting Countries, or OPEC, and other foreign, oil-exporting countries. The resulting supply and demand imbalance is having disruptive impacts on the oil and natural gas exploration and production industry and on other industries that serve exploration and production companies. These industry conditions, coupled with those resulting from the COVID-19 pandemic, could lead to significant global economic contraction generally and in our industry in particular. Although OPEC agreed in April to cut production, there is no assurance that the agreement will continue to be observed by its parties and the responses of oil and gas producers to the lower demand for, and price of, natural gas, NGLs and crude oil are constantly evolving and remain uncertain. Such responses could cause our pipelines and storage tanks and other third party storage facilities to reach capacity, thereby forcing producers to experience shut-ins or look to alternative methods of transportation for their products.</w:t>
      </w:r>
    </w:p>
    <w:p>
      <w:pPr>
        <w:spacing w:after="0" w:line="9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Over the past several months, we have collaborated extensively with our customer base regarding reductions and delays to drilling and completion activities in light of the current commodity price backdrop and COVID-19 pandemic. Given further deterioration of market conditions since March and based on recently updated production forecasts and revised 2020 development plans from our customers, we currently expect our 2020 results to be affected by decreased drilling activity and the deferral of well completions from customers and, on a limited scale, temporary production curtailments predominantly in the Williston Basin, DJ Basin and Utica Shale reportable segments. For example, in the Utica Shale, a customer has recently curtailed in excess of 150 MMcf/d of production which the Partnership now expects will remain offline awaiting more favorable natural gas prices in late 2020 and into 2021, and we recently amended gathering contracts with two key Williston Basin customers to extend the terms of the gathering agreement acreage dedications, in exchange for a modest gathering fee concession. Accordingly, given reduced producer activity across our footprint, we expect 2020 total capital expenditures to range from of $30 million to $50 million.</w:t>
      </w:r>
    </w:p>
    <w:p>
      <w:pPr>
        <w:spacing w:after="0" w:line="98"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2019 Annual Report.</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How We Evaluate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conduct and report our operations in the midstream energy industry through eight reportable segments:</w:t>
      </w:r>
    </w:p>
    <w:p>
      <w:pPr>
        <w:spacing w:after="0" w:line="104" w:lineRule="exact"/>
        <w:rPr>
          <w:sz w:val="20"/>
          <w:szCs w:val="20"/>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Ohio Gathering, which includes our ownership interest in OGC and OCC;</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Bison Midstream and Meadowlark Midstream;</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DJ Basin, which is served by Niobrara G&amp;P;</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117" w:lineRule="exact"/>
        <w:rPr>
          <w:sz w:val="20"/>
          <w:szCs w:val="20"/>
          <w:color w:val="auto"/>
        </w:rPr>
      </w:pPr>
    </w:p>
    <w:p>
      <w:pPr>
        <w:jc w:val="both"/>
        <w:ind w:right="400"/>
        <w:spacing w:after="0"/>
        <w:rPr>
          <w:sz w:val="20"/>
          <w:szCs w:val="20"/>
          <w:color w:val="auto"/>
        </w:rPr>
      </w:pPr>
      <w:r>
        <w:rPr>
          <w:rFonts w:ascii="Arial" w:cs="Arial" w:eastAsia="Arial" w:hAnsi="Arial"/>
          <w:sz w:val="18"/>
          <w:szCs w:val="18"/>
          <w:color w:val="auto"/>
        </w:rPr>
        <w:t>Additionally, until March 22, 2019, we owned Tioga Midstream, a crude oil, produced water and associated natural gas gathering system operating in the Williston Basin. Refer to Note 16 to the unaudited condensed consolidated financial statements for details on the sale of Tioga Midstream.</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9" w:name="page40"/>
    <w:bookmarkEnd w:id="39"/>
    <w:p>
      <w:pPr>
        <w:jc w:val="both"/>
        <w:ind w:right="240"/>
        <w:spacing w:after="0"/>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 (see Note 4 to the unaudited condensed consolidated financial statements).</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management uses a variety of financial and operational metrics to analyze our consolidated and segment performance. We view these metrics as important factors in evaluating our profitability and determining the amounts of cash distributions to pay to our unitholders. These metrics include:</w:t>
      </w:r>
    </w:p>
    <w:p>
      <w:pPr>
        <w:spacing w:after="0" w:line="95" w:lineRule="exact"/>
        <w:rPr>
          <w:sz w:val="20"/>
          <w:szCs w:val="20"/>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throughput volume;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operation and maintenance expenses;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segment adjusted EBITDA.</w:t>
      </w:r>
    </w:p>
    <w:p>
      <w:pPr>
        <w:spacing w:after="0" w:line="117"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We review these metrics on a regular basis for consistency and trend analysis. There have been no changes in the composition or characteristics of these metrics during the three and six months ended June 30, 2020.</w:t>
      </w:r>
    </w:p>
    <w:p>
      <w:pPr>
        <w:spacing w:after="0" w:line="67"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unaudited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financial statements. For additional information on how these metrics help us manage our business, see the "How We Evaluate Our Operations" section of MD&amp;A included in the 2019 Annual Report. For information on impending accounting changes that are expected to materially impact our financial results reported in future periods, see Note 2 to the unaudited condensed consolidated financial statements.</w:t>
      </w:r>
    </w:p>
    <w:p>
      <w:pPr>
        <w:spacing w:after="0" w:line="1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476" w:right="47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Overview for the Three and Six Months Ended June 30,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and operating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5"/>
                <w:szCs w:val="15"/>
                <w:color w:val="auto"/>
              </w:rPr>
            </w:pPr>
          </w:p>
        </w:tc>
        <w:tc>
          <w:tcPr>
            <w:tcW w:w="24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4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69"/>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73,911</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75,107</w:t>
            </w:r>
          </w:p>
        </w:tc>
        <w:tc>
          <w:tcPr>
            <w:tcW w:w="1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157,703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162,071</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10,683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18,291</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24,463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56,219</w:t>
            </w: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7,413</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6,288</w:t>
            </w:r>
          </w:p>
        </w:tc>
        <w:tc>
          <w:tcPr>
            <w:tcW w:w="1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14,744</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12,804</w:t>
            </w:r>
          </w:p>
        </w:tc>
      </w:tr>
      <w:tr>
        <w:trPr>
          <w:trHeight w:val="209"/>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92,007</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99,686</w:t>
            </w:r>
          </w:p>
        </w:tc>
        <w:tc>
          <w:tcPr>
            <w:tcW w:w="1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196,910</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231,094</w:t>
            </w:r>
          </w:p>
        </w:tc>
      </w:tr>
      <w:tr>
        <w:trPr>
          <w:trHeight w:val="209"/>
        </w:trPr>
        <w:tc>
          <w:tcPr>
            <w:tcW w:w="54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6,088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11,571</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14,313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43,330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21,152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24,318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42,963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48,540</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12,786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10,565</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29,347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28,950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29,630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26,837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59,296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54,601</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1,207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2,433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Gain on asset sales, net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2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654</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4,475</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45,021</w:t>
            </w:r>
          </w:p>
        </w:tc>
      </w:tr>
      <w:tr>
        <w:trPr>
          <w:trHeight w:val="209"/>
        </w:trPr>
        <w:tc>
          <w:tcPr>
            <w:tcW w:w="54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71,236</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73,170</w:t>
            </w:r>
          </w:p>
        </w:tc>
        <w:tc>
          <w:tcPr>
            <w:tcW w:w="1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151,446</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221,627</w:t>
            </w:r>
          </w:p>
        </w:tc>
      </w:tr>
      <w:tr>
        <w:trPr>
          <w:trHeight w:val="20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(22,343)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(45,085)</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Gain on early extinguishment of debt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54,235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54,235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09"/>
        </w:trPr>
        <w:tc>
          <w:tcPr>
            <w:tcW w:w="5400" w:type="dxa"/>
            <w:vAlign w:val="bottom"/>
          </w:tcPr>
          <w:p>
            <w:pPr>
              <w:ind w:left="260"/>
              <w:spacing w:after="0"/>
              <w:rPr>
                <w:sz w:val="20"/>
                <w:szCs w:val="20"/>
                <w:color w:val="auto"/>
              </w:rPr>
            </w:pPr>
            <w:r>
              <w:rPr>
                <w:rFonts w:ascii="Arial" w:cs="Arial" w:eastAsia="Arial" w:hAnsi="Arial"/>
                <w:sz w:val="18"/>
                <w:szCs w:val="18"/>
                <w:color w:val="auto"/>
              </w:rPr>
              <w:t>Income (loss) before income taxes and</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03"/>
        </w:trPr>
        <w:tc>
          <w:tcPr>
            <w:tcW w:w="5400" w:type="dxa"/>
            <w:vAlign w:val="bottom"/>
          </w:tcPr>
          <w:p>
            <w:pPr>
              <w:ind w:left="460"/>
              <w:spacing w:after="0" w:line="202" w:lineRule="exact"/>
              <w:rPr>
                <w:sz w:val="20"/>
                <w:szCs w:val="20"/>
                <w:color w:val="auto"/>
              </w:rPr>
            </w:pPr>
            <w:r>
              <w:rPr>
                <w:rFonts w:ascii="Arial" w:cs="Arial" w:eastAsia="Arial" w:hAnsi="Arial"/>
                <w:sz w:val="18"/>
                <w:szCs w:val="18"/>
                <w:color w:val="auto"/>
              </w:rPr>
              <w:t>income (loss) loss from equity method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400" w:type="dxa"/>
            <w:vAlign w:val="bottom"/>
          </w:tcPr>
          <w:p>
            <w:pPr>
              <w:ind w:left="460"/>
              <w:spacing w:after="0" w:line="203" w:lineRule="exact"/>
              <w:rPr>
                <w:sz w:val="20"/>
                <w:szCs w:val="20"/>
                <w:color w:val="auto"/>
              </w:rPr>
            </w:pPr>
            <w:r>
              <w:rPr>
                <w:rFonts w:ascii="Arial" w:cs="Arial" w:eastAsia="Arial" w:hAnsi="Arial"/>
                <w:sz w:val="18"/>
                <w:szCs w:val="18"/>
                <w:color w:val="auto"/>
              </w:rPr>
              <w:t>investees</w:t>
            </w:r>
          </w:p>
        </w:tc>
        <w:tc>
          <w:tcPr>
            <w:tcW w:w="220" w:type="dxa"/>
            <w:vAlign w:val="bottom"/>
          </w:tcPr>
          <w:p>
            <w:pPr>
              <w:spacing w:after="0"/>
              <w:rPr>
                <w:sz w:val="17"/>
                <w:szCs w:val="17"/>
                <w:color w:val="auto"/>
              </w:rPr>
            </w:pPr>
          </w:p>
        </w:tc>
        <w:tc>
          <w:tcPr>
            <w:tcW w:w="11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53,292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4,256</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53,730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(35,326)</w:t>
            </w: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w:t>
            </w: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equity method investees</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3,040</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6,351</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r>
      <w:tr>
        <w:trPr>
          <w:trHeight w:val="210"/>
        </w:trPr>
        <w:tc>
          <w:tcPr>
            <w:tcW w:w="5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56,721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3,028</w:t>
            </w: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60,483</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(37,252)</w:t>
            </w: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Volume throughput (1):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5"/>
        </w:trPr>
        <w:tc>
          <w:tcPr>
            <w:tcW w:w="5400" w:type="dxa"/>
            <w:vAlign w:val="bottom"/>
          </w:tcPr>
          <w:p>
            <w:pPr>
              <w:spacing w:after="0"/>
              <w:rPr>
                <w:sz w:val="20"/>
                <w:szCs w:val="20"/>
                <w:color w:val="auto"/>
              </w:rPr>
            </w:pPr>
            <w:r>
              <w:rPr>
                <w:rFonts w:ascii="Arial" w:cs="Arial" w:eastAsia="Arial" w:hAnsi="Arial"/>
                <w:sz w:val="18"/>
                <w:szCs w:val="18"/>
                <w:color w:val="auto"/>
              </w:rPr>
              <w:t>Aggregate average daily throughput - natural</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3"/>
        </w:trPr>
        <w:tc>
          <w:tcPr>
            <w:tcW w:w="5400" w:type="dxa"/>
            <w:vAlign w:val="bottom"/>
          </w:tcPr>
          <w:p>
            <w:pPr>
              <w:ind w:left="200"/>
              <w:spacing w:after="0" w:line="203" w:lineRule="exact"/>
              <w:rPr>
                <w:sz w:val="20"/>
                <w:szCs w:val="20"/>
                <w:color w:val="auto"/>
              </w:rPr>
            </w:pPr>
            <w:r>
              <w:rPr>
                <w:rFonts w:ascii="Arial" w:cs="Arial" w:eastAsia="Arial" w:hAnsi="Arial"/>
                <w:sz w:val="18"/>
                <w:szCs w:val="18"/>
                <w:color w:val="auto"/>
              </w:rPr>
              <w:t>gas (MMcf/d)</w:t>
            </w:r>
          </w:p>
        </w:tc>
        <w:tc>
          <w:tcPr>
            <w:tcW w:w="220" w:type="dxa"/>
            <w:vAlign w:val="bottom"/>
          </w:tcPr>
          <w:p>
            <w:pPr>
              <w:spacing w:after="0"/>
              <w:rPr>
                <w:sz w:val="17"/>
                <w:szCs w:val="17"/>
                <w:color w:val="auto"/>
              </w:rPr>
            </w:pPr>
          </w:p>
        </w:tc>
        <w:tc>
          <w:tcPr>
            <w:tcW w:w="11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1,391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1,368</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1,336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1,419</w:t>
            </w:r>
          </w:p>
        </w:tc>
      </w:tr>
      <w:tr>
        <w:trPr>
          <w:trHeight w:val="215"/>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 liquids</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03"/>
        </w:trPr>
        <w:tc>
          <w:tcPr>
            <w:tcW w:w="54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(Mbbl/d)</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76</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94.3</w:t>
            </w: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87.0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98.6</w:t>
            </w: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(1) Exclusive of volume throughput for Ohio Gathering. For additional information, see the "Ohio Gathering" section herein.</w:t>
      </w:r>
    </w:p>
    <w:p>
      <w:pPr>
        <w:spacing w:after="0" w:line="8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i w:val="1"/>
          <w:iCs w:val="1"/>
          <w:color w:val="auto"/>
        </w:rPr>
        <w:t xml:space="preserve">Volumes – Gas. </w:t>
      </w:r>
      <w:r>
        <w:rPr>
          <w:rFonts w:ascii="Arial" w:cs="Arial" w:eastAsia="Arial" w:hAnsi="Arial"/>
          <w:sz w:val="18"/>
          <w:szCs w:val="18"/>
          <w:color w:val="auto"/>
        </w:rPr>
        <w:t>Natural gas throughput volumes increased 23 MMcf/d for the three months ended June 30, 2020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2019, primarily reflecting:</w:t>
      </w:r>
    </w:p>
    <w:p>
      <w:pPr>
        <w:spacing w:after="0" w:line="68" w:lineRule="exact"/>
        <w:rPr>
          <w:sz w:val="20"/>
          <w:szCs w:val="20"/>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volume throughput increase of 156 MMcf/d for the Utica Shale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volume throughput increase of 15 MMcf/d for the Permian Basin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volume throughput decrease of 95 MMcf/d for the Piceance Basin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volume throughput decrease of 48 MMcf/d for the Barnett Shale segment.</w:t>
      </w:r>
    </w:p>
    <w:p>
      <w:pPr>
        <w:spacing w:after="0" w:line="11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Natural gas throughput volumes decreased 83 MMcf/d for the six months ended June 30, 2020 compared to the six months ended June 30, 2019, primarily reflecting: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volume throughput decrease of 98 MMcf/d for the Piceance Basin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volume throughput decrease of 42 MMcf/d for the Barnett Shale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volume throughput decrease of 12 MMcf/d for the Marcellus Shale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volume throughput increase of 46 MMcf/d for the Utica Shale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volume throughput increase of 17 MMcf/d for the Permian Basin segment.</w:t>
      </w:r>
    </w:p>
    <w:p>
      <w:pPr>
        <w:spacing w:after="0" w:line="9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 xml:space="preserve">Volumes – Liquids. </w:t>
      </w:r>
      <w:r>
        <w:rPr>
          <w:rFonts w:ascii="Arial" w:cs="Arial" w:eastAsia="Arial" w:hAnsi="Arial"/>
          <w:sz w:val="18"/>
          <w:szCs w:val="18"/>
          <w:color w:val="auto"/>
        </w:rPr>
        <w:t>Crude oil and produced water throughput volumes at the Williston segment decreased 18.3 Mbbl/d and 11.6 Mbbl/d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and six months ended June 30, 2020, respectively, compared to the three and six months ended June 30, 2019.</w:t>
      </w:r>
    </w:p>
    <w:p>
      <w:pPr>
        <w:spacing w:after="0" w:line="53"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For additional information on volumes, see the "Segment Overview for the Three and Six Months Ended June 30, 2020 and 2019" section herein.</w:t>
      </w:r>
    </w:p>
    <w:p>
      <w:pPr>
        <w:spacing w:after="0" w:line="6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Total revenues decreased $7.7 million during the three months ended June 30, 2020 compared to the prior year period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comprised of a $7.6 million decrease in natural gas, NGLs and condensate sales and a $1.2 million decrease in gathering services and related fees.</w:t>
      </w:r>
    </w:p>
    <w:p>
      <w:pPr>
        <w:spacing w:after="0" w:line="76" w:lineRule="exact"/>
        <w:rPr>
          <w:sz w:val="20"/>
          <w:szCs w:val="20"/>
          <w:color w:val="auto"/>
        </w:rPr>
      </w:pPr>
    </w:p>
    <w:p>
      <w:pPr>
        <w:spacing w:after="0" w:line="246"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$1.2 million compared to the three months ended June 30, 2019, primarily reflecting:</w:t>
      </w:r>
    </w:p>
    <w:p>
      <w:pPr>
        <w:spacing w:after="0" w:line="89" w:lineRule="exact"/>
        <w:rPr>
          <w:sz w:val="20"/>
          <w:szCs w:val="20"/>
          <w:color w:val="auto"/>
        </w:rPr>
      </w:pPr>
    </w:p>
    <w:p>
      <w:pPr>
        <w:jc w:val="both"/>
        <w:ind w:left="800" w:right="26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$4.3 million decrease in gathering services and related fees in the Piceance Basin related to lower volume throughput due to a lack of drilling and completion activity and natural production declines in addition to the sale of certain assets from our Red Rock Gathering system in December 2019.</w:t>
      </w:r>
    </w:p>
    <w:p>
      <w:pPr>
        <w:spacing w:after="0" w:line="94" w:lineRule="exact"/>
        <w:rPr>
          <w:rFonts w:ascii="Arial" w:cs="Arial" w:eastAsia="Arial" w:hAnsi="Arial"/>
          <w:sz w:val="18"/>
          <w:szCs w:val="18"/>
          <w:color w:val="auto"/>
        </w:rPr>
      </w:pPr>
    </w:p>
    <w:p>
      <w:pPr>
        <w:ind w:left="800" w:right="6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$3.3 million decrease in gathering services and related fees in the Williston Basin due to lower liquids throughput associated with natural production declines and temporary production curtailments associated with a significant reduction in crude oil prices as a result of a decrease in demand attributable to the COVID-19 pandemic.</w:t>
      </w:r>
    </w:p>
    <w:p>
      <w:pPr>
        <w:spacing w:after="0" w:line="94" w:lineRule="exact"/>
        <w:rPr>
          <w:rFonts w:ascii="Arial" w:cs="Arial" w:eastAsia="Arial" w:hAnsi="Arial"/>
          <w:sz w:val="18"/>
          <w:szCs w:val="18"/>
          <w:color w:val="auto"/>
        </w:rPr>
      </w:pPr>
    </w:p>
    <w:p>
      <w:pPr>
        <w:ind w:left="800" w:right="220" w:hanging="401"/>
        <w:spacing w:after="0" w:line="246"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$1.6 million decrease in gathering services and related fees in the Barnett Shale primarily reflecting natural production declines partially offset by new volumes from well completion activity through the third quarter of 2019.</w:t>
      </w:r>
    </w:p>
    <w:p>
      <w:pPr>
        <w:spacing w:after="0" w:line="88" w:lineRule="exact"/>
        <w:rPr>
          <w:rFonts w:ascii="Arial" w:cs="Arial" w:eastAsia="Arial" w:hAnsi="Arial"/>
          <w:sz w:val="18"/>
          <w:szCs w:val="18"/>
          <w:color w:val="auto"/>
        </w:rPr>
      </w:pPr>
    </w:p>
    <w:p>
      <w:pPr>
        <w:ind w:left="800" w:right="76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$3.9 million increase in gathering services and related fees in the Utica Shale as a result of the completion of new wells throughout 2019 and in the first half of 2020, partially offset by natural production declines on existing wells and temporary production curtailments beginning in June 2020.</w:t>
      </w:r>
    </w:p>
    <w:p>
      <w:pPr>
        <w:spacing w:after="0" w:line="94" w:lineRule="exact"/>
        <w:rPr>
          <w:rFonts w:ascii="Arial" w:cs="Arial" w:eastAsia="Arial" w:hAnsi="Arial"/>
          <w:sz w:val="18"/>
          <w:szCs w:val="18"/>
          <w:color w:val="auto"/>
        </w:rPr>
      </w:pPr>
    </w:p>
    <w:p>
      <w:pPr>
        <w:ind w:left="800" w:right="480" w:hanging="401"/>
        <w:spacing w:after="0" w:line="246"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$2.1 million increase in gathering services and related fees in the Permian Basin due to higher volume growth from ongoing drilling and completion activity and a more favorable volume and gathering rate mix from customers.</w:t>
      </w:r>
    </w:p>
    <w:p>
      <w:pPr>
        <w:spacing w:after="0" w:line="88" w:lineRule="exact"/>
        <w:rPr>
          <w:rFonts w:ascii="Arial" w:cs="Arial" w:eastAsia="Arial" w:hAnsi="Arial"/>
          <w:sz w:val="18"/>
          <w:szCs w:val="18"/>
          <w:color w:val="auto"/>
        </w:rPr>
      </w:pPr>
    </w:p>
    <w:p>
      <w:pPr>
        <w:ind w:left="800" w:right="20" w:hanging="401"/>
        <w:spacing w:after="0" w:line="249"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$1.2 million increase in gathering services and related fees in the DJ Basin relating to higher volume throughput due to increased drilling activity and a more favorable volume and gathering rate mix from customers and the commissioning of our new natural gas processing plant in June 2019, partially offset by natural production declines and temporary production curtailments associated with a significant reduction in crude oil prices as a result of a decrease in demand attributable to the COVID-19 pandemic.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decreased $7.6 million compared to the three months ended June 30, 2019, primarily reflecting lower natural gas, NGL and crude oil marketing services. The majority of the decrease in revenue is offset by a $5.5 million decrease in natural gas, NGL and condensate purchases.</w:t>
      </w:r>
    </w:p>
    <w:p>
      <w:pPr>
        <w:spacing w:after="0" w:line="9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Total revenues decreased $34.2 million during the six months ended June 30, 2020 compared to the prior year period primarily comprised of a $31.8 million decrease in natural gas, NGLs and condensate sales and a $4.4 million decrease in gathering services and related fees.</w:t>
      </w:r>
    </w:p>
    <w:p>
      <w:pPr>
        <w:spacing w:after="0" w:line="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$4.4 million compared to the six months ended June 30, 2019, primarily reflecting:</w:t>
      </w:r>
    </w:p>
    <w:p>
      <w:pPr>
        <w:spacing w:after="0" w:line="89" w:lineRule="exact"/>
        <w:rPr>
          <w:sz w:val="20"/>
          <w:szCs w:val="20"/>
          <w:color w:val="auto"/>
        </w:rPr>
      </w:pPr>
    </w:p>
    <w:p>
      <w:pPr>
        <w:jc w:val="both"/>
        <w:ind w:left="800" w:right="24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$9.0 million decrease in gathering services and related fees in the Piceance Basin related to lower volume throughput due to a lack of drilling and completion activity and natural production declines in addition to the sale of certain assets from our Red Rock Gathering system in December 2019.</w:t>
      </w:r>
    </w:p>
    <w:p>
      <w:pPr>
        <w:spacing w:after="0" w:line="94" w:lineRule="exact"/>
        <w:rPr>
          <w:rFonts w:ascii="Arial" w:cs="Arial" w:eastAsia="Arial" w:hAnsi="Arial"/>
          <w:sz w:val="18"/>
          <w:szCs w:val="18"/>
          <w:color w:val="auto"/>
        </w:rPr>
      </w:pPr>
    </w:p>
    <w:p>
      <w:pPr>
        <w:ind w:left="800" w:right="180" w:hanging="401"/>
        <w:spacing w:after="0" w:line="237"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$5.2 million decrease in gathering services and related fees in the Williston Basin primarily due to lower liquids throughput associated with natural production declines and, beginning in the second quarter of 2020, temporary production curtailments associated with a significant reduction in crude oil prices as a result of a decrease in demand attributable to the COVID-19 pandemic. The decrease was also due to a $1.5 million decrease in gathering services and related fees attributable to the sale of the Tioga Midstream system on March 22, 2019, the 2019 financial results of which are included for the period from January 1, 2019 through March 22, 2019.</w:t>
      </w:r>
    </w:p>
    <w:p>
      <w:pPr>
        <w:spacing w:after="0" w:line="96" w:lineRule="exact"/>
        <w:rPr>
          <w:rFonts w:ascii="Arial" w:cs="Arial" w:eastAsia="Arial" w:hAnsi="Arial"/>
          <w:sz w:val="18"/>
          <w:szCs w:val="18"/>
          <w:color w:val="auto"/>
        </w:rPr>
      </w:pPr>
    </w:p>
    <w:p>
      <w:pPr>
        <w:ind w:left="800" w:right="20" w:hanging="401"/>
        <w:spacing w:after="0" w:line="238"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$4.1 million decrease in gathering services and related fees in the Barnett Shale primarily reflecting natural production declines partially offset by new volumes from well completion activity through the third quarter of 2019. Also impacting 2020 revenues was the presentation of gathering services as a reduction to cost of natural gas and NGLs due to the assignment of certain marketing arrangements from Corporate and Other to our DFW Midstream operations that occurred in June 2019, which decreased gathering services and related fees by $1.7 million.</w:t>
      </w:r>
    </w:p>
    <w:p>
      <w:pPr>
        <w:spacing w:after="0" w:line="94" w:lineRule="exact"/>
        <w:rPr>
          <w:rFonts w:ascii="Arial" w:cs="Arial" w:eastAsia="Arial" w:hAnsi="Arial"/>
          <w:sz w:val="18"/>
          <w:szCs w:val="18"/>
          <w:color w:val="auto"/>
        </w:rPr>
      </w:pPr>
    </w:p>
    <w:p>
      <w:pPr>
        <w:ind w:left="800" w:hanging="401"/>
        <w:spacing w:after="0" w:line="249"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$4.3 million increase in gathering services and related fees in the DJ Basin relating to higher volume throughput due to increased drilling activity and a more favorable volume and gathering rate mix from customers and the commissioning of our new natural gas processing plant in June 2019, partially offset by natural production declines and temporary production curtailments associated with a significant reduction in crude oil prices as a result of a decrease in demand attributable to the COVID-19 pandemic.</w:t>
      </w:r>
    </w:p>
    <w:p>
      <w:pPr>
        <w:spacing w:after="0" w:line="86" w:lineRule="exact"/>
        <w:rPr>
          <w:rFonts w:ascii="Arial" w:cs="Arial" w:eastAsia="Arial" w:hAnsi="Arial"/>
          <w:sz w:val="18"/>
          <w:szCs w:val="18"/>
          <w:color w:val="auto"/>
        </w:rPr>
      </w:pPr>
    </w:p>
    <w:p>
      <w:pPr>
        <w:ind w:left="800" w:right="460" w:hanging="401"/>
        <w:spacing w:after="0" w:line="246"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$4.1 million increase in gathering services and related fees in the Permian Basin due to higher volume growth from ongoing drilling and completion activity and a more favorable volume and gathering rate mix from customers.</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$3.4 million increase in gathering services and related fees in the Utica Shale as a result of the completion of new wells throughout 2019 and in the first half of 2020, and a more favorable volume and gathering rate mix from customers partially offset by natural production declines on existing wells.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decreased $31.8 million compared to the six months ended June 30, 2019, primarily reflecting lower natural gas, NGL and crude oil marketing services. The majority of the decrease in revenue is offset by a $29.0 million decrease in natural gas, NGL and condensate purchases.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3" w:name="page44"/>
    <w:bookmarkEnd w:id="43"/>
    <w:p>
      <w:pPr>
        <w:spacing w:after="0" w:line="252"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decreased $1.9 million during the three months ended June 30, 2020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2019, primarily due to a $ 5.5 million decrease in natural gas, NGLs and condensate purchases, a $3.2 million decrease in operation and maintenance expense, a $2.8 million increase in depreciation and amortization expense, a $2.2 million increase in general and administrative expense and a $1.1 million increase in transaction costs.</w:t>
      </w:r>
    </w:p>
    <w:p>
      <w:pPr>
        <w:spacing w:after="0" w:line="8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Total costs and expenses decreased $70.2 million during the six months ended June 30, 2020 compared to the six months ended June 30, 2019, primarily due to the impact of: (i) the March 2019 recognition of a $34.9 million and $10.2 million long-lived asset impairment in the DJ Basin and Barnett Shale, respectively, partially offset by the March 2020 recognition of a $ 3.6 million long-lived asset impairment in the DJ Basin; (ii) a $ 29.0 million decrease in natural gas, NGLs and condensate purchases; (iii) a $5.6 million decrease in operation and maintenance expense; and (iv) a $4.7 million increase in depreciation and amortization expense.</w:t>
      </w:r>
    </w:p>
    <w:p>
      <w:pPr>
        <w:spacing w:after="0" w:line="9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decreased $5.5 million and $29.0 million during the three and six months ended June 30, 2020 compared to the three and six months ended June 30, 2019, primarily driven by lower natural gas, NGL and crude oil marketing activity.</w:t>
      </w:r>
    </w:p>
    <w:p>
      <w:pPr>
        <w:spacing w:after="0" w:line="87" w:lineRule="exact"/>
        <w:rPr>
          <w:sz w:val="20"/>
          <w:szCs w:val="20"/>
          <w:color w:val="auto"/>
        </w:rPr>
      </w:pPr>
    </w:p>
    <w:p>
      <w:pPr>
        <w:ind w:right="260"/>
        <w:spacing w:after="0"/>
        <w:rPr>
          <w:sz w:val="20"/>
          <w:szCs w:val="20"/>
          <w:color w:val="auto"/>
        </w:rPr>
      </w:pPr>
      <w:r>
        <w:rPr>
          <w:rFonts w:ascii="Arial" w:cs="Arial" w:eastAsia="Arial" w:hAnsi="Arial"/>
          <w:sz w:val="18"/>
          <w:szCs w:val="18"/>
          <w:u w:val="single" w:color="auto"/>
          <w:color w:val="auto"/>
        </w:rPr>
        <w:t>Operation and Maintenance</w:t>
      </w:r>
      <w:r>
        <w:rPr>
          <w:rFonts w:ascii="Arial" w:cs="Arial" w:eastAsia="Arial" w:hAnsi="Arial"/>
          <w:sz w:val="18"/>
          <w:szCs w:val="18"/>
          <w:color w:val="auto"/>
        </w:rPr>
        <w:t>. Operation and maintenance expense decreased $3.2 million for the three months ended June 30, 2020 compared to the three months ended June 30, 2019 primarily due to a $1.4 million decrease in salaries and benefits costs associated with lower headcount from our cost cutting initiatives and a $0.6 million decrease in remediation expenses.</w:t>
      </w:r>
    </w:p>
    <w:p>
      <w:pPr>
        <w:spacing w:after="0" w:line="9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Operation and maintenance expense decreased $5.6 million for the six months ended June 30, 2020 compared to the six months ended June 30, 2019 primarily due to a $ 2.7 million decrease in salaries and benefits costs associated with lower headcount from our cost cutting initiatives, a $1.1 million decrease in property taxes and a $0.8 million decrease in remediation expense.</w:t>
      </w:r>
    </w:p>
    <w:p>
      <w:pPr>
        <w:spacing w:after="0" w:line="9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increased $2.2 million for the three months ended June 30, 2020 compared to the three months ended June 30, 2019 primarily due to a $1.3 million increase in professional service fees and a $0.7 million increase in restructuring expenses.</w:t>
      </w:r>
    </w:p>
    <w:p>
      <w:pPr>
        <w:spacing w:after="0" w:line="8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General and administrative expense increased $0.4 million compared to the six months ended June 30, 2019 primarily due to a $4.7 million increase in restructuring expenses and a $1.7 million increase in professional service fees, partially offset by a $6.4 million decrease in compensation expense primarily associated with lower headcount from our cost cutting initiatives.</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The increase in depreciation and amortization expense during the three and six months ended June 30, 2020 compared to the three and six months ended June 30, 2019 was primarily due to the acceleration of depreciation on certain Williston Basin assets.</w:t>
      </w:r>
    </w:p>
    <w:p>
      <w:pPr>
        <w:spacing w:after="0" w:line="95"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The increase in transaction costs recognized during the three months ended June 30, 2020 compared to the three months ended June 30, 2019 was primarily due to costs associated with the GP Buy-In Transaction.</w:t>
      </w:r>
    </w:p>
    <w:p>
      <w:pPr>
        <w:spacing w:after="0" w:line="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decrease in transaction costs recognized during the six months ended June 30, 2020 compared to the six months ended June 30, 2019 was due to financial advisory costs incurred in 2019 for a subsidiary equity restructuring that did not occur in 2020.</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4" w:name="page45"/>
    <w:bookmarkEnd w:id="44"/>
    <w:p>
      <w:pPr>
        <w:ind w:right="40"/>
        <w:spacing w:after="0" w:line="243"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The decrease in interest expense for the three and six months ended June 30, 2020 compared to the three and six months ended June 30, 2019, was primarily due to a lower average outstanding balance on the nonrecourse SMPH Term Loan at SMP Holdings that incurs a higher interest rate partially offset by a higher average outstanding balance on the Revolving Credit Facility and the addition of the ECP Loans from the GP Buy-In Transaction.</w:t>
      </w:r>
    </w:p>
    <w:p>
      <w:pPr>
        <w:spacing w:after="0" w:line="9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u w:val="single" w:color="auto"/>
          <w:color w:val="auto"/>
        </w:rPr>
        <w:t>Gain on early extinguishment of debt</w:t>
      </w:r>
      <w:r>
        <w:rPr>
          <w:rFonts w:ascii="Arial" w:cs="Arial" w:eastAsia="Arial" w:hAnsi="Arial"/>
          <w:sz w:val="18"/>
          <w:szCs w:val="18"/>
          <w:color w:val="auto"/>
        </w:rPr>
        <w:t>. Following the closing of the GP Buy-In Transaction, in May 2020, we commenced a debt buyback program on our Senior Notes. Through June 30, 2020, we repurchased $25.8 million of the outstanding $ 300 million aggregate principal amount of our 5.50% Senior Notes. The gain on early extinguishment of debt for the 5.50% Senior Notes during the three and six months ended June 30, 2020 totaled $9.2 million and is inclusive of the write off of debt issuance costs of $0.1 million. We also repurchased $106.2 million of the outstanding $500 million aggregate principal amount of our 5.75% Senior Notes. The gain on early extinguishment of debt for the 5.75% Senior Notes during the three and six months ended June 30, 2020 totaled $45.1 million and is inclusive of the write off of debt issuance costs of $1.0 million.</w:t>
      </w:r>
    </w:p>
    <w:p>
      <w:pPr>
        <w:spacing w:after="0" w:line="9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For additional information, see the "Segment Overview for the Three and Six Months Ended June 30, 2020 and 2019" and "Corporate and Other Overview for the Three and Six Months Ended June 30, 2020 and 2019" sections herein.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Overview for the Three and Six Months Ended June 30, 2020 and 2019</w:t>
      </w:r>
    </w:p>
    <w:p>
      <w:pPr>
        <w:spacing w:after="0" w:line="9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 xml:space="preserve">Utica Shale. </w:t>
      </w:r>
      <w:r>
        <w:rPr>
          <w:rFonts w:ascii="Arial" w:cs="Arial" w:eastAsia="Arial" w:hAnsi="Arial"/>
          <w:sz w:val="18"/>
          <w:szCs w:val="18"/>
          <w:color w:val="auto"/>
        </w:rPr>
        <w:t>The Utica Shale reportable segment includes the Summit Utica system. Volume throughput for our Summit Utica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Utica Shale</w:t>
            </w: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24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Percentage</w:t>
            </w:r>
          </w:p>
        </w:tc>
        <w:tc>
          <w:tcPr>
            <w:tcW w:w="248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4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5200" w:type="dxa"/>
            <w:vAlign w:val="bottom"/>
            <w:gridSpan w:val="2"/>
            <w:shd w:val="clear" w:color="auto" w:fill="CFF0FC"/>
          </w:tcPr>
          <w:p>
            <w:pPr>
              <w:jc w:val="right"/>
              <w:ind w:right="2368"/>
              <w:spacing w:after="0"/>
              <w:rPr>
                <w:sz w:val="20"/>
                <w:szCs w:val="20"/>
                <w:color w:val="auto"/>
              </w:rPr>
            </w:pPr>
            <w:r>
              <w:rPr>
                <w:rFonts w:ascii="Arial" w:cs="Arial" w:eastAsia="Arial" w:hAnsi="Arial"/>
                <w:sz w:val="18"/>
                <w:szCs w:val="18"/>
                <w:color w:val="auto"/>
                <w:w w:val="99"/>
              </w:rPr>
              <w:t>Average daily throughput (MMcf/d)</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416</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60%</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increased compared to the three months ended June 30, 2019 as a result of the completion of new wells throughout 2019 and in the first half of 2020, partially offset by natural production declines from existing wells and temporary production curtailments beginning in June 2020.</w:t>
      </w:r>
    </w:p>
    <w:p>
      <w:pPr>
        <w:spacing w:after="0" w:line="9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Volume throughput increased compared to the six months ended June 30, 2019 as a result of the completion of new wells throughout 2019 and in the first half of 2020 and a more favorable volume and gathering rate mix from customers, partially offset by natural production declines from existing wells.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Utica Shale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Utica Shale</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152"/>
              <w:spacing w:after="0"/>
              <w:rPr>
                <w:sz w:val="20"/>
                <w:szCs w:val="20"/>
                <w:color w:val="auto"/>
              </w:rPr>
            </w:pPr>
            <w:r>
              <w:rPr>
                <w:rFonts w:ascii="Arial" w:cs="Arial" w:eastAsia="Arial" w:hAnsi="Arial"/>
                <w:sz w:val="14"/>
                <w:szCs w:val="14"/>
                <w:b w:val="1"/>
                <w:bCs w:val="1"/>
                <w:color w:val="auto"/>
              </w:rPr>
              <w:t>Three months ended June 30,</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80" w:type="dxa"/>
            <w:vAlign w:val="bottom"/>
            <w:gridSpan w:val="4"/>
          </w:tcPr>
          <w:p>
            <w:pPr>
              <w:ind w:left="2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11,538</w:t>
            </w: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7,591</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18,500</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15,086</w:t>
            </w:r>
          </w:p>
        </w:tc>
        <w:tc>
          <w:tcPr>
            <w:tcW w:w="940" w:type="dxa"/>
            <w:vAlign w:val="bottom"/>
          </w:tcPr>
          <w:p>
            <w:pPr>
              <w:jc w:val="center"/>
              <w:ind w:left="14"/>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0"/>
        </w:trPr>
        <w:tc>
          <w:tcPr>
            <w:tcW w:w="45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11,538</w:t>
            </w:r>
          </w:p>
        </w:tc>
        <w:tc>
          <w:tcPr>
            <w:tcW w:w="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7,591</w:t>
            </w:r>
          </w:p>
        </w:tc>
        <w:tc>
          <w:tcPr>
            <w:tcW w:w="104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52%</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18,500</w:t>
            </w: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15,086</w:t>
            </w:r>
          </w:p>
        </w:tc>
        <w:tc>
          <w:tcPr>
            <w:tcW w:w="940" w:type="dxa"/>
            <w:vAlign w:val="bottom"/>
            <w:tcBorders>
              <w:top w:val="single" w:sz="8" w:color="CFF0FC"/>
            </w:tcBorders>
            <w:shd w:val="clear" w:color="auto" w:fill="CFF0FC"/>
          </w:tcPr>
          <w:p>
            <w:pPr>
              <w:jc w:val="center"/>
              <w:ind w:left="14"/>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757</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871</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(13%)</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2,087</w:t>
            </w:r>
          </w:p>
        </w:tc>
        <w:tc>
          <w:tcPr>
            <w:tcW w:w="94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16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157</w:t>
            </w:r>
          </w:p>
        </w:tc>
        <w:tc>
          <w:tcPr>
            <w:tcW w:w="940" w:type="dxa"/>
            <w:vAlign w:val="bottom"/>
          </w:tcPr>
          <w:p>
            <w:pPr>
              <w:jc w:val="center"/>
              <w:ind w:left="14"/>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1,920</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1,923</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3,831</w:t>
            </w:r>
          </w:p>
        </w:tc>
        <w:tc>
          <w:tcPr>
            <w:tcW w:w="940" w:type="dxa"/>
            <w:vAlign w:val="bottom"/>
            <w:shd w:val="clear" w:color="auto" w:fill="CFF0FC"/>
          </w:tcPr>
          <w:p>
            <w:pPr>
              <w:jc w:val="center"/>
              <w:ind w:left="34"/>
              <w:spacing w:after="0"/>
              <w:rPr>
                <w:sz w:val="20"/>
                <w:szCs w:val="20"/>
                <w:color w:val="auto"/>
              </w:rPr>
            </w:pPr>
            <w:r>
              <w:rPr>
                <w:rFonts w:ascii="Arial" w:cs="Arial" w:eastAsia="Arial" w:hAnsi="Arial"/>
                <w:sz w:val="18"/>
                <w:szCs w:val="18"/>
                <w:color w:val="auto"/>
                <w:w w:val="99"/>
              </w:rPr>
              <w:t>0%</w:t>
            </w: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Gain on asset sales, net</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center"/>
              <w:ind w:left="34"/>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2,719</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2,870</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5,691</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6,075</w:t>
            </w:r>
          </w:p>
        </w:tc>
        <w:tc>
          <w:tcPr>
            <w:tcW w:w="940" w:type="dxa"/>
            <w:vAlign w:val="bottom"/>
            <w:shd w:val="clear" w:color="auto" w:fill="CFF0FC"/>
          </w:tcPr>
          <w:p>
            <w:pPr>
              <w:jc w:val="center"/>
              <w:ind w:left="34"/>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1,920</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1,923</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3,831</w:t>
            </w: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Pr>
          <w:p>
            <w:pPr>
              <w:ind w:left="140"/>
              <w:spacing w:after="0"/>
              <w:rPr>
                <w:sz w:val="20"/>
                <w:szCs w:val="20"/>
                <w:color w:val="auto"/>
              </w:rPr>
            </w:pPr>
            <w:r>
              <w:rPr>
                <w:rFonts w:ascii="Arial" w:cs="Arial" w:eastAsia="Arial" w:hAnsi="Arial"/>
                <w:sz w:val="18"/>
                <w:szCs w:val="18"/>
                <w:color w:val="auto"/>
              </w:rPr>
              <w:t>Adjustments related to capital</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1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10,693</w:t>
            </w:r>
          </w:p>
        </w:tc>
        <w:tc>
          <w:tcPr>
            <w:tcW w:w="8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6,640</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16,621</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12,833</w:t>
            </w:r>
          </w:p>
        </w:tc>
        <w:tc>
          <w:tcPr>
            <w:tcW w:w="940" w:type="dxa"/>
            <w:vAlign w:val="bottom"/>
          </w:tcPr>
          <w:p>
            <w:pPr>
              <w:jc w:val="center"/>
              <w:ind w:left="14"/>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320675</wp:posOffset>
            </wp:positionV>
            <wp:extent cx="5143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 cy="8255"/>
                    </a:xfrm>
                    <a:prstGeom prst="rect">
                      <a:avLst/>
                    </a:prstGeom>
                    <a:noFill/>
                  </pic:spPr>
                </pic:pic>
              </a:graphicData>
            </a:graphic>
          </wp:anchor>
        </w:drawing>
        <w:t>* Not considered meaningful</w:t>
      </w:r>
    </w:p>
    <w:p>
      <w:pPr>
        <w:spacing w:after="0" w:line="11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u w:val="single" w:color="auto"/>
          <w:color w:val="auto"/>
        </w:rPr>
        <w:t>Three and six months ended June 30, 2020</w:t>
      </w:r>
      <w:r>
        <w:rPr>
          <w:rFonts w:ascii="Arial" w:cs="Arial" w:eastAsia="Arial" w:hAnsi="Arial"/>
          <w:sz w:val="18"/>
          <w:szCs w:val="18"/>
          <w:color w:val="auto"/>
        </w:rPr>
        <w:t>. Segment adjusted EBITDA increased $4.1 million and $3.8 million compared to the three and six months ended June 30, 2019 primarily due to the increase in volume throughput previously discussed.</w:t>
      </w:r>
    </w:p>
    <w:p>
      <w:pPr>
        <w:spacing w:after="0" w:line="6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The Ohio Gathering reportable segment includes OGC and OCC. We account for our investment in Ohio Gathering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equity method and we recognize our proportionate share of earnings or loss in net income on a one-month lag based on the financial information available to us during the reporting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Gross volume throughput for Ohio Gathering, based on a one-month lag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Ohio Gathering</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4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0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880" w:type="dxa"/>
            <w:vAlign w:val="bottom"/>
            <w:gridSpan w:val="2"/>
            <w:shd w:val="clear" w:color="auto" w:fill="CFF0FC"/>
          </w:tcPr>
          <w:p>
            <w:pPr>
              <w:jc w:val="right"/>
              <w:ind w:right="2048"/>
              <w:spacing w:after="0"/>
              <w:rPr>
                <w:sz w:val="20"/>
                <w:szCs w:val="20"/>
                <w:color w:val="auto"/>
              </w:rPr>
            </w:pPr>
            <w:r>
              <w:rPr>
                <w:rFonts w:ascii="Arial" w:cs="Arial" w:eastAsia="Arial" w:hAnsi="Arial"/>
                <w:sz w:val="18"/>
                <w:szCs w:val="18"/>
                <w:color w:val="auto"/>
                <w:w w:val="99"/>
              </w:rPr>
              <w:t>Average daily throughput (MMcf/d)</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540</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(24%)</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Volume throughput for the Ohio Gathering system decreased compared to the three and six months ended June 30, 2019 as a result of natural production declines on existing wells on the system and temporary production curtailments beginning in the second quarter of 2020, partially offset by the completion of new wells throughout 2019.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Ohio Gathering reportable segment, based on a one-month lag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Ohio Gathering</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tcBorders>
              <w:bottom w:val="single" w:sz="8" w:color="auto"/>
            </w:tcBorders>
            <w:gridSpan w:val="5"/>
          </w:tcPr>
          <w:p>
            <w:pPr>
              <w:jc w:val="right"/>
              <w:ind w:right="116"/>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vMerge w:val="restart"/>
          </w:tcPr>
          <w:p>
            <w:pPr>
              <w:jc w:val="center"/>
              <w:ind w:left="62"/>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Proportional adjusted EBITDA for equity</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method investees</w:t>
            </w: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7,514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9,939</w:t>
            </w:r>
          </w:p>
        </w:tc>
        <w:tc>
          <w:tcPr>
            <w:tcW w:w="1200" w:type="dxa"/>
            <w:vAlign w:val="bottom"/>
            <w:shd w:val="clear" w:color="auto" w:fill="CFF0FC"/>
          </w:tcPr>
          <w:p>
            <w:pPr>
              <w:jc w:val="center"/>
              <w:ind w:left="42"/>
              <w:spacing w:after="0" w:line="203" w:lineRule="exact"/>
              <w:rPr>
                <w:sz w:val="20"/>
                <w:szCs w:val="20"/>
                <w:color w:val="auto"/>
              </w:rPr>
            </w:pPr>
            <w:r>
              <w:rPr>
                <w:rFonts w:ascii="Arial" w:cs="Arial" w:eastAsia="Arial" w:hAnsi="Arial"/>
                <w:sz w:val="18"/>
                <w:szCs w:val="18"/>
                <w:color w:val="auto"/>
                <w:w w:val="99"/>
              </w:rPr>
              <w:t>(24%)</w:t>
            </w:r>
          </w:p>
        </w:tc>
        <w:tc>
          <w:tcPr>
            <w:tcW w:w="2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15,453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19,149</w:t>
            </w:r>
          </w:p>
        </w:tc>
        <w:tc>
          <w:tcPr>
            <w:tcW w:w="1180" w:type="dxa"/>
            <w:vAlign w:val="bottom"/>
            <w:shd w:val="clear" w:color="auto" w:fill="CFF0FC"/>
          </w:tcPr>
          <w:p>
            <w:pPr>
              <w:jc w:val="center"/>
              <w:ind w:left="19"/>
              <w:spacing w:after="0" w:line="203" w:lineRule="exact"/>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5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7,514</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9,939</w:t>
            </w:r>
          </w:p>
        </w:tc>
        <w:tc>
          <w:tcPr>
            <w:tcW w:w="1200" w:type="dxa"/>
            <w:vAlign w:val="bottom"/>
          </w:tcPr>
          <w:p>
            <w:pPr>
              <w:jc w:val="center"/>
              <w:ind w:left="42"/>
              <w:spacing w:after="0"/>
              <w:rPr>
                <w:sz w:val="20"/>
                <w:szCs w:val="20"/>
                <w:color w:val="auto"/>
              </w:rPr>
            </w:pPr>
            <w:r>
              <w:rPr>
                <w:rFonts w:ascii="Arial" w:cs="Arial" w:eastAsia="Arial" w:hAnsi="Arial"/>
                <w:sz w:val="18"/>
                <w:szCs w:val="18"/>
                <w:color w:val="auto"/>
                <w:w w:val="99"/>
              </w:rPr>
              <w:t>(24%)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15,453</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19,149</w:t>
            </w:r>
          </w:p>
        </w:tc>
        <w:tc>
          <w:tcPr>
            <w:tcW w:w="1180" w:type="dxa"/>
            <w:vAlign w:val="bottom"/>
          </w:tcPr>
          <w:p>
            <w:pPr>
              <w:jc w:val="center"/>
              <w:ind w:left="19"/>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Segment adjusted EBITDA for equity method investees decreased $2.4 million and $3.7 million compared to the three and six months ended June 30, 2019 primarily as a result of the lower volume throughput described above.</w:t>
      </w:r>
    </w:p>
    <w:p>
      <w:pPr>
        <w:spacing w:after="0" w:line="6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b w:val="1"/>
          <w:bCs w:val="1"/>
          <w:i w:val="1"/>
          <w:iCs w:val="1"/>
          <w:color w:val="auto"/>
        </w:rPr>
        <w:t xml:space="preserve">Williston Basin. </w:t>
      </w:r>
      <w:r>
        <w:rPr>
          <w:rFonts w:ascii="Arial" w:cs="Arial" w:eastAsia="Arial" w:hAnsi="Arial"/>
          <w:sz w:val="18"/>
          <w:szCs w:val="18"/>
          <w:color w:val="auto"/>
        </w:rPr>
        <w:t>The Polar and Divide, Bison Midstream and Tioga Midstream (through March 22, 2019; refer to Note 16 to the unaudited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financial statements for details on the sale of Tioga Midstream) systems provide our midstream services for the Williston Basin reportable segment. Volume throughput for our Williston Basin reportable segment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Williston Basin</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3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2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060" w:type="dxa"/>
            <w:vAlign w:val="bottom"/>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6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natural gas (MMcf/d)</w:t>
            </w:r>
          </w:p>
        </w:tc>
        <w:tc>
          <w:tcPr>
            <w:tcW w:w="1060" w:type="dxa"/>
            <w:vAlign w:val="bottom"/>
            <w:shd w:val="clear" w:color="auto" w:fill="CFF0FC"/>
          </w:tcPr>
          <w:p>
            <w:pPr>
              <w:jc w:val="right"/>
              <w:ind w:right="359"/>
              <w:spacing w:after="0" w:line="203" w:lineRule="exact"/>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56"/>
              <w:spacing w:after="0" w:line="203" w:lineRule="exact"/>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01"/>
              <w:spacing w:after="0" w:line="203" w:lineRule="exact"/>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59"/>
              <w:spacing w:after="0" w:line="203" w:lineRule="exact"/>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56"/>
              <w:spacing w:after="0" w:line="203" w:lineRule="exact"/>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39"/>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liquids (Mbbl/d)</w:t>
            </w:r>
          </w:p>
        </w:tc>
        <w:tc>
          <w:tcPr>
            <w:tcW w:w="1060" w:type="dxa"/>
            <w:vAlign w:val="bottom"/>
            <w:shd w:val="clear" w:color="auto" w:fill="CFF0FC"/>
          </w:tcPr>
          <w:p>
            <w:pPr>
              <w:jc w:val="right"/>
              <w:ind w:right="279"/>
              <w:spacing w:after="0" w:line="203" w:lineRule="exact"/>
              <w:rPr>
                <w:sz w:val="20"/>
                <w:szCs w:val="20"/>
                <w:color w:val="auto"/>
              </w:rPr>
            </w:pPr>
            <w:r>
              <w:rPr>
                <w:rFonts w:ascii="Arial" w:cs="Arial" w:eastAsia="Arial" w:hAnsi="Arial"/>
                <w:sz w:val="18"/>
                <w:szCs w:val="18"/>
                <w:color w:val="auto"/>
              </w:rPr>
              <w:t>76.0</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76"/>
              <w:spacing w:after="0" w:line="203" w:lineRule="exact"/>
              <w:rPr>
                <w:sz w:val="20"/>
                <w:szCs w:val="20"/>
                <w:color w:val="auto"/>
              </w:rPr>
            </w:pPr>
            <w:r>
              <w:rPr>
                <w:rFonts w:ascii="Arial" w:cs="Arial" w:eastAsia="Arial" w:hAnsi="Arial"/>
                <w:sz w:val="18"/>
                <w:szCs w:val="18"/>
                <w:color w:val="auto"/>
              </w:rPr>
              <w:t>94.3</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41"/>
              <w:spacing w:after="0" w:line="203" w:lineRule="exact"/>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79"/>
              <w:spacing w:after="0" w:line="203" w:lineRule="exact"/>
              <w:rPr>
                <w:sz w:val="20"/>
                <w:szCs w:val="20"/>
                <w:color w:val="auto"/>
              </w:rPr>
            </w:pPr>
            <w:r>
              <w:rPr>
                <w:rFonts w:ascii="Arial" w:cs="Arial" w:eastAsia="Arial" w:hAnsi="Arial"/>
                <w:sz w:val="18"/>
                <w:szCs w:val="18"/>
                <w:color w:val="auto"/>
              </w:rPr>
              <w:t>87.0</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76"/>
              <w:spacing w:after="0" w:line="203" w:lineRule="exact"/>
              <w:rPr>
                <w:sz w:val="20"/>
                <w:szCs w:val="20"/>
                <w:color w:val="auto"/>
              </w:rPr>
            </w:pPr>
            <w:r>
              <w:rPr>
                <w:rFonts w:ascii="Arial" w:cs="Arial" w:eastAsia="Arial" w:hAnsi="Arial"/>
                <w:sz w:val="18"/>
                <w:szCs w:val="18"/>
                <w:color w:val="auto"/>
              </w:rPr>
              <w:t>98.6</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239"/>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40"/>
        <w:spacing w:after="0"/>
        <w:rPr>
          <w:sz w:val="20"/>
          <w:szCs w:val="20"/>
          <w:color w:val="auto"/>
        </w:rPr>
      </w:pPr>
      <w:r>
        <w:rPr>
          <w:rFonts w:ascii="Arial" w:cs="Arial" w:eastAsia="Arial" w:hAnsi="Arial"/>
          <w:sz w:val="18"/>
          <w:szCs w:val="18"/>
          <w:u w:val="single" w:color="auto"/>
          <w:color w:val="auto"/>
        </w:rPr>
        <w:t>Natural gas</w:t>
      </w:r>
      <w:r>
        <w:rPr>
          <w:rFonts w:ascii="Arial" w:cs="Arial" w:eastAsia="Arial" w:hAnsi="Arial"/>
          <w:sz w:val="18"/>
          <w:szCs w:val="18"/>
          <w:color w:val="auto"/>
        </w:rPr>
        <w:t>. Natural gas volume throughput increased compared to the three and six months ended June 30, 2019, primarily reflecting the completion of new wells behind the Bison Midstream system in the fourth quarter of 2019 and 2020 partially offset by natural production declines and the sale of Tioga Midstream.</w:t>
      </w:r>
    </w:p>
    <w:p>
      <w:pPr>
        <w:spacing w:after="0" w:line="95" w:lineRule="exact"/>
        <w:rPr>
          <w:sz w:val="20"/>
          <w:szCs w:val="20"/>
          <w:color w:val="auto"/>
        </w:rPr>
      </w:pPr>
    </w:p>
    <w:p>
      <w:pPr>
        <w:jc w:val="both"/>
        <w:ind w:right="220"/>
        <w:spacing w:after="0"/>
        <w:rPr>
          <w:sz w:val="20"/>
          <w:szCs w:val="20"/>
          <w:color w:val="auto"/>
        </w:rPr>
      </w:pPr>
      <w:r>
        <w:rPr>
          <w:rFonts w:ascii="Arial" w:cs="Arial" w:eastAsia="Arial" w:hAnsi="Arial"/>
          <w:sz w:val="18"/>
          <w:szCs w:val="18"/>
          <w:u w:val="single" w:color="auto"/>
          <w:color w:val="auto"/>
        </w:rPr>
        <w:t>Liquids</w:t>
      </w:r>
      <w:r>
        <w:rPr>
          <w:rFonts w:ascii="Arial" w:cs="Arial" w:eastAsia="Arial" w:hAnsi="Arial"/>
          <w:sz w:val="18"/>
          <w:szCs w:val="18"/>
          <w:color w:val="auto"/>
        </w:rPr>
        <w:t>. The decrease in liquids volume throughput compared to the three and six months ended June 30, 2019, primarily associated with natural production declines and temporary production curtailments associated with a significant reduction in crude oil prices as a result of a decrease in demand attributable to the COVID-19 pandemic, partially offset by the completion of new wells throughout 2019 and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Financial data for our Williston Basin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Williston Basin</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224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4"/>
                <w:szCs w:val="14"/>
                <w:b w:val="1"/>
                <w:bCs w:val="1"/>
                <w:color w:val="auto"/>
              </w:rPr>
              <w:t>Three months ended June 30,</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12,407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15,685</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36,204</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41,391</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3,768</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(17%)</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7,455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9,353</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2,670</w:t>
            </w:r>
          </w:p>
        </w:tc>
        <w:tc>
          <w:tcPr>
            <w:tcW w:w="13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5,578</w:t>
            </w:r>
          </w:p>
        </w:tc>
        <w:tc>
          <w:tcPr>
            <w:tcW w:w="11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18,314</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22,123</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(17%)</w:t>
            </w: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49,577</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56,322</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1,052</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2,604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3,761</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5,827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5,706</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12,549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12,222</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371</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33%</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712</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6,487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4,734</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37%</w:t>
            </w:r>
          </w:p>
        </w:tc>
        <w:tc>
          <w:tcPr>
            <w:tcW w:w="10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12,982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10,170</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1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3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118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13,660</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11,696</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17%</w:t>
            </w: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29,127</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25,740</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09"/>
        </w:trPr>
        <w:tc>
          <w:tcPr>
            <w:tcW w:w="428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6,487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4,734</w:t>
            </w: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12,982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10,170</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80" w:type="dxa"/>
            <w:vAlign w:val="bottom"/>
          </w:tcPr>
          <w:p>
            <w:pPr>
              <w:ind w:left="140"/>
              <w:spacing w:after="0"/>
              <w:rPr>
                <w:sz w:val="20"/>
                <w:szCs w:val="20"/>
                <w:color w:val="auto"/>
              </w:rPr>
            </w:pPr>
            <w:r>
              <w:rPr>
                <w:rFonts w:ascii="Arial" w:cs="Arial" w:eastAsia="Arial" w:hAnsi="Arial"/>
                <w:sz w:val="18"/>
                <w:szCs w:val="18"/>
                <w:color w:val="auto"/>
              </w:rPr>
              <w:t>Adjustments related to MVC shortfall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340"/>
              <w:spacing w:after="0" w:line="203" w:lineRule="exact"/>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17"/>
                <w:szCs w:val="17"/>
                <w:color w:val="auto"/>
              </w:rPr>
            </w:pPr>
          </w:p>
        </w:tc>
        <w:tc>
          <w:tcPr>
            <w:tcW w:w="8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2,124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2,081</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(3,541)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(3,468)</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(451)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(425)</w:t>
            </w: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(934)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(775)</w:t>
            </w: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w:t>
            </w:r>
          </w:p>
        </w:tc>
        <w:tc>
          <w:tcPr>
            <w:tcW w:w="13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12,727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16,650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28,919</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35,384</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143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u w:val="single" w:color="auto"/>
          <w:color w:val="auto"/>
        </w:rPr>
        <w:t>Three months ended June 30, 2020</w:t>
      </w:r>
      <w:r>
        <w:rPr>
          <w:rFonts w:ascii="Arial" w:cs="Arial" w:eastAsia="Arial" w:hAnsi="Arial"/>
          <w:sz w:val="18"/>
          <w:szCs w:val="18"/>
          <w:color w:val="auto"/>
        </w:rPr>
        <w:t>. Segment adjusted EBITDA decreased $3.9 million compared to the three months ended June 30, 2019 primarily due to lower liquids volume throughput on our systems as previously discussed.</w:t>
      </w:r>
    </w:p>
    <w:p>
      <w:pPr>
        <w:spacing w:after="0" w:line="7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u w:val="single" w:color="auto"/>
          <w:color w:val="auto"/>
        </w:rPr>
        <w:t>Six months ended June 30, 2020</w:t>
      </w:r>
      <w:r>
        <w:rPr>
          <w:rFonts w:ascii="Arial" w:cs="Arial" w:eastAsia="Arial" w:hAnsi="Arial"/>
          <w:sz w:val="18"/>
          <w:szCs w:val="18"/>
          <w:color w:val="auto"/>
        </w:rPr>
        <w:t>. Segment adjusted EBITDA decreased $6.5 million compared to the six months ended June 30, 2019 primarily reflecting:</w:t>
      </w:r>
    </w:p>
    <w:p>
      <w:pPr>
        <w:spacing w:after="0" w:line="76" w:lineRule="exact"/>
        <w:rPr>
          <w:sz w:val="20"/>
          <w:szCs w:val="20"/>
          <w:color w:val="auto"/>
        </w:rPr>
      </w:pPr>
    </w:p>
    <w:p>
      <w:pPr>
        <w:ind w:left="800" w:right="4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decrease of $0.9 million of segment adjusted EBITDA contributed by the Tioga Midstream system compared to the six months ended June 30, 2019 due to the sale of Tioga Midstream on March 22, 2019. We also experienced lower liquids volume throughput on our systems as previously discussed.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80" w:hanging="401"/>
        <w:spacing w:after="0" w:line="23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March 22, 2019, we sold the Tioga Midstream system and recorded a gain on sale of $0.9 million based on the difference between the consideration received and the then carrying value for Tioga Midstream at closing. The financial results of Tioga Midstream are included in our unaudited condensed consolidated financial statements for the period from January 1, 2019 through March 22, 2019.</w:t>
      </w:r>
    </w:p>
    <w:p>
      <w:pPr>
        <w:spacing w:after="0" w:line="7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 xml:space="preserve">DJ Basin. </w:t>
      </w:r>
      <w:r>
        <w:rPr>
          <w:rFonts w:ascii="Arial" w:cs="Arial" w:eastAsia="Arial" w:hAnsi="Arial"/>
          <w:sz w:val="18"/>
          <w:szCs w:val="18"/>
          <w:color w:val="auto"/>
        </w:rPr>
        <w:t>The Niobrara G&amp;P systems provide midstream services for the DJ Basin reportable segment. Volume throughput for our DJ Basin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DJ Basin</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4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0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20" w:type="dxa"/>
            <w:vAlign w:val="bottom"/>
            <w:tcBorders>
              <w:bottom w:val="single" w:sz="8" w:color="CFF0FC"/>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920" w:type="dxa"/>
            <w:vAlign w:val="bottom"/>
            <w:gridSpan w:val="2"/>
            <w:shd w:val="clear" w:color="auto" w:fill="CFF0FC"/>
          </w:tcPr>
          <w:p>
            <w:pPr>
              <w:jc w:val="right"/>
              <w:ind w:right="2848"/>
              <w:spacing w:after="0"/>
              <w:rPr>
                <w:sz w:val="20"/>
                <w:szCs w:val="20"/>
                <w:color w:val="auto"/>
              </w:rPr>
            </w:pPr>
            <w:r>
              <w:rPr>
                <w:rFonts w:ascii="Arial" w:cs="Arial" w:eastAsia="Arial" w:hAnsi="Arial"/>
                <w:sz w:val="18"/>
                <w:szCs w:val="18"/>
                <w:color w:val="auto"/>
                <w:w w:val="98"/>
              </w:rPr>
              <w:t>Average daily throughput</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gridSpan w:val="2"/>
            <w:shd w:val="clear" w:color="auto" w:fill="CFF0FC"/>
          </w:tcPr>
          <w:p>
            <w:pPr>
              <w:jc w:val="right"/>
              <w:ind w:right="3928"/>
              <w:spacing w:after="0" w:line="203" w:lineRule="exact"/>
              <w:rPr>
                <w:sz w:val="20"/>
                <w:szCs w:val="20"/>
                <w:color w:val="auto"/>
              </w:rPr>
            </w:pPr>
            <w:r>
              <w:rPr>
                <w:rFonts w:ascii="Arial" w:cs="Arial" w:eastAsia="Arial" w:hAnsi="Arial"/>
                <w:sz w:val="18"/>
                <w:szCs w:val="18"/>
                <w:color w:val="auto"/>
              </w:rPr>
              <w:t>(MMcf/d)</w:t>
            </w:r>
          </w:p>
        </w:tc>
        <w:tc>
          <w:tcPr>
            <w:tcW w:w="40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2"/>
              <w:spacing w:after="0" w:line="203" w:lineRule="exact"/>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716"/>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ind w:right="220"/>
        <w:spacing w:after="0" w:line="249" w:lineRule="auto"/>
        <w:rPr>
          <w:sz w:val="20"/>
          <w:szCs w:val="20"/>
          <w:color w:val="auto"/>
        </w:rPr>
      </w:pPr>
      <w:r>
        <w:rPr>
          <w:rFonts w:ascii="Arial" w:cs="Arial" w:eastAsia="Arial" w:hAnsi="Arial"/>
          <w:sz w:val="18"/>
          <w:szCs w:val="18"/>
          <w:color w:val="auto"/>
        </w:rPr>
        <w:t>Volume throughput increased compared to the six months ended June 30, 2019, primarily as a result of ongoing drilling and completion activity across our service area and a more favorable volume and gathering rate mix from customers and the commissioning of our new natural gas processing plant in June 2019, partially offset by natural production declines and temporary production curtailments associated with a significant reduction in crude oil prices as a result of a decrease in demand attributable to the COVID-19 pandemic.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DJ Basin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DJ Basin</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Borders>
              <w:bottom w:val="single" w:sz="8" w:color="auto"/>
            </w:tcBorders>
            <w:gridSpan w:val="5"/>
          </w:tcPr>
          <w:p>
            <w:pPr>
              <w:jc w:val="right"/>
              <w:ind w:right="111"/>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vMerge w:val="restart"/>
          </w:tcPr>
          <w:p>
            <w:pPr>
              <w:jc w:val="center"/>
              <w:ind w:left="55"/>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8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5,228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4,021</w:t>
            </w:r>
          </w:p>
        </w:tc>
        <w:tc>
          <w:tcPr>
            <w:tcW w:w="1200" w:type="dxa"/>
            <w:vAlign w:val="bottom"/>
          </w:tcPr>
          <w:p>
            <w:pPr>
              <w:jc w:val="center"/>
              <w:ind w:left="35"/>
              <w:spacing w:after="0"/>
              <w:rPr>
                <w:sz w:val="20"/>
                <w:szCs w:val="20"/>
                <w:color w:val="auto"/>
              </w:rPr>
            </w:pPr>
            <w:r>
              <w:rPr>
                <w:rFonts w:ascii="Arial" w:cs="Arial" w:eastAsia="Arial" w:hAnsi="Arial"/>
                <w:sz w:val="18"/>
                <w:szCs w:val="18"/>
                <w:color w:val="auto"/>
                <w:w w:val="99"/>
              </w:rPr>
              <w:t>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12,083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7,745</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101</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(30%)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186</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1,034</w:t>
            </w:r>
          </w:p>
        </w:tc>
        <w:tc>
          <w:tcPr>
            <w:tcW w:w="1200" w:type="dxa"/>
            <w:vAlign w:val="bottom"/>
            <w:tcBorders>
              <w:bottom w:val="single" w:sz="8" w:color="CFF0FC"/>
            </w:tcBorders>
          </w:tcPr>
          <w:p>
            <w:pPr>
              <w:jc w:val="center"/>
              <w:ind w:left="55"/>
              <w:spacing w:after="0"/>
              <w:rPr>
                <w:sz w:val="20"/>
                <w:szCs w:val="20"/>
                <w:color w:val="auto"/>
              </w:rPr>
            </w:pPr>
            <w:r>
              <w:rPr>
                <w:rFonts w:ascii="Arial" w:cs="Arial" w:eastAsia="Arial" w:hAnsi="Arial"/>
                <w:sz w:val="18"/>
                <w:szCs w:val="18"/>
                <w:color w:val="auto"/>
                <w:w w:val="99"/>
              </w:rPr>
              <w:t>(4%)</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2,027</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2,041</w:t>
            </w:r>
          </w:p>
        </w:tc>
        <w:tc>
          <w:tcPr>
            <w:tcW w:w="1180" w:type="dxa"/>
            <w:vAlign w:val="bottom"/>
            <w:tcBorders>
              <w:bottom w:val="single" w:sz="8" w:color="CFF0FC"/>
            </w:tcBorders>
          </w:tcPr>
          <w:p>
            <w:pPr>
              <w:jc w:val="center"/>
              <w:ind w:left="3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6,292</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5,156</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22%</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14,251</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9,972</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09"/>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2,028</w:t>
            </w:r>
          </w:p>
        </w:tc>
        <w:tc>
          <w:tcPr>
            <w:tcW w:w="1200" w:type="dxa"/>
            <w:vAlign w:val="bottom"/>
          </w:tcPr>
          <w:p>
            <w:pPr>
              <w:jc w:val="center"/>
              <w:ind w:left="35"/>
              <w:spacing w:after="0"/>
              <w:rPr>
                <w:sz w:val="20"/>
                <w:szCs w:val="20"/>
                <w:color w:val="auto"/>
              </w:rPr>
            </w:pPr>
            <w:r>
              <w:rPr>
                <w:rFonts w:ascii="Arial" w:cs="Arial" w:eastAsia="Arial" w:hAnsi="Arial"/>
                <w:sz w:val="18"/>
                <w:szCs w:val="18"/>
                <w:color w:val="auto"/>
                <w:w w:val="99"/>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4,870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3,877</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w:t>
            </w:r>
          </w:p>
        </w:tc>
        <w:tc>
          <w:tcPr>
            <w:tcW w:w="120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135%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132</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464</w:t>
            </w:r>
          </w:p>
        </w:tc>
        <w:tc>
          <w:tcPr>
            <w:tcW w:w="1200" w:type="dxa"/>
            <w:vAlign w:val="bottom"/>
          </w:tcPr>
          <w:p>
            <w:pPr>
              <w:jc w:val="center"/>
              <w:ind w:left="55"/>
              <w:spacing w:after="0"/>
              <w:rPr>
                <w:sz w:val="20"/>
                <w:szCs w:val="20"/>
                <w:color w:val="auto"/>
              </w:rPr>
            </w:pPr>
            <w:r>
              <w:rPr>
                <w:rFonts w:ascii="Arial" w:cs="Arial" w:eastAsia="Arial" w:hAnsi="Arial"/>
                <w:sz w:val="18"/>
                <w:szCs w:val="18"/>
                <w:color w:val="auto"/>
                <w:w w:val="99"/>
              </w:rPr>
              <w:t>224%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1,263</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Long-lived asset impairment</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w:t>
            </w:r>
          </w:p>
        </w:tc>
        <w:tc>
          <w:tcPr>
            <w:tcW w:w="120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34,759</w:t>
            </w:r>
          </w:p>
        </w:tc>
        <w:tc>
          <w:tcPr>
            <w:tcW w:w="118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4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4,076</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2,590</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57%</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11,845</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40,041</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(70%)</w:t>
            </w:r>
          </w:p>
        </w:tc>
        <w:tc>
          <w:tcPr>
            <w:tcW w:w="0" w:type="dxa"/>
            <w:vAlign w:val="bottom"/>
          </w:tcPr>
          <w:p>
            <w:pPr>
              <w:spacing w:after="0"/>
              <w:rPr>
                <w:sz w:val="1"/>
                <w:szCs w:val="1"/>
                <w:color w:val="auto"/>
              </w:rPr>
            </w:pPr>
          </w:p>
        </w:tc>
      </w:tr>
      <w:tr>
        <w:trPr>
          <w:trHeight w:val="209"/>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1,502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464</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3,029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1,263</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Adjustments related to capital</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544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(252)</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1,103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(464)</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Loss on asset sales, net</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Long-lived asset impairment</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w:t>
            </w:r>
          </w:p>
        </w:tc>
        <w:tc>
          <w:tcPr>
            <w:tcW w:w="1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34,759</w:t>
            </w:r>
          </w:p>
        </w:tc>
        <w:tc>
          <w:tcPr>
            <w:tcW w:w="1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6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4,339</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2,816</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54%</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10,250</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5,489</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87%</w:t>
            </w:r>
          </w:p>
        </w:tc>
        <w:tc>
          <w:tcPr>
            <w:tcW w:w="0" w:type="dxa"/>
            <w:vAlign w:val="bottom"/>
          </w:tcPr>
          <w:p>
            <w:pPr>
              <w:spacing w:after="0"/>
              <w:rPr>
                <w:sz w:val="1"/>
                <w:szCs w:val="1"/>
                <w:color w:val="auto"/>
              </w:rPr>
            </w:pPr>
          </w:p>
        </w:tc>
      </w:tr>
      <w:tr>
        <w:trPr>
          <w:trHeight w:val="20"/>
        </w:trPr>
        <w:tc>
          <w:tcPr>
            <w:tcW w:w="820" w:type="dxa"/>
            <w:vAlign w:val="bottom"/>
            <w:tcBorders>
              <w:top w:val="single" w:sz="8" w:color="CFF0FC"/>
            </w:tcBorders>
          </w:tcPr>
          <w:p>
            <w:pPr>
              <w:spacing w:after="0" w:line="20" w:lineRule="exact"/>
              <w:rPr>
                <w:sz w:val="1"/>
                <w:szCs w:val="1"/>
                <w:color w:val="auto"/>
              </w:rPr>
            </w:pPr>
          </w:p>
        </w:tc>
        <w:tc>
          <w:tcPr>
            <w:tcW w:w="29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u w:val="single" w:color="auto"/>
          <w:color w:val="auto"/>
        </w:rPr>
        <w:t>Three months ended June 30, 2020</w:t>
      </w:r>
      <w:r>
        <w:rPr>
          <w:rFonts w:ascii="Arial" w:cs="Arial" w:eastAsia="Arial" w:hAnsi="Arial"/>
          <w:sz w:val="18"/>
          <w:szCs w:val="18"/>
          <w:color w:val="auto"/>
        </w:rPr>
        <w:t>. Segment adjusted EBITDA increased $1.5 million compared to the three months ended June 30, 2019, primarily reflecting:</w:t>
      </w:r>
    </w:p>
    <w:p>
      <w:pPr>
        <w:spacing w:after="0" w:line="76" w:lineRule="exact"/>
        <w:rPr>
          <w:sz w:val="20"/>
          <w:szCs w:val="20"/>
          <w:color w:val="auto"/>
        </w:rPr>
      </w:pPr>
    </w:p>
    <w:p>
      <w:pPr>
        <w:ind w:left="800" w:right="120" w:hanging="401"/>
        <w:spacing w:after="0" w:line="249"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$1.2 million increase in gathering services and related fees primarily due a more favorable volume and gathering rate mix from customers and the commissioning of our new natural gas processing plant in June 2019, partially offset by natural production declines and temporary production curtailments associated with a significant reduction in crude oil prices as a result of a decrease in demand attributable to the COVID-19 pandemic.</w:t>
      </w:r>
    </w:p>
    <w:p>
      <w:pPr>
        <w:spacing w:after="0" w:line="86"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u w:val="single" w:color="auto"/>
          <w:color w:val="auto"/>
        </w:rPr>
        <w:t>Six months ended June 30, 2020</w:t>
      </w:r>
      <w:r>
        <w:rPr>
          <w:rFonts w:ascii="Arial" w:cs="Arial" w:eastAsia="Arial" w:hAnsi="Arial"/>
          <w:sz w:val="18"/>
          <w:szCs w:val="18"/>
          <w:color w:val="auto"/>
        </w:rPr>
        <w:t>. Segment adjusted EBITDA increased $4.8 million compared to the six months ended June 30, 2019, primarily reflecting:</w:t>
      </w:r>
    </w:p>
    <w:p>
      <w:pPr>
        <w:spacing w:after="0" w:line="76" w:lineRule="exact"/>
        <w:rPr>
          <w:sz w:val="20"/>
          <w:szCs w:val="20"/>
          <w:color w:val="auto"/>
        </w:rPr>
      </w:pPr>
    </w:p>
    <w:p>
      <w:pPr>
        <w:ind w:right="140" w:firstLine="399"/>
        <w:spacing w:after="0" w:line="360" w:lineRule="auto"/>
        <w:tabs>
          <w:tab w:leader="none" w:pos="783"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$4.3 million increase in gathering services and related fees primarily due to the increase in volume throughput discussed above. Other items to note:</w:t>
      </w:r>
    </w:p>
    <w:p>
      <w:pPr>
        <w:spacing w:after="0" w:line="13" w:lineRule="exact"/>
        <w:rPr>
          <w:rFonts w:ascii="Arial" w:cs="Arial" w:eastAsia="Arial" w:hAnsi="Arial"/>
          <w:sz w:val="18"/>
          <w:szCs w:val="18"/>
          <w:color w:val="auto"/>
        </w:rPr>
      </w:pPr>
    </w:p>
    <w:p>
      <w:pPr>
        <w:ind w:left="800" w:right="18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six months ended June 30, 2020 and 2019, we impaired certain long-lived assets in the DJ Basin (see Note 5 to the unaudited condensed consolidated financial statements). The impairment had no impact on segment adjusted EBITDA for the six months ended June 30, 2020 and 2019.</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8" w:name="page49"/>
    <w:bookmarkEnd w:id="48"/>
    <w:p>
      <w:pPr>
        <w:ind w:right="800"/>
        <w:spacing w:after="0" w:line="271" w:lineRule="auto"/>
        <w:rPr>
          <w:sz w:val="20"/>
          <w:szCs w:val="20"/>
          <w:color w:val="auto"/>
        </w:rPr>
      </w:pPr>
      <w:r>
        <w:rPr>
          <w:rFonts w:ascii="Arial" w:cs="Arial" w:eastAsia="Arial" w:hAnsi="Arial"/>
          <w:sz w:val="18"/>
          <w:szCs w:val="18"/>
          <w:b w:val="1"/>
          <w:bCs w:val="1"/>
          <w:i w:val="1"/>
          <w:iCs w:val="1"/>
          <w:color w:val="auto"/>
        </w:rPr>
        <w:t xml:space="preserve">Permian Basin. </w:t>
      </w:r>
      <w:r>
        <w:rPr>
          <w:rFonts w:ascii="Arial" w:cs="Arial" w:eastAsia="Arial" w:hAnsi="Arial"/>
          <w:sz w:val="18"/>
          <w:szCs w:val="18"/>
          <w:color w:val="auto"/>
        </w:rPr>
        <w:t>The Summit Permian system provides our midstream services for the Permian Basin reportable segment.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for our Permian Basin reportable segment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Permian Basin</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25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Percentage</w:t>
            </w:r>
          </w:p>
        </w:tc>
        <w:tc>
          <w:tcPr>
            <w:tcW w:w="2260" w:type="dxa"/>
            <w:vAlign w:val="bottom"/>
            <w:gridSpan w:val="4"/>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4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900" w:type="dxa"/>
            <w:vAlign w:val="bottom"/>
            <w:gridSpan w:val="2"/>
            <w:shd w:val="clear" w:color="auto" w:fill="CFF0FC"/>
          </w:tcPr>
          <w:p>
            <w:pPr>
              <w:jc w:val="right"/>
              <w:ind w:right="2068"/>
              <w:spacing w:after="0"/>
              <w:rPr>
                <w:sz w:val="20"/>
                <w:szCs w:val="20"/>
                <w:color w:val="auto"/>
              </w:rPr>
            </w:pPr>
            <w:r>
              <w:rPr>
                <w:rFonts w:ascii="Arial" w:cs="Arial" w:eastAsia="Arial" w:hAnsi="Arial"/>
                <w:sz w:val="18"/>
                <w:szCs w:val="18"/>
                <w:color w:val="auto"/>
                <w:w w:val="99"/>
              </w:rPr>
              <w:t>Average daily throughput (MMcf/d)</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88%</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Volume throughput increased compared to the three and six months ended June 30, 2019, primarily as a result of ongoing drilling and completion activity across our service area.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Permian Basin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Permian Basin</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Three months ended June 30,</w:t>
            </w:r>
          </w:p>
        </w:tc>
        <w:tc>
          <w:tcPr>
            <w:tcW w:w="1180" w:type="dxa"/>
            <w:vAlign w:val="bottom"/>
            <w:vMerge w:val="restart"/>
          </w:tcPr>
          <w:p>
            <w:pPr>
              <w:jc w:val="center"/>
              <w:ind w:left="35"/>
              <w:spacing w:after="0"/>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18"/>
                <w:szCs w:val="18"/>
                <w:color w:val="auto"/>
              </w:rPr>
            </w:pPr>
          </w:p>
        </w:tc>
        <w:tc>
          <w:tcPr>
            <w:tcW w:w="218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2,711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586</w:t>
            </w:r>
          </w:p>
        </w:tc>
        <w:tc>
          <w:tcPr>
            <w:tcW w:w="1180" w:type="dxa"/>
            <w:vAlign w:val="bottom"/>
          </w:tcPr>
          <w:p>
            <w:pPr>
              <w:jc w:val="center"/>
              <w:ind w:left="35"/>
              <w:spacing w:after="0"/>
              <w:rPr>
                <w:sz w:val="20"/>
                <w:szCs w:val="20"/>
                <w:color w:val="auto"/>
              </w:rPr>
            </w:pPr>
            <w:r>
              <w:rPr>
                <w:rFonts w:ascii="Arial" w:cs="Arial" w:eastAsia="Arial" w:hAnsi="Arial"/>
                <w:sz w:val="18"/>
                <w:szCs w:val="18"/>
                <w:color w:val="auto"/>
                <w:w w:val="99"/>
              </w:rPr>
              <w:t>363%</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952</w:t>
            </w:r>
          </w:p>
        </w:tc>
        <w:tc>
          <w:tcPr>
            <w:tcW w:w="1160" w:type="dxa"/>
            <w:vAlign w:val="bottom"/>
          </w:tcPr>
          <w:p>
            <w:pPr>
              <w:jc w:val="center"/>
              <w:ind w:left="13"/>
              <w:spacing w:after="0"/>
              <w:rPr>
                <w:sz w:val="20"/>
                <w:szCs w:val="20"/>
                <w:color w:val="auto"/>
              </w:rPr>
            </w:pPr>
            <w:r>
              <w:rPr>
                <w:rFonts w:ascii="Arial" w:cs="Arial" w:eastAsia="Arial" w:hAnsi="Arial"/>
                <w:sz w:val="18"/>
                <w:szCs w:val="18"/>
                <w:color w:val="auto"/>
                <w:w w:val="99"/>
              </w:rPr>
              <w:t>428%</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4,222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2,406</w:t>
            </w:r>
          </w:p>
        </w:tc>
        <w:tc>
          <w:tcPr>
            <w:tcW w:w="118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75%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8,734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6,627</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4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w:t>
            </w:r>
          </w:p>
        </w:tc>
        <w:tc>
          <w:tcPr>
            <w:tcW w:w="118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w w:val="99"/>
              </w:rPr>
              <w:t>157%</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w:t>
            </w:r>
          </w:p>
        </w:tc>
        <w:tc>
          <w:tcPr>
            <w:tcW w:w="116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99"/>
              </w:rPr>
              <w:t>286%</w:t>
            </w: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4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7,059</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3,041</w:t>
            </w:r>
          </w:p>
        </w:tc>
        <w:tc>
          <w:tcPr>
            <w:tcW w:w="118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132%</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14,069</w:t>
            </w: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7,660</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84%</w:t>
            </w:r>
          </w:p>
        </w:tc>
        <w:tc>
          <w:tcPr>
            <w:tcW w:w="0" w:type="dxa"/>
            <w:vAlign w:val="bottom"/>
          </w:tcPr>
          <w:p>
            <w:pPr>
              <w:spacing w:after="0"/>
              <w:rPr>
                <w:sz w:val="1"/>
                <w:szCs w:val="1"/>
                <w:color w:val="auto"/>
              </w:rPr>
            </w:pPr>
          </w:p>
        </w:tc>
      </w:tr>
      <w:tr>
        <w:trPr>
          <w:trHeight w:val="209"/>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3,691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1,882</w:t>
            </w:r>
          </w:p>
        </w:tc>
        <w:tc>
          <w:tcPr>
            <w:tcW w:w="118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96%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6,127</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1,733</w:t>
            </w:r>
          </w:p>
        </w:tc>
        <w:tc>
          <w:tcPr>
            <w:tcW w:w="1180" w:type="dxa"/>
            <w:vAlign w:val="bottom"/>
          </w:tcPr>
          <w:p>
            <w:pPr>
              <w:jc w:val="center"/>
              <w:ind w:left="55"/>
              <w:spacing w:after="0"/>
              <w:rPr>
                <w:sz w:val="20"/>
                <w:szCs w:val="20"/>
                <w:color w:val="auto"/>
              </w:rPr>
            </w:pPr>
            <w:r>
              <w:rPr>
                <w:rFonts w:ascii="Arial" w:cs="Arial" w:eastAsia="Arial" w:hAnsi="Arial"/>
                <w:sz w:val="18"/>
                <w:szCs w:val="18"/>
                <w:color w:val="auto"/>
                <w:w w:val="99"/>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2,624</w:t>
            </w:r>
          </w:p>
        </w:tc>
        <w:tc>
          <w:tcPr>
            <w:tcW w:w="1160" w:type="dxa"/>
            <w:vAlign w:val="bottom"/>
          </w:tcPr>
          <w:p>
            <w:pPr>
              <w:jc w:val="center"/>
              <w:ind w:left="1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w:t>
            </w:r>
          </w:p>
        </w:tc>
        <w:tc>
          <w:tcPr>
            <w:tcW w:w="118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115</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54%</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1,163</w:t>
            </w:r>
          </w:p>
        </w:tc>
        <w:tc>
          <w:tcPr>
            <w:tcW w:w="1180" w:type="dxa"/>
            <w:vAlign w:val="bottom"/>
          </w:tcPr>
          <w:p>
            <w:pPr>
              <w:jc w:val="center"/>
              <w:ind w:left="55"/>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2,235</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18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16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Long-lived asset impairment</w:t>
            </w:r>
          </w:p>
        </w:tc>
        <w:tc>
          <w:tcPr>
            <w:tcW w:w="4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w w:val="84"/>
              </w:rPr>
              <w:t>*</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16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4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6,601</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4,748</w:t>
            </w:r>
          </w:p>
        </w:tc>
        <w:tc>
          <w:tcPr>
            <w:tcW w:w="118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39%</w:t>
            </w: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13,561</w:t>
            </w: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10,989</w:t>
            </w: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0"/>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1,387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1,163</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2,235</w:t>
            </w: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140"/>
              <w:spacing w:after="0"/>
              <w:rPr>
                <w:sz w:val="20"/>
                <w:szCs w:val="20"/>
                <w:color w:val="auto"/>
              </w:rPr>
            </w:pPr>
            <w:r>
              <w:rPr>
                <w:rFonts w:ascii="Arial" w:cs="Arial" w:eastAsia="Arial" w:hAnsi="Arial"/>
                <w:sz w:val="18"/>
                <w:szCs w:val="18"/>
                <w:color w:val="auto"/>
              </w:rPr>
              <w:t>Gain on asset sales, net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4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w:t>
            </w: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1,828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(656)</w:t>
            </w:r>
          </w:p>
        </w:tc>
        <w:tc>
          <w:tcPr>
            <w:tcW w:w="1180" w:type="dxa"/>
            <w:vAlign w:val="bottom"/>
          </w:tcPr>
          <w:p>
            <w:pPr>
              <w:jc w:val="center"/>
              <w:ind w:left="35"/>
              <w:spacing w:after="0"/>
              <w:rPr>
                <w:sz w:val="20"/>
                <w:szCs w:val="20"/>
                <w:color w:val="auto"/>
              </w:rPr>
            </w:pPr>
            <w:r>
              <w:rPr>
                <w:rFonts w:ascii="Arial" w:cs="Arial" w:eastAsia="Arial" w:hAnsi="Arial"/>
                <w:sz w:val="18"/>
                <w:szCs w:val="18"/>
                <w:color w:val="auto"/>
                <w:w w:val="84"/>
              </w:rPr>
              <w:t>*</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(1,206)</w:t>
            </w:r>
          </w:p>
        </w:tc>
        <w:tc>
          <w:tcPr>
            <w:tcW w:w="1160" w:type="dxa"/>
            <w:vAlign w:val="bottom"/>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2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0" w:lineRule="exact"/>
        <w:rPr>
          <w:sz w:val="20"/>
          <w:szCs w:val="20"/>
          <w:color w:val="auto"/>
        </w:rPr>
      </w:pPr>
    </w:p>
    <w:p>
      <w:pPr>
        <w:jc w:val="both"/>
        <w:ind w:right="100"/>
        <w:spacing w:after="0"/>
        <w:rPr>
          <w:sz w:val="20"/>
          <w:szCs w:val="20"/>
          <w:color w:val="auto"/>
        </w:rPr>
      </w:pPr>
      <w:r>
        <w:rPr>
          <w:rFonts w:ascii="Arial" w:cs="Arial" w:eastAsia="Arial" w:hAnsi="Arial"/>
          <w:sz w:val="18"/>
          <w:szCs w:val="18"/>
          <w:u w:val="single" w:color="auto"/>
          <w:color w:val="auto"/>
        </w:rPr>
        <w:t>Three months ended June 30, 2020</w:t>
      </w:r>
      <w:r>
        <w:rPr>
          <w:rFonts w:ascii="Arial" w:cs="Arial" w:eastAsia="Arial" w:hAnsi="Arial"/>
          <w:sz w:val="18"/>
          <w:szCs w:val="18"/>
          <w:color w:val="auto"/>
        </w:rPr>
        <w:t>. Segment adjusted EBITDA increased $2.5 million compared to the three months ended June 30, 2019, primarily reflecting a $2.1 million increase in gathering services and related fees primarily as a result of volume growth from ongoing drilling and completion activity and a more favorable volume and gathering rate mix from customers.</w:t>
      </w:r>
    </w:p>
    <w:p>
      <w:pPr>
        <w:spacing w:after="0" w:line="95" w:lineRule="exact"/>
        <w:rPr>
          <w:sz w:val="20"/>
          <w:szCs w:val="20"/>
          <w:color w:val="auto"/>
        </w:rPr>
      </w:pPr>
    </w:p>
    <w:p>
      <w:pPr>
        <w:jc w:val="both"/>
        <w:ind w:right="500"/>
        <w:spacing w:after="0"/>
        <w:rPr>
          <w:sz w:val="20"/>
          <w:szCs w:val="20"/>
          <w:color w:val="auto"/>
        </w:rPr>
      </w:pPr>
      <w:r>
        <w:rPr>
          <w:rFonts w:ascii="Arial" w:cs="Arial" w:eastAsia="Arial" w:hAnsi="Arial"/>
          <w:sz w:val="18"/>
          <w:szCs w:val="18"/>
          <w:u w:val="single" w:color="auto"/>
          <w:color w:val="auto"/>
        </w:rPr>
        <w:t>Six months ended June 30, 2020</w:t>
      </w:r>
      <w:r>
        <w:rPr>
          <w:rFonts w:ascii="Arial" w:cs="Arial" w:eastAsia="Arial" w:hAnsi="Arial"/>
          <w:sz w:val="18"/>
          <w:szCs w:val="18"/>
          <w:color w:val="auto"/>
        </w:rPr>
        <w:t>. Segment adjusted EBITDA increased $4.6 million compared to the six months ended June 30, 2019, primarily reflecting a $4.1 million increase in gathering services and related fees as a result of volume growth from ongoing drilling and completion activity and a more favorable volume and gathering rate mix from customers.</w:t>
      </w:r>
    </w:p>
    <w:p>
      <w:pPr>
        <w:spacing w:after="0" w:line="7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 xml:space="preserve">Piceance Basin. </w:t>
      </w:r>
      <w:r>
        <w:rPr>
          <w:rFonts w:ascii="Arial" w:cs="Arial" w:eastAsia="Arial" w:hAnsi="Arial"/>
          <w:sz w:val="18"/>
          <w:szCs w:val="18"/>
          <w:color w:val="auto"/>
        </w:rPr>
        <w:t>The Grand River system provides midstream services for the Piceance Basin reportable segment. Volume throughput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Piceance Basin reportable segment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Piceance Basin</w:t>
            </w: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26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440" w:type="dxa"/>
            <w:vAlign w:val="bottom"/>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480" w:type="dxa"/>
            <w:vAlign w:val="bottom"/>
            <w:gridSpan w:val="2"/>
            <w:shd w:val="clear" w:color="auto" w:fill="CFF0FC"/>
          </w:tcPr>
          <w:p>
            <w:pPr>
              <w:jc w:val="right"/>
              <w:ind w:right="1548"/>
              <w:spacing w:after="0"/>
              <w:rPr>
                <w:sz w:val="20"/>
                <w:szCs w:val="20"/>
                <w:color w:val="auto"/>
              </w:rPr>
            </w:pPr>
            <w:r>
              <w:rPr>
                <w:rFonts w:ascii="Arial" w:cs="Arial" w:eastAsia="Arial" w:hAnsi="Arial"/>
                <w:sz w:val="18"/>
                <w:szCs w:val="18"/>
                <w:color w:val="auto"/>
                <w:w w:val="99"/>
              </w:rPr>
              <w:t>Aggregate average daily throughput</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80" w:type="dxa"/>
            <w:vAlign w:val="bottom"/>
            <w:gridSpan w:val="2"/>
            <w:shd w:val="clear" w:color="auto" w:fill="CFF0FC"/>
          </w:tcPr>
          <w:p>
            <w:pPr>
              <w:jc w:val="right"/>
              <w:ind w:right="3488"/>
              <w:spacing w:after="0" w:line="203" w:lineRule="exact"/>
              <w:rPr>
                <w:sz w:val="20"/>
                <w:szCs w:val="20"/>
                <w:color w:val="auto"/>
              </w:rPr>
            </w:pPr>
            <w:r>
              <w:rPr>
                <w:rFonts w:ascii="Arial" w:cs="Arial" w:eastAsia="Arial" w:hAnsi="Arial"/>
                <w:sz w:val="18"/>
                <w:szCs w:val="18"/>
                <w:color w:val="auto"/>
              </w:rPr>
              <w:t>(MMcf/d)</w:t>
            </w:r>
          </w:p>
        </w:tc>
        <w:tc>
          <w:tcPr>
            <w:tcW w:w="46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367</w:t>
            </w: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462</w:t>
            </w:r>
          </w:p>
        </w:tc>
        <w:tc>
          <w:tcPr>
            <w:tcW w:w="100" w:type="dxa"/>
            <w:vAlign w:val="bottom"/>
            <w:shd w:val="clear" w:color="auto" w:fill="CFF0FC"/>
          </w:tcPr>
          <w:p>
            <w:pPr>
              <w:spacing w:after="0"/>
              <w:rPr>
                <w:sz w:val="17"/>
                <w:szCs w:val="17"/>
                <w:color w:val="auto"/>
              </w:rPr>
            </w:pPr>
          </w:p>
        </w:tc>
        <w:tc>
          <w:tcPr>
            <w:tcW w:w="118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(21%)</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2"/>
              <w:spacing w:after="0" w:line="203" w:lineRule="exact"/>
              <w:rPr>
                <w:sz w:val="20"/>
                <w:szCs w:val="20"/>
                <w:color w:val="auto"/>
              </w:rPr>
            </w:pPr>
            <w:r>
              <w:rPr>
                <w:rFonts w:ascii="Arial" w:cs="Arial" w:eastAsia="Arial" w:hAnsi="Arial"/>
                <w:sz w:val="18"/>
                <w:szCs w:val="18"/>
                <w:color w:val="auto"/>
              </w:rPr>
              <w:t>375</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9"/>
              <w:spacing w:after="0" w:line="203" w:lineRule="exact"/>
              <w:rPr>
                <w:sz w:val="20"/>
                <w:szCs w:val="20"/>
                <w:color w:val="auto"/>
              </w:rPr>
            </w:pPr>
            <w:r>
              <w:rPr>
                <w:rFonts w:ascii="Arial" w:cs="Arial" w:eastAsia="Arial" w:hAnsi="Arial"/>
                <w:sz w:val="18"/>
                <w:szCs w:val="18"/>
                <w:color w:val="auto"/>
              </w:rPr>
              <w:t>473</w:t>
            </w: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ind w:right="43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Volume throughput decreased compared to the three and six months ended June 30, 2019, as a result of a natural production declines.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Piceance Basin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Piceance Basin</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vMerge w:val="restart"/>
          </w:tcPr>
          <w:p>
            <w:pPr>
              <w:jc w:val="center"/>
              <w:ind w:left="55"/>
              <w:spacing w:after="0"/>
              <w:rPr>
                <w:sz w:val="20"/>
                <w:szCs w:val="20"/>
                <w:color w:val="auto"/>
              </w:rPr>
            </w:pPr>
            <w:r>
              <w:rPr>
                <w:rFonts w:ascii="Arial" w:cs="Arial" w:eastAsia="Arial" w:hAnsi="Arial"/>
                <w:sz w:val="14"/>
                <w:szCs w:val="14"/>
                <w:b w:val="1"/>
                <w:bCs w:val="1"/>
                <w:color w:val="auto"/>
              </w:rPr>
              <w:t>Percentage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Six months ended June 30,</w:t>
            </w:r>
          </w:p>
        </w:tc>
        <w:tc>
          <w:tcPr>
            <w:tcW w:w="126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jc w:val="center"/>
              <w:ind w:left="55"/>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26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26,222</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30,555</w:t>
            </w:r>
          </w:p>
        </w:tc>
        <w:tc>
          <w:tcPr>
            <w:tcW w:w="1240" w:type="dxa"/>
            <w:vAlign w:val="bottom"/>
          </w:tcPr>
          <w:p>
            <w:pPr>
              <w:jc w:val="center"/>
              <w:ind w:left="35"/>
              <w:spacing w:after="0"/>
              <w:rPr>
                <w:sz w:val="20"/>
                <w:szCs w:val="20"/>
                <w:color w:val="auto"/>
              </w:rPr>
            </w:pPr>
            <w:r>
              <w:rPr>
                <w:rFonts w:ascii="Arial" w:cs="Arial" w:eastAsia="Arial" w:hAnsi="Arial"/>
                <w:sz w:val="18"/>
                <w:szCs w:val="18"/>
                <w:color w:val="auto"/>
                <w:w w:val="99"/>
              </w:rPr>
              <w:t>(14%)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53,411</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62,395</w:t>
            </w:r>
          </w:p>
        </w:tc>
        <w:tc>
          <w:tcPr>
            <w:tcW w:w="1260" w:type="dxa"/>
            <w:vAlign w:val="bottom"/>
          </w:tcPr>
          <w:p>
            <w:pPr>
              <w:jc w:val="center"/>
              <w:ind w:left="13"/>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5"/>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FF0FC"/>
          </w:tcPr>
          <w:p>
            <w:pPr>
              <w:ind w:left="200"/>
              <w:spacing w:after="0" w:line="203" w:lineRule="exact"/>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401</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2,104</w:t>
            </w:r>
          </w:p>
        </w:tc>
        <w:tc>
          <w:tcPr>
            <w:tcW w:w="1240" w:type="dxa"/>
            <w:vAlign w:val="bottom"/>
            <w:shd w:val="clear" w:color="auto" w:fill="CFF0FC"/>
          </w:tcPr>
          <w:p>
            <w:pPr>
              <w:jc w:val="center"/>
              <w:ind w:left="35"/>
              <w:spacing w:after="0" w:line="203" w:lineRule="exact"/>
              <w:rPr>
                <w:sz w:val="20"/>
                <w:szCs w:val="20"/>
                <w:color w:val="auto"/>
              </w:rPr>
            </w:pPr>
            <w:r>
              <w:rPr>
                <w:rFonts w:ascii="Arial" w:cs="Arial" w:eastAsia="Arial" w:hAnsi="Arial"/>
                <w:sz w:val="18"/>
                <w:szCs w:val="18"/>
                <w:color w:val="auto"/>
                <w:w w:val="99"/>
              </w:rPr>
              <w:t>(81%)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1,404</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4,406</w:t>
            </w:r>
          </w:p>
        </w:tc>
        <w:tc>
          <w:tcPr>
            <w:tcW w:w="1260" w:type="dxa"/>
            <w:vAlign w:val="bottom"/>
            <w:shd w:val="clear" w:color="auto" w:fill="CFF0FC"/>
          </w:tcPr>
          <w:p>
            <w:pPr>
              <w:jc w:val="center"/>
              <w:ind w:left="13"/>
              <w:spacing w:after="0" w:line="203" w:lineRule="exact"/>
              <w:rPr>
                <w:sz w:val="20"/>
                <w:szCs w:val="20"/>
                <w:color w:val="auto"/>
              </w:rPr>
            </w:pPr>
            <w:r>
              <w:rPr>
                <w:rFonts w:ascii="Arial" w:cs="Arial" w:eastAsia="Arial" w:hAnsi="Arial"/>
                <w:sz w:val="18"/>
                <w:szCs w:val="18"/>
                <w:color w:val="auto"/>
                <w:w w:val="99"/>
              </w:rPr>
              <w:t>(68%)</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945</w:t>
            </w:r>
          </w:p>
        </w:tc>
        <w:tc>
          <w:tcPr>
            <w:tcW w:w="124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w w:val="99"/>
              </w:rPr>
              <w:t>16%</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2,083</w:t>
            </w:r>
          </w:p>
        </w:tc>
        <w:tc>
          <w:tcPr>
            <w:tcW w:w="12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27,719</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33,604</w:t>
            </w:r>
          </w:p>
        </w:tc>
        <w:tc>
          <w:tcPr>
            <w:tcW w:w="124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(18%)</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56,976</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68,884</w:t>
            </w:r>
          </w:p>
        </w:tc>
        <w:tc>
          <w:tcPr>
            <w:tcW w:w="126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9"/>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1,280</w:t>
            </w:r>
          </w:p>
        </w:tc>
        <w:tc>
          <w:tcPr>
            <w:tcW w:w="124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(75%)</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2,753</w:t>
            </w:r>
          </w:p>
        </w:tc>
        <w:tc>
          <w:tcPr>
            <w:tcW w:w="126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(72%)</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1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7,108</w:t>
            </w:r>
          </w:p>
        </w:tc>
        <w:tc>
          <w:tcPr>
            <w:tcW w:w="1240" w:type="dxa"/>
            <w:vAlign w:val="bottom"/>
          </w:tcPr>
          <w:p>
            <w:pPr>
              <w:jc w:val="center"/>
              <w:ind w:left="35"/>
              <w:spacing w:after="0"/>
              <w:rPr>
                <w:sz w:val="20"/>
                <w:szCs w:val="20"/>
                <w:color w:val="auto"/>
              </w:rPr>
            </w:pPr>
            <w:r>
              <w:rPr>
                <w:rFonts w:ascii="Arial" w:cs="Arial" w:eastAsia="Arial" w:hAnsi="Arial"/>
                <w:sz w:val="18"/>
                <w:szCs w:val="18"/>
                <w:color w:val="auto"/>
                <w:w w:val="99"/>
              </w:rPr>
              <w:t>(26%)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10,205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14,407</w:t>
            </w:r>
          </w:p>
        </w:tc>
        <w:tc>
          <w:tcPr>
            <w:tcW w:w="1260" w:type="dxa"/>
            <w:vAlign w:val="bottom"/>
          </w:tcPr>
          <w:p>
            <w:pPr>
              <w:jc w:val="center"/>
              <w:ind w:left="13"/>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302</w:t>
            </w:r>
          </w:p>
        </w:tc>
        <w:tc>
          <w:tcPr>
            <w:tcW w:w="124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(9%)</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596</w:t>
            </w:r>
          </w:p>
        </w:tc>
        <w:tc>
          <w:tcPr>
            <w:tcW w:w="1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11,810</w:t>
            </w:r>
          </w:p>
        </w:tc>
        <w:tc>
          <w:tcPr>
            <w:tcW w:w="1240" w:type="dxa"/>
            <w:vAlign w:val="bottom"/>
          </w:tcPr>
          <w:p>
            <w:pPr>
              <w:jc w:val="center"/>
              <w:ind w:left="55"/>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22,604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23,601</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loss on asset sales, net</w:t>
            </w: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84"/>
              </w:rPr>
              <w:t>*</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26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17,086</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20,503</w:t>
            </w:r>
          </w:p>
        </w:tc>
        <w:tc>
          <w:tcPr>
            <w:tcW w:w="124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w w:val="99"/>
              </w:rPr>
              <w:t>(17%)</w:t>
            </w:r>
          </w:p>
        </w:tc>
        <w:tc>
          <w:tcPr>
            <w:tcW w:w="1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34,051</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41,360</w:t>
            </w:r>
          </w:p>
        </w:tc>
        <w:tc>
          <w:tcPr>
            <w:tcW w:w="126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11,810</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22,604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23,601</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MVC</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shortfall payments</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390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(103)</w:t>
            </w: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Adjustments related to capital</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14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(330)</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(532)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(442)</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(Gain) loss on asset sales, net</w:t>
            </w: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w:t>
            </w: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21,734</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24,584</w:t>
            </w:r>
          </w:p>
        </w:tc>
        <w:tc>
          <w:tcPr>
            <w:tcW w:w="1240" w:type="dxa"/>
            <w:vAlign w:val="bottom"/>
          </w:tcPr>
          <w:p>
            <w:pPr>
              <w:jc w:val="center"/>
              <w:ind w:left="35"/>
              <w:spacing w:after="0"/>
              <w:rPr>
                <w:sz w:val="20"/>
                <w:szCs w:val="20"/>
                <w:color w:val="auto"/>
              </w:rPr>
            </w:pPr>
            <w:r>
              <w:rPr>
                <w:rFonts w:ascii="Arial" w:cs="Arial" w:eastAsia="Arial" w:hAnsi="Arial"/>
                <w:sz w:val="18"/>
                <w:szCs w:val="18"/>
                <w:color w:val="auto"/>
                <w:w w:val="99"/>
              </w:rPr>
              <w:t>(12%)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45,291</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50,583</w:t>
            </w:r>
          </w:p>
        </w:tc>
        <w:tc>
          <w:tcPr>
            <w:tcW w:w="1260" w:type="dxa"/>
            <w:vAlign w:val="bottom"/>
          </w:tcPr>
          <w:p>
            <w:pPr>
              <w:jc w:val="center"/>
              <w:ind w:left="13"/>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2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0"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u w:val="single" w:color="auto"/>
          <w:color w:val="auto"/>
        </w:rPr>
        <w:t>Three months ended June 30, 2020</w:t>
      </w:r>
      <w:r>
        <w:rPr>
          <w:rFonts w:ascii="Arial" w:cs="Arial" w:eastAsia="Arial" w:hAnsi="Arial"/>
          <w:sz w:val="18"/>
          <w:szCs w:val="18"/>
          <w:color w:val="auto"/>
        </w:rPr>
        <w:t>. Segment adjusted EBITDA decreased $2.9 million compared to the three months ended June 30, 2019, primarily reflecting:</w:t>
      </w:r>
    </w:p>
    <w:p>
      <w:pPr>
        <w:spacing w:after="0" w:line="102" w:lineRule="exact"/>
        <w:rPr>
          <w:sz w:val="20"/>
          <w:szCs w:val="20"/>
          <w:color w:val="auto"/>
        </w:rPr>
      </w:pPr>
    </w:p>
    <w:p>
      <w:pPr>
        <w:ind w:left="800" w:hanging="401"/>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$4.3 million decrease in gathering services and related fees as a result of natural production declines.</w:t>
      </w:r>
    </w:p>
    <w:p>
      <w:pPr>
        <w:spacing w:after="0" w:line="117" w:lineRule="exact"/>
        <w:rPr>
          <w:rFonts w:ascii="Arial" w:cs="Arial" w:eastAsia="Arial" w:hAnsi="Arial"/>
          <w:sz w:val="18"/>
          <w:szCs w:val="18"/>
          <w:color w:val="auto"/>
        </w:rPr>
      </w:pPr>
    </w:p>
    <w:p>
      <w:pPr>
        <w:ind w:left="800" w:right="640" w:hanging="401"/>
        <w:spacing w:after="0" w:line="246"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$1.8 million decrease in operation and maintenance expense primarily due to $1.0 million in lower compensation expense associated with lower headcount from our cost cutting initiatives.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120" w:hanging="401"/>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December 2019, we sold certain assets from our Red Rock Gathering system for $12 million. The financial contribution of these assets are included in our unaudited condensed consolidated financial statements and footnotes for the period from January 1, 2019 through December 1, 2019.</w:t>
      </w:r>
    </w:p>
    <w:p>
      <w:pPr>
        <w:spacing w:after="0" w:line="9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u w:val="single" w:color="auto"/>
          <w:color w:val="auto"/>
        </w:rPr>
        <w:t>Six months ended June 30, 2020</w:t>
      </w:r>
      <w:r>
        <w:rPr>
          <w:rFonts w:ascii="Arial" w:cs="Arial" w:eastAsia="Arial" w:hAnsi="Arial"/>
          <w:sz w:val="18"/>
          <w:szCs w:val="18"/>
          <w:color w:val="auto"/>
        </w:rPr>
        <w:t>. Segment adjusted EBITDA decreased $5.3 million compared to the six months ended June 30, 2019, primarily reflecting:</w:t>
      </w:r>
    </w:p>
    <w:p>
      <w:pPr>
        <w:spacing w:after="0" w:line="102" w:lineRule="exact"/>
        <w:rPr>
          <w:sz w:val="20"/>
          <w:szCs w:val="20"/>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$9.0 million decrease in gathering services and related fees as a result of natural production declines.</w:t>
      </w:r>
    </w:p>
    <w:p>
      <w:pPr>
        <w:spacing w:after="0" w:line="117" w:lineRule="exact"/>
        <w:rPr>
          <w:rFonts w:ascii="Arial" w:cs="Arial" w:eastAsia="Arial" w:hAnsi="Arial"/>
          <w:sz w:val="18"/>
          <w:szCs w:val="18"/>
          <w:color w:val="auto"/>
        </w:rPr>
      </w:pPr>
    </w:p>
    <w:p>
      <w:pPr>
        <w:ind w:left="800" w:right="640" w:hanging="401"/>
        <w:spacing w:after="0" w:line="246"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$4.2 million decrease in operation and maintenance expense primarily due to $2.2 million in lower compensation expense associated with lower headcount from our cost cutting initiatives and a $0.7 million decrease in property taxes.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0" w:name="page51"/>
    <w:bookmarkEnd w:id="50"/>
    <w:p>
      <w:pPr>
        <w:ind w:left="800" w:right="12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December 2019, we sold certain assets from our Red Rock Gathering system for $12 million. The financial contribution of these assets are included in our unaudited condensed consolidated financial statements and footnotes for the period from January 1, 2019 through December 1, 2019.</w:t>
      </w:r>
    </w:p>
    <w:p>
      <w:pPr>
        <w:spacing w:after="0" w:line="7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 xml:space="preserve">Barnett Shale. </w:t>
      </w:r>
      <w:r>
        <w:rPr>
          <w:rFonts w:ascii="Arial" w:cs="Arial" w:eastAsia="Arial" w:hAnsi="Arial"/>
          <w:sz w:val="18"/>
          <w:szCs w:val="18"/>
          <w:color w:val="auto"/>
        </w:rPr>
        <w:t>The DFW Midstream system provides our midstream services for the Barnett Shale reportable segment. Volume throughput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Barnett Shale reportable segment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Barnett Shale</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4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0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880" w:type="dxa"/>
            <w:vAlign w:val="bottom"/>
            <w:gridSpan w:val="2"/>
            <w:shd w:val="clear" w:color="auto" w:fill="CFF0FC"/>
          </w:tcPr>
          <w:p>
            <w:pPr>
              <w:jc w:val="right"/>
              <w:ind w:right="2048"/>
              <w:spacing w:after="0"/>
              <w:rPr>
                <w:sz w:val="20"/>
                <w:szCs w:val="20"/>
                <w:color w:val="auto"/>
              </w:rPr>
            </w:pPr>
            <w:r>
              <w:rPr>
                <w:rFonts w:ascii="Arial" w:cs="Arial" w:eastAsia="Arial" w:hAnsi="Arial"/>
                <w:sz w:val="18"/>
                <w:szCs w:val="18"/>
                <w:color w:val="auto"/>
                <w:w w:val="99"/>
              </w:rPr>
              <w:t>Average daily throughput (MMcf/d)</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203</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(19%)</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Volume throughput decreased compared to the three and six months ended June 30, 2019 reflecting natural production declines, partially offset by new volumes from well completion activity through the third quarter of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Barnett Shale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Barnett Shale</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320" w:type="dxa"/>
            <w:vAlign w:val="bottom"/>
            <w:tcBorders>
              <w:bottom w:val="single" w:sz="8" w:color="auto"/>
            </w:tcBorders>
            <w:gridSpan w:val="5"/>
          </w:tcPr>
          <w:p>
            <w:pPr>
              <w:jc w:val="right"/>
              <w:ind w:right="111"/>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vMerge w:val="restart"/>
          </w:tcPr>
          <w:p>
            <w:pPr>
              <w:jc w:val="center"/>
              <w:ind w:left="55"/>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9,877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11,428</w:t>
            </w:r>
          </w:p>
        </w:tc>
        <w:tc>
          <w:tcPr>
            <w:tcW w:w="1200" w:type="dxa"/>
            <w:vAlign w:val="bottom"/>
          </w:tcPr>
          <w:p>
            <w:pPr>
              <w:jc w:val="center"/>
              <w:ind w:left="35"/>
              <w:spacing w:after="0"/>
              <w:rPr>
                <w:sz w:val="20"/>
                <w:szCs w:val="20"/>
                <w:color w:val="auto"/>
              </w:rPr>
            </w:pPr>
            <w:r>
              <w:rPr>
                <w:rFonts w:ascii="Arial" w:cs="Arial" w:eastAsia="Arial" w:hAnsi="Arial"/>
                <w:sz w:val="18"/>
                <w:szCs w:val="18"/>
                <w:color w:val="auto"/>
                <w:w w:val="99"/>
              </w:rPr>
              <w:t>(14%)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20,320</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24,453</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2,858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6,273</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(54%)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6,729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6,877</w:t>
            </w:r>
          </w:p>
        </w:tc>
        <w:tc>
          <w:tcPr>
            <w:tcW w:w="1180" w:type="dxa"/>
            <w:vAlign w:val="bottom"/>
            <w:shd w:val="clear" w:color="auto" w:fill="CFF0FC"/>
          </w:tcPr>
          <w:p>
            <w:pPr>
              <w:jc w:val="center"/>
              <w:ind w:left="3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 (1)</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1,778</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1,646</w:t>
            </w:r>
          </w:p>
        </w:tc>
        <w:tc>
          <w:tcPr>
            <w:tcW w:w="1200" w:type="dxa"/>
            <w:vAlign w:val="bottom"/>
            <w:tcBorders>
              <w:bottom w:val="single" w:sz="8" w:color="CFF0FC"/>
            </w:tcBorders>
          </w:tcPr>
          <w:p>
            <w:pPr>
              <w:jc w:val="center"/>
              <w:ind w:left="55"/>
              <w:spacing w:after="0"/>
              <w:rPr>
                <w:sz w:val="20"/>
                <w:szCs w:val="20"/>
                <w:color w:val="auto"/>
              </w:rPr>
            </w:pPr>
            <w:r>
              <w:rPr>
                <w:rFonts w:ascii="Arial" w:cs="Arial" w:eastAsia="Arial" w:hAnsi="Arial"/>
                <w:sz w:val="18"/>
                <w:szCs w:val="18"/>
                <w:color w:val="auto"/>
                <w:w w:val="99"/>
              </w:rPr>
              <w:t>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3,038</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3,302</w:t>
            </w:r>
          </w:p>
        </w:tc>
        <w:tc>
          <w:tcPr>
            <w:tcW w:w="1180" w:type="dxa"/>
            <w:vAlign w:val="bottom"/>
            <w:tcBorders>
              <w:bottom w:val="single" w:sz="8" w:color="CFF0FC"/>
            </w:tcBorders>
          </w:tcPr>
          <w:p>
            <w:pPr>
              <w:jc w:val="center"/>
              <w:ind w:left="33"/>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0"/>
        </w:trPr>
        <w:tc>
          <w:tcPr>
            <w:tcW w:w="3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14,513</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19,347</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(25%)</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30,087</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34,632</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09"/>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4,574</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(75%)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3,081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4,574</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5,116</w:t>
            </w:r>
          </w:p>
        </w:tc>
        <w:tc>
          <w:tcPr>
            <w:tcW w:w="1200" w:type="dxa"/>
            <w:vAlign w:val="bottom"/>
          </w:tcPr>
          <w:p>
            <w:pPr>
              <w:jc w:val="center"/>
              <w:ind w:left="35"/>
              <w:spacing w:after="0"/>
              <w:rPr>
                <w:sz w:val="20"/>
                <w:szCs w:val="20"/>
                <w:color w:val="auto"/>
              </w:rPr>
            </w:pPr>
            <w:r>
              <w:rPr>
                <w:rFonts w:ascii="Arial" w:cs="Arial" w:eastAsia="Arial" w:hAnsi="Arial"/>
                <w:sz w:val="18"/>
                <w:szCs w:val="18"/>
                <w:color w:val="auto"/>
                <w:w w:val="99"/>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9,259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10,614</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238</w:t>
            </w:r>
          </w:p>
        </w:tc>
        <w:tc>
          <w:tcPr>
            <w:tcW w:w="1200" w:type="dxa"/>
            <w:vAlign w:val="bottom"/>
            <w:shd w:val="clear" w:color="auto" w:fill="CFF0FC"/>
          </w:tcPr>
          <w:p>
            <w:pPr>
              <w:jc w:val="center"/>
              <w:ind w:left="55"/>
              <w:spacing w:after="0"/>
              <w:rPr>
                <w:sz w:val="20"/>
                <w:szCs w:val="20"/>
                <w:color w:val="auto"/>
              </w:rPr>
            </w:pPr>
            <w:r>
              <w:rPr>
                <w:rFonts w:ascii="Arial" w:cs="Arial" w:eastAsia="Arial" w:hAnsi="Arial"/>
                <w:sz w:val="18"/>
                <w:szCs w:val="18"/>
                <w:color w:val="auto"/>
                <w:w w:val="99"/>
              </w:rPr>
              <w:t>116%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891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466</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91%</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3,804</w:t>
            </w:r>
          </w:p>
        </w:tc>
        <w:tc>
          <w:tcPr>
            <w:tcW w:w="1200" w:type="dxa"/>
            <w:vAlign w:val="bottom"/>
          </w:tcPr>
          <w:p>
            <w:pPr>
              <w:jc w:val="center"/>
              <w:ind w:left="55"/>
              <w:spacing w:after="0"/>
              <w:rPr>
                <w:sz w:val="20"/>
                <w:szCs w:val="20"/>
                <w:color w:val="auto"/>
              </w:rPr>
            </w:pPr>
            <w:r>
              <w:rPr>
                <w:rFonts w:ascii="Arial" w:cs="Arial" w:eastAsia="Arial" w:hAnsi="Arial"/>
                <w:sz w:val="18"/>
                <w:szCs w:val="18"/>
                <w:color w:val="auto"/>
                <w:w w:val="99"/>
              </w:rPr>
              <w:t>(0%)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7,585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7,745</w:t>
            </w:r>
          </w:p>
        </w:tc>
        <w:tc>
          <w:tcPr>
            <w:tcW w:w="1180" w:type="dxa"/>
            <w:vAlign w:val="bottom"/>
          </w:tcPr>
          <w:p>
            <w:pPr>
              <w:jc w:val="center"/>
              <w:ind w:left="33"/>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loss on asset sales, net</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Long-lived asset impairment</w:t>
            </w: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1200" w:type="dxa"/>
            <w:vAlign w:val="bottom"/>
            <w:tcBorders>
              <w:bottom w:val="single" w:sz="8" w:color="CFF0FC"/>
            </w:tcBorders>
          </w:tcPr>
          <w:p>
            <w:pPr>
              <w:jc w:val="center"/>
              <w:ind w:left="3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10,236</w:t>
            </w:r>
          </w:p>
        </w:tc>
        <w:tc>
          <w:tcPr>
            <w:tcW w:w="118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4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9,957</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13,748</w:t>
            </w:r>
          </w:p>
        </w:tc>
        <w:tc>
          <w:tcPr>
            <w:tcW w:w="120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(28%)</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20,837</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33,642</w:t>
            </w:r>
          </w:p>
        </w:tc>
        <w:tc>
          <w:tcPr>
            <w:tcW w:w="118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10"/>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4,167</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8,055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8,497</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Adjustments related to MVC shortfall</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payments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1,452</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2,905</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w:t>
            </w: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(53)</w:t>
            </w: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(Gain) loss on asset sales, net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4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w:t>
            </w: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10,236</w:t>
            </w: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8,510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11,208</w:t>
            </w:r>
          </w:p>
        </w:tc>
        <w:tc>
          <w:tcPr>
            <w:tcW w:w="1200" w:type="dxa"/>
            <w:vAlign w:val="bottom"/>
          </w:tcPr>
          <w:p>
            <w:pPr>
              <w:jc w:val="center"/>
              <w:ind w:left="35"/>
              <w:spacing w:after="0"/>
              <w:rPr>
                <w:sz w:val="20"/>
                <w:szCs w:val="20"/>
                <w:color w:val="auto"/>
              </w:rPr>
            </w:pPr>
            <w:r>
              <w:rPr>
                <w:rFonts w:ascii="Arial" w:cs="Arial" w:eastAsia="Arial" w:hAnsi="Arial"/>
                <w:sz w:val="18"/>
                <w:szCs w:val="18"/>
                <w:color w:val="auto"/>
                <w:w w:val="99"/>
              </w:rPr>
              <w:t>(24%)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17,270</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22,582</w:t>
            </w:r>
          </w:p>
        </w:tc>
        <w:tc>
          <w:tcPr>
            <w:tcW w:w="1180" w:type="dxa"/>
            <w:vAlign w:val="bottom"/>
          </w:tcPr>
          <w:p>
            <w:pPr>
              <w:jc w:val="center"/>
              <w:ind w:left="13"/>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 Includes the amortization expense associated with our favorable gas gathering contracts as reported in Other revenues.</w:t>
      </w:r>
    </w:p>
    <w:p>
      <w:pPr>
        <w:spacing w:after="0" w:line="11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u w:val="single" w:color="auto"/>
          <w:color w:val="auto"/>
        </w:rPr>
        <w:t>Three months ended June 30, 2020</w:t>
      </w:r>
      <w:r>
        <w:rPr>
          <w:rFonts w:ascii="Arial" w:cs="Arial" w:eastAsia="Arial" w:hAnsi="Arial"/>
          <w:sz w:val="18"/>
          <w:szCs w:val="18"/>
          <w:color w:val="auto"/>
        </w:rPr>
        <w:t>. Segment adjusted EBITDA decreased $2.7 million compared to the three months ended June 30, 2019 primarily reflecting:</w:t>
      </w:r>
    </w:p>
    <w:p>
      <w:pPr>
        <w:spacing w:after="0" w:line="76" w:lineRule="exact"/>
        <w:rPr>
          <w:sz w:val="20"/>
          <w:szCs w:val="20"/>
          <w:color w:val="auto"/>
        </w:rPr>
      </w:pPr>
    </w:p>
    <w:p>
      <w:pPr>
        <w:ind w:left="800" w:right="260" w:hanging="401"/>
        <w:spacing w:after="0" w:line="246"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$1.5 million decrease in adjustments related to MVC shortfall payments attributable to an MVC that expired in 2019 and a $1.4 million decrease in total revenues less cost of natural gas and NGLs which primarily reflects lower volume throughput.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1" w:name="page52"/>
    <w:bookmarkEnd w:id="51"/>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Also impacting total revenues and cost of natural gas and NGLs for the three months ended June 30, 2020, was the presentation of certain gathering services as a reduction to cost of natural gas and NGLs and the assignment of certain marketing arrangements from Corporate and Other to our DFW Midstream operations that occurred in June 2019.</w:t>
      </w:r>
    </w:p>
    <w:p>
      <w:pPr>
        <w:spacing w:after="0" w:line="9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u w:val="single" w:color="auto"/>
          <w:color w:val="auto"/>
        </w:rPr>
        <w:t>Six months ended June 30, 2020</w:t>
      </w:r>
      <w:r>
        <w:rPr>
          <w:rFonts w:ascii="Arial" w:cs="Arial" w:eastAsia="Arial" w:hAnsi="Arial"/>
          <w:sz w:val="18"/>
          <w:szCs w:val="18"/>
          <w:color w:val="auto"/>
        </w:rPr>
        <w:t>. Segment adjusted EBITDA decreased $5.3 million compared to the six months ended June 30, 2019 primarily reflecting:</w:t>
      </w:r>
    </w:p>
    <w:p>
      <w:pPr>
        <w:spacing w:after="0" w:line="76" w:lineRule="exact"/>
        <w:rPr>
          <w:sz w:val="20"/>
          <w:szCs w:val="20"/>
          <w:color w:val="auto"/>
        </w:rPr>
      </w:pPr>
    </w:p>
    <w:p>
      <w:pPr>
        <w:ind w:left="800" w:right="260" w:hanging="401"/>
        <w:spacing w:after="0" w:line="24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$2.9 million decrease in adjustments related to MVC shortfall payments attributable to an MVC that expired in 2019 and a $3.1 million decrease in total revenues less cost of natural gas and NGLs which primarily reflects lower volume throughput.</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$1.4 million decrease in various operation and maintenance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17" w:lineRule="exact"/>
        <w:rPr>
          <w:sz w:val="20"/>
          <w:szCs w:val="20"/>
          <w:color w:val="auto"/>
        </w:rPr>
      </w:pPr>
    </w:p>
    <w:p>
      <w:pPr>
        <w:jc w:val="both"/>
        <w:ind w:left="800" w:right="30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March 2019, we impaired certain long-lived assets in the Barnett Shale (see Note 5 to the unaudited condensed consolidated financial statements). The noncash impairment expense had no impact on segment adjusted EBITDA for the six months ended June 30, 2019.</w:t>
      </w:r>
    </w:p>
    <w:p>
      <w:pPr>
        <w:spacing w:after="0" w:line="94" w:lineRule="exact"/>
        <w:rPr>
          <w:rFonts w:ascii="Arial" w:cs="Arial" w:eastAsia="Arial" w:hAnsi="Arial"/>
          <w:sz w:val="18"/>
          <w:szCs w:val="18"/>
          <w:color w:val="auto"/>
        </w:rPr>
      </w:pPr>
    </w:p>
    <w:p>
      <w:pPr>
        <w:jc w:val="both"/>
        <w:ind w:left="800" w:right="20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Also impacting total revenues and cost of natural gas and NGLs for the six months ended June 30, 2020, was the presentation of certain gathering services as a reduction to cost of natural gas and NGLs and the assignment of certain marketing arrangements from Corporate and Other to our DFW Midstream operations that occurred in June 2019.</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 xml:space="preserve">Marcellus Shale. </w:t>
      </w:r>
      <w:r>
        <w:rPr>
          <w:rFonts w:ascii="Arial" w:cs="Arial" w:eastAsia="Arial" w:hAnsi="Arial"/>
          <w:sz w:val="18"/>
          <w:szCs w:val="18"/>
          <w:color w:val="auto"/>
        </w:rPr>
        <w:t>The Mountaineer Midstream system provides our midstream services for the Marcellus Shale reportable segment.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for the Marcellus Shale reportable segment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Marcellus Shale</w:t>
            </w: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24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0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2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880" w:type="dxa"/>
            <w:vAlign w:val="bottom"/>
            <w:gridSpan w:val="2"/>
            <w:shd w:val="clear" w:color="auto" w:fill="CFF0FC"/>
          </w:tcPr>
          <w:p>
            <w:pPr>
              <w:jc w:val="right"/>
              <w:ind w:right="2048"/>
              <w:spacing w:after="0"/>
              <w:rPr>
                <w:sz w:val="20"/>
                <w:szCs w:val="20"/>
                <w:color w:val="auto"/>
              </w:rPr>
            </w:pPr>
            <w:r>
              <w:rPr>
                <w:rFonts w:ascii="Arial" w:cs="Arial" w:eastAsia="Arial" w:hAnsi="Arial"/>
                <w:sz w:val="18"/>
                <w:szCs w:val="18"/>
                <w:color w:val="auto"/>
                <w:w w:val="99"/>
              </w:rPr>
              <w:t>Average daily throughput (MMcf/d)</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339</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Volume throughput decreased compared to the three and six months ended June 30, 2019 primarily due to natural production declines partially offset by additional drilling and completion activities in the third quarter of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Marcellus Shale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Marcellus Shale</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2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vMerge w:val="restart"/>
          </w:tcPr>
          <w:p>
            <w:pPr>
              <w:jc w:val="center"/>
              <w:ind w:left="57"/>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tcPr>
          <w:p>
            <w:pPr>
              <w:jc w:val="center"/>
              <w:ind w:left="14"/>
              <w:spacing w:after="0" w:line="156"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5,928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5,897</w:t>
            </w:r>
          </w:p>
        </w:tc>
        <w:tc>
          <w:tcPr>
            <w:tcW w:w="1200" w:type="dxa"/>
            <w:vAlign w:val="bottom"/>
          </w:tcPr>
          <w:p>
            <w:pPr>
              <w:jc w:val="center"/>
              <w:ind w:left="57"/>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12,163</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12,094</w:t>
            </w:r>
          </w:p>
        </w:tc>
        <w:tc>
          <w:tcPr>
            <w:tcW w:w="1180" w:type="dxa"/>
            <w:vAlign w:val="bottom"/>
          </w:tcPr>
          <w:p>
            <w:pPr>
              <w:jc w:val="center"/>
              <w:ind w:left="34"/>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352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6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5,928</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5,897</w:t>
            </w:r>
          </w:p>
        </w:tc>
        <w:tc>
          <w:tcPr>
            <w:tcW w:w="1200" w:type="dxa"/>
            <w:vAlign w:val="bottom"/>
            <w:tcBorders>
              <w:top w:val="single" w:sz="8" w:color="CFF0FC"/>
            </w:tcBorders>
            <w:shd w:val="clear" w:color="auto" w:fill="CFF0FC"/>
          </w:tcPr>
          <w:p>
            <w:pPr>
              <w:jc w:val="center"/>
              <w:ind w:left="57"/>
              <w:spacing w:after="0"/>
              <w:rPr>
                <w:sz w:val="20"/>
                <w:szCs w:val="20"/>
                <w:color w:val="auto"/>
              </w:rPr>
            </w:pPr>
            <w:r>
              <w:rPr>
                <w:rFonts w:ascii="Arial" w:cs="Arial" w:eastAsia="Arial" w:hAnsi="Arial"/>
                <w:sz w:val="18"/>
                <w:szCs w:val="18"/>
                <w:color w:val="auto"/>
                <w:w w:val="99"/>
              </w:rPr>
              <w:t>1%</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12,163</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12,094</w:t>
            </w:r>
          </w:p>
        </w:tc>
        <w:tc>
          <w:tcPr>
            <w:tcW w:w="1180" w:type="dxa"/>
            <w:vAlign w:val="bottom"/>
            <w:tcBorders>
              <w:top w:val="single" w:sz="8" w:color="CFF0FC"/>
            </w:tcBorders>
            <w:shd w:val="clear" w:color="auto" w:fill="CFF0FC"/>
          </w:tcPr>
          <w:p>
            <w:pPr>
              <w:jc w:val="center"/>
              <w:ind w:left="34"/>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35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1,155</w:t>
            </w:r>
          </w:p>
        </w:tc>
        <w:tc>
          <w:tcPr>
            <w:tcW w:w="1200" w:type="dxa"/>
            <w:vAlign w:val="bottom"/>
            <w:shd w:val="clear" w:color="auto" w:fill="CFF0FC"/>
          </w:tcPr>
          <w:p>
            <w:pPr>
              <w:jc w:val="center"/>
              <w:ind w:left="37"/>
              <w:spacing w:after="0"/>
              <w:rPr>
                <w:sz w:val="20"/>
                <w:szCs w:val="20"/>
                <w:color w:val="auto"/>
              </w:rPr>
            </w:pPr>
            <w:r>
              <w:rPr>
                <w:rFonts w:ascii="Arial" w:cs="Arial" w:eastAsia="Arial" w:hAnsi="Arial"/>
                <w:sz w:val="18"/>
                <w:szCs w:val="18"/>
                <w:color w:val="auto"/>
                <w:w w:val="99"/>
              </w:rPr>
              <w:t>(19%)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2,109</w:t>
            </w:r>
          </w:p>
        </w:tc>
        <w:tc>
          <w:tcPr>
            <w:tcW w:w="118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200" w:type="dxa"/>
            <w:vAlign w:val="bottom"/>
          </w:tcPr>
          <w:p>
            <w:pPr>
              <w:jc w:val="center"/>
              <w:ind w:left="57"/>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189</w:t>
            </w:r>
          </w:p>
        </w:tc>
        <w:tc>
          <w:tcPr>
            <w:tcW w:w="1180" w:type="dxa"/>
            <w:vAlign w:val="bottom"/>
          </w:tcPr>
          <w:p>
            <w:pPr>
              <w:jc w:val="center"/>
              <w:ind w:left="34"/>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2,286</w:t>
            </w:r>
          </w:p>
        </w:tc>
        <w:tc>
          <w:tcPr>
            <w:tcW w:w="1200" w:type="dxa"/>
            <w:vAlign w:val="bottom"/>
            <w:shd w:val="clear" w:color="auto" w:fill="CFF0FC"/>
          </w:tcPr>
          <w:p>
            <w:pPr>
              <w:jc w:val="center"/>
              <w:ind w:left="57"/>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4,569</w:t>
            </w:r>
          </w:p>
        </w:tc>
        <w:tc>
          <w:tcPr>
            <w:tcW w:w="1180" w:type="dxa"/>
            <w:vAlign w:val="bottom"/>
            <w:shd w:val="clear" w:color="auto" w:fill="CFF0FC"/>
          </w:tcPr>
          <w:p>
            <w:pPr>
              <w:jc w:val="center"/>
              <w:ind w:left="34"/>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6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3,330</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3,538</w:t>
            </w:r>
          </w:p>
        </w:tc>
        <w:tc>
          <w:tcPr>
            <w:tcW w:w="1200" w:type="dxa"/>
            <w:vAlign w:val="bottom"/>
            <w:tcBorders>
              <w:bottom w:val="single" w:sz="8" w:color="CFF0FC"/>
            </w:tcBorders>
          </w:tcPr>
          <w:p>
            <w:pPr>
              <w:jc w:val="center"/>
              <w:ind w:left="57"/>
              <w:spacing w:after="0"/>
              <w:rPr>
                <w:sz w:val="20"/>
                <w:szCs w:val="20"/>
                <w:color w:val="auto"/>
              </w:rPr>
            </w:pPr>
            <w:r>
              <w:rPr>
                <w:rFonts w:ascii="Arial" w:cs="Arial" w:eastAsia="Arial" w:hAnsi="Arial"/>
                <w:sz w:val="18"/>
                <w:szCs w:val="18"/>
                <w:color w:val="auto"/>
                <w:w w:val="99"/>
              </w:rPr>
              <w:t>(6%)</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6,536</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6,867</w:t>
            </w:r>
          </w:p>
        </w:tc>
        <w:tc>
          <w:tcPr>
            <w:tcW w:w="1180" w:type="dxa"/>
            <w:vAlign w:val="bottom"/>
            <w:tcBorders>
              <w:bottom w:val="single" w:sz="8" w:color="CFF0FC"/>
            </w:tcBorders>
          </w:tcPr>
          <w:p>
            <w:pPr>
              <w:jc w:val="center"/>
              <w:ind w:left="34"/>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2,286</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4,600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4,569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6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w:t>
            </w: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(19)</w:t>
            </w:r>
          </w:p>
        </w:tc>
        <w:tc>
          <w:tcPr>
            <w:tcW w:w="1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2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4,888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4,635</w:t>
            </w:r>
          </w:p>
        </w:tc>
        <w:tc>
          <w:tcPr>
            <w:tcW w:w="1200" w:type="dxa"/>
            <w:vAlign w:val="bottom"/>
          </w:tcPr>
          <w:p>
            <w:pPr>
              <w:jc w:val="center"/>
              <w:ind w:left="57"/>
              <w:spacing w:after="0"/>
              <w:rPr>
                <w:sz w:val="20"/>
                <w:szCs w:val="20"/>
                <w:color w:val="auto"/>
              </w:rPr>
            </w:pPr>
            <w:r>
              <w:rPr>
                <w:rFonts w:ascii="Arial" w:cs="Arial" w:eastAsia="Arial" w:hAnsi="Arial"/>
                <w:sz w:val="18"/>
                <w:szCs w:val="18"/>
                <w:color w:val="auto"/>
                <w:w w:val="99"/>
              </w:rPr>
              <w:t>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10,208</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9,777</w:t>
            </w:r>
          </w:p>
        </w:tc>
        <w:tc>
          <w:tcPr>
            <w:tcW w:w="1180" w:type="dxa"/>
            <w:vAlign w:val="bottom"/>
          </w:tcPr>
          <w:p>
            <w:pPr>
              <w:jc w:val="center"/>
              <w:ind w:left="34"/>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2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and six months ended June 30, 2020</w:t>
      </w:r>
      <w:r>
        <w:rPr>
          <w:rFonts w:ascii="Arial" w:cs="Arial" w:eastAsia="Arial" w:hAnsi="Arial"/>
          <w:sz w:val="18"/>
          <w:szCs w:val="18"/>
          <w:color w:val="auto"/>
        </w:rPr>
        <w:t>. Segment adjusted EBITDA increased $0.3 million and $0.4 million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compared to the three and six months ended June 30, 2019.</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Other Overview for the Three and Six Months Ended June 30, 2020 and 2019</w:t>
      </w:r>
    </w:p>
    <w:p>
      <w:pPr>
        <w:spacing w:after="0" w:line="12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construction management fees related to the Double E Project, transaction costs and interest expense.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Corporate and Other</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218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Three months ended June 30,</w:t>
            </w:r>
          </w:p>
        </w:tc>
        <w:tc>
          <w:tcPr>
            <w:tcW w:w="112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rPr>
              <w:t>Percentage</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vMerge w:val="restart"/>
          </w:tcPr>
          <w:p>
            <w:pPr>
              <w:jc w:val="center"/>
              <w:ind w:left="15"/>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4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revenues</w:t>
            </w:r>
          </w:p>
        </w:tc>
        <w:tc>
          <w:tcPr>
            <w:tcW w:w="1200" w:type="dxa"/>
            <w:vAlign w:val="bottom"/>
          </w:tcPr>
          <w:p>
            <w:pPr>
              <w:jc w:val="right"/>
              <w:ind w:right="215"/>
              <w:spacing w:after="0"/>
              <w:rPr>
                <w:sz w:val="20"/>
                <w:szCs w:val="20"/>
                <w:color w:val="auto"/>
              </w:rPr>
            </w:pPr>
            <w:r>
              <w:rPr>
                <w:rFonts w:ascii="Arial" w:cs="Arial" w:eastAsia="Arial" w:hAnsi="Arial"/>
                <w:sz w:val="18"/>
                <w:szCs w:val="18"/>
                <w:color w:val="auto"/>
              </w:rPr>
              <w:t>644</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2,927</w:t>
            </w:r>
          </w:p>
        </w:tc>
        <w:tc>
          <w:tcPr>
            <w:tcW w:w="1120" w:type="dxa"/>
            <w:vAlign w:val="bottom"/>
          </w:tcPr>
          <w:p>
            <w:pPr>
              <w:jc w:val="center"/>
              <w:ind w:left="37"/>
              <w:spacing w:after="0"/>
              <w:rPr>
                <w:sz w:val="20"/>
                <w:szCs w:val="20"/>
                <w:color w:val="auto"/>
              </w:rPr>
            </w:pPr>
            <w:r>
              <w:rPr>
                <w:rFonts w:ascii="Arial" w:cs="Arial" w:eastAsia="Arial" w:hAnsi="Arial"/>
                <w:sz w:val="18"/>
                <w:szCs w:val="18"/>
                <w:color w:val="auto"/>
                <w:w w:val="99"/>
              </w:rPr>
              <w:t>(78%)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1,287</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26,444</w:t>
            </w:r>
          </w:p>
        </w:tc>
        <w:tc>
          <w:tcPr>
            <w:tcW w:w="1180" w:type="dxa"/>
            <w:vAlign w:val="bottom"/>
          </w:tcPr>
          <w:p>
            <w:pPr>
              <w:jc w:val="center"/>
              <w:ind w:left="15"/>
              <w:spacing w:after="0"/>
              <w:rPr>
                <w:sz w:val="20"/>
                <w:szCs w:val="20"/>
                <w:color w:val="auto"/>
              </w:rPr>
            </w:pPr>
            <w:r>
              <w:rPr>
                <w:rFonts w:ascii="Arial" w:cs="Arial" w:eastAsia="Arial" w:hAnsi="Arial"/>
                <w:sz w:val="18"/>
                <w:szCs w:val="18"/>
                <w:color w:val="auto"/>
                <w:w w:val="99"/>
              </w:rPr>
              <w:t>(95%)</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 of natural gas and NGLs</w:t>
            </w:r>
          </w:p>
        </w:tc>
        <w:tc>
          <w:tcPr>
            <w:tcW w:w="120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2,783</w:t>
            </w:r>
          </w:p>
        </w:tc>
        <w:tc>
          <w:tcPr>
            <w:tcW w:w="1120" w:type="dxa"/>
            <w:vAlign w:val="bottom"/>
          </w:tcPr>
          <w:p>
            <w:pPr>
              <w:jc w:val="center"/>
              <w:ind w:left="3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26,105</w:t>
            </w:r>
          </w:p>
        </w:tc>
        <w:tc>
          <w:tcPr>
            <w:tcW w:w="1180" w:type="dxa"/>
            <w:vAlign w:val="bottom"/>
          </w:tcPr>
          <w:p>
            <w:pPr>
              <w:jc w:val="center"/>
              <w:ind w:lef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jc w:val="right"/>
              <w:ind w:right="215"/>
              <w:spacing w:after="0"/>
              <w:rPr>
                <w:sz w:val="20"/>
                <w:szCs w:val="20"/>
                <w:color w:val="auto"/>
              </w:rPr>
            </w:pPr>
            <w:r>
              <w:rPr>
                <w:rFonts w:ascii="Arial" w:cs="Arial" w:eastAsia="Arial" w:hAnsi="Arial"/>
                <w:sz w:val="18"/>
                <w:szCs w:val="18"/>
                <w:color w:val="auto"/>
              </w:rPr>
              <w:t>11,099</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9,338</w:t>
            </w:r>
          </w:p>
        </w:tc>
        <w:tc>
          <w:tcPr>
            <w:tcW w:w="1120" w:type="dxa"/>
            <w:vAlign w:val="bottom"/>
            <w:shd w:val="clear" w:color="auto" w:fill="CFF0FC"/>
          </w:tcPr>
          <w:p>
            <w:pPr>
              <w:jc w:val="center"/>
              <w:ind w:left="37"/>
              <w:spacing w:after="0"/>
              <w:rPr>
                <w:sz w:val="20"/>
                <w:szCs w:val="20"/>
                <w:color w:val="auto"/>
              </w:rPr>
            </w:pPr>
            <w:r>
              <w:rPr>
                <w:rFonts w:ascii="Arial" w:cs="Arial" w:eastAsia="Arial" w:hAnsi="Arial"/>
                <w:sz w:val="18"/>
                <w:szCs w:val="18"/>
                <w:color w:val="auto"/>
                <w:w w:val="99"/>
              </w:rPr>
              <w:t>19%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26,103</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26,582</w:t>
            </w:r>
          </w:p>
        </w:tc>
        <w:tc>
          <w:tcPr>
            <w:tcW w:w="118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Transaction costs</w:t>
            </w:r>
          </w:p>
        </w:tc>
        <w:tc>
          <w:tcPr>
            <w:tcW w:w="1200" w:type="dxa"/>
            <w:vAlign w:val="bottom"/>
          </w:tcPr>
          <w:p>
            <w:pPr>
              <w:jc w:val="right"/>
              <w:ind w:right="215"/>
              <w:spacing w:after="0"/>
              <w:rPr>
                <w:sz w:val="20"/>
                <w:szCs w:val="20"/>
                <w:color w:val="auto"/>
              </w:rPr>
            </w:pPr>
            <w:r>
              <w:rPr>
                <w:rFonts w:ascii="Arial" w:cs="Arial" w:eastAsia="Arial" w:hAnsi="Arial"/>
                <w:sz w:val="18"/>
                <w:szCs w:val="18"/>
                <w:color w:val="auto"/>
              </w:rPr>
              <w:t>1,207</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96</w:t>
            </w:r>
          </w:p>
        </w:tc>
        <w:tc>
          <w:tcPr>
            <w:tcW w:w="1120" w:type="dxa"/>
            <w:vAlign w:val="bottom"/>
          </w:tcPr>
          <w:p>
            <w:pPr>
              <w:jc w:val="center"/>
              <w:ind w:left="3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1,218</w:t>
            </w:r>
          </w:p>
        </w:tc>
        <w:tc>
          <w:tcPr>
            <w:tcW w:w="28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2,433</w:t>
            </w:r>
          </w:p>
        </w:tc>
        <w:tc>
          <w:tcPr>
            <w:tcW w:w="1180" w:type="dxa"/>
            <w:vAlign w:val="bottom"/>
          </w:tcPr>
          <w:p>
            <w:pPr>
              <w:jc w:val="center"/>
              <w:ind w:lef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FF0FC"/>
          </w:tcPr>
          <w:p>
            <w:pPr>
              <w:jc w:val="right"/>
              <w:ind w:right="215"/>
              <w:spacing w:after="0"/>
              <w:rPr>
                <w:sz w:val="20"/>
                <w:szCs w:val="20"/>
                <w:color w:val="auto"/>
              </w:rPr>
            </w:pPr>
            <w:r>
              <w:rPr>
                <w:rFonts w:ascii="Arial" w:cs="Arial" w:eastAsia="Arial" w:hAnsi="Arial"/>
                <w:sz w:val="18"/>
                <w:szCs w:val="18"/>
                <w:color w:val="auto"/>
              </w:rPr>
              <w:t>21,990</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22,343</w:t>
            </w:r>
          </w:p>
        </w:tc>
        <w:tc>
          <w:tcPr>
            <w:tcW w:w="1120" w:type="dxa"/>
            <w:vAlign w:val="bottom"/>
            <w:shd w:val="clear" w:color="auto" w:fill="CFF0FC"/>
          </w:tcPr>
          <w:p>
            <w:pPr>
              <w:jc w:val="center"/>
              <w:ind w:left="17"/>
              <w:spacing w:after="0"/>
              <w:rPr>
                <w:sz w:val="20"/>
                <w:szCs w:val="20"/>
                <w:color w:val="auto"/>
              </w:rPr>
            </w:pPr>
            <w:r>
              <w:rPr>
                <w:rFonts w:ascii="Arial" w:cs="Arial" w:eastAsia="Arial" w:hAnsi="Arial"/>
                <w:sz w:val="18"/>
                <w:szCs w:val="18"/>
                <w:color w:val="auto"/>
                <w:w w:val="99"/>
              </w:rPr>
              <w:t>(2%)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45,818</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45,085</w:t>
            </w:r>
          </w:p>
        </w:tc>
        <w:tc>
          <w:tcPr>
            <w:tcW w:w="1180" w:type="dxa"/>
            <w:vAlign w:val="bottom"/>
            <w:shd w:val="clear" w:color="auto" w:fill="CFF0FC"/>
          </w:tcPr>
          <w:p>
            <w:pPr>
              <w:jc w:val="center"/>
              <w:ind w:left="35"/>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Gain on early extinguishment of debt</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(54,235)</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tcPr>
          <w:p>
            <w:pPr>
              <w:jc w:val="center"/>
              <w:ind w:left="3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(54,235)</w:t>
            </w:r>
          </w:p>
        </w:tc>
        <w:tc>
          <w:tcPr>
            <w:tcW w:w="28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80" w:type="dxa"/>
            <w:vAlign w:val="bottom"/>
          </w:tcPr>
          <w:p>
            <w:pPr>
              <w:jc w:val="center"/>
              <w:ind w:lef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143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jc w:val="both"/>
        <w:ind w:right="120"/>
        <w:spacing w:after="0"/>
        <w:rPr>
          <w:sz w:val="20"/>
          <w:szCs w:val="20"/>
          <w:color w:val="auto"/>
        </w:rPr>
      </w:pPr>
      <w:r>
        <w:rPr>
          <w:rFonts w:ascii="Arial" w:cs="Arial" w:eastAsia="Arial" w:hAnsi="Arial"/>
          <w:sz w:val="18"/>
          <w:szCs w:val="18"/>
          <w:u w:val="single" w:color="auto"/>
          <w:color w:val="auto"/>
        </w:rPr>
        <w:t>Total Revenues</w:t>
      </w:r>
      <w:r>
        <w:rPr>
          <w:rFonts w:ascii="Arial" w:cs="Arial" w:eastAsia="Arial" w:hAnsi="Arial"/>
          <w:sz w:val="18"/>
          <w:szCs w:val="18"/>
          <w:color w:val="auto"/>
        </w:rPr>
        <w:t>. Total revenues attributable to Corporate and Other was due to natural gas, NGL and crude oil marketing services (primarily natural gas sales). The decrease of $ 2.3 million and $25.2 million compared to the three and six months ended June 30, 2019, respectively, was attributable to lower natural gas, NGL and crude oil marketing activity.</w:t>
      </w:r>
    </w:p>
    <w:p>
      <w:pPr>
        <w:spacing w:after="0" w:line="95" w:lineRule="exact"/>
        <w:rPr>
          <w:sz w:val="20"/>
          <w:szCs w:val="20"/>
          <w:color w:val="auto"/>
        </w:rPr>
      </w:pPr>
    </w:p>
    <w:p>
      <w:pPr>
        <w:jc w:val="both"/>
        <w:ind w:right="60"/>
        <w:spacing w:after="0"/>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attributable to Corporate and Other was due to natural gas, NGL and crude oil marketing services. The decrease of $2.8 million and $26.1 million compared to the three and six months ended June 30, 2019, respectively, was attributable to lower marketing activity.</w:t>
      </w:r>
    </w:p>
    <w:p>
      <w:pPr>
        <w:spacing w:after="0" w:line="9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increased $1.8 million compared to the three months ended June 30, 2019 primarily due to a $0.8 million increase in professional service fees and a $0.7 million increase in restructuring expenses.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 decreased $0.5 million compared to the six months ended June 30, 2019.</w:t>
      </w:r>
    </w:p>
    <w:p>
      <w:pPr>
        <w:spacing w:after="0" w:line="10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The increase in transaction costs recognized during the three months ended June 30, 2020 compared to the three months ended June 30, 2019 was primarily due to costs associated with the GP Buy-In Transaction.</w:t>
      </w:r>
    </w:p>
    <w:p>
      <w:pPr>
        <w:spacing w:after="0" w:line="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decrease in transaction costs recognized during the six months ended June 30, 2020 compared to the six months ended June 30, 2019 was due to financial advisory costs incurred in 2019 for a subsidiary equity restructuring that did not occur in 2020.</w:t>
      </w:r>
    </w:p>
    <w:p>
      <w:pPr>
        <w:spacing w:after="0" w:line="8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decreased $1.2 million and $0.2 million compared to the three and six months ended June 30, 2019 primarily due to a lower average outstanding balance on the nonrecourse SMPH Term Loan at SMP Holdings that incurs a higher interest rate partially offset by a higher average outstanding balance on the Revolving Credit Facility and the addition of the ECP Loans from the GP Buy-In Transaction.</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Summarized Financial Information</w:t>
      </w:r>
    </w:p>
    <w:p>
      <w:pPr>
        <w:spacing w:after="0" w:line="103"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 xml:space="preserve">On March 2, 2020, the SEC issued Final Rule Release No. 33-10762, </w:t>
      </w:r>
      <w:r>
        <w:rPr>
          <w:rFonts w:ascii="Arial" w:cs="Arial" w:eastAsia="Arial" w:hAnsi="Arial"/>
          <w:sz w:val="17"/>
          <w:szCs w:val="17"/>
          <w:i w:val="1"/>
          <w:iCs w:val="1"/>
          <w:color w:val="auto"/>
        </w:rPr>
        <w:t>Financial Disclosures about Guarantors and Issuers of Guaranteed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and Affiliates Whose Securities Collateralize a Registrant’s Securities </w:t>
      </w:r>
      <w:r>
        <w:rPr>
          <w:rFonts w:ascii="Arial" w:cs="Arial" w:eastAsia="Arial" w:hAnsi="Arial"/>
          <w:sz w:val="17"/>
          <w:szCs w:val="17"/>
          <w:color w:val="auto"/>
        </w:rPr>
        <w:t>(“Release 33-10762”), that amends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related to certain registered securities that are guaranteed and those that are collateralized by the securities of an affiliate.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Under Release 33-10762, an SEC registrant may continue to omit separate financial statements of subsidiary issuers and guarantors when</w:t>
      </w:r>
    </w:p>
    <w:p>
      <w:pPr>
        <w:ind w:right="200" w:firstLine="8"/>
        <w:spacing w:after="0"/>
        <w:tabs>
          <w:tab w:leader="none" w:pos="2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subsidiary issuer is consolidated with the parent company and its security is either (a) co-issued jointly and severally with the parent company’s security or (b) the subsidiary issuer’s security is fully and unconditionally guaranteed by the parent company and (2) the parent company provides supplemental financial and non-financial disclosure about the subsidiary issuers and/or guarantors and the guarantees.</w:t>
      </w:r>
    </w:p>
    <w:p>
      <w:pPr>
        <w:spacing w:after="0" w:line="9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rules become effective January 4, 2021, with voluntary compliance permitted immediately. The Senior Notes are fully and unconditionally guaranteed, jointly and severally, on a senior unsecured basis by SMLP and the Guarantor Subsidiaries (see Note 9 to the unaudited condensed consolidated financial statements). SMLP has concluded that it is eligible to provide Alternative Disclosures under the amended disclosure requirements and has early adopted Release 33-10762 as of and for the six months ended June 30, 2020.</w:t>
      </w:r>
    </w:p>
    <w:p>
      <w:pPr>
        <w:spacing w:after="0" w:line="8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supplemental summarized financial information below reflects SMLP's separate accounts, the combined accounts of Summit Holdings and its 100% owned finance subsidiary, Finance Corp (the “Co-Issuers”) and the Guarantor Subsidiaries (the Co-Issuers and, together with the Guarantor Subsidiaries,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Payments to holders of the Senior Notes are affected by the composition of and relationships among the Co-Issuers, the Guarantor Subsidiaries and Permian Holdco and Summit Permian Transmission, who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spacing w:after="0" w:line="9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 list of each of SMLP’s subsidiaries that is a guarantor, issuer or co-issuer of our registered securities subject to the reporting requirements in Release 33-10762 is filed as Exhibit 22.1 to this Quarterly Report on Form 10-Q.</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Balance Sheet Information</w:t>
      </w:r>
      <w:r>
        <w:rPr>
          <w:rFonts w:ascii="Arial" w:cs="Arial" w:eastAsia="Arial" w:hAnsi="Arial"/>
          <w:sz w:val="18"/>
          <w:szCs w:val="18"/>
          <w:color w:val="auto"/>
        </w:rPr>
        <w:t>. Summarized balance sheet information as of June 30, 2020 and December 31, 2019 follow.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left="136"/>
              <w:spacing w:after="0"/>
              <w:rPr>
                <w:sz w:val="20"/>
                <w:szCs w:val="20"/>
                <w:color w:val="auto"/>
              </w:rPr>
            </w:pPr>
            <w:r>
              <w:rPr>
                <w:rFonts w:ascii="Arial" w:cs="Arial" w:eastAsia="Arial" w:hAnsi="Arial"/>
                <w:sz w:val="14"/>
                <w:szCs w:val="14"/>
                <w:b w:val="1"/>
                <w:bCs w:val="1"/>
                <w:color w:val="auto"/>
              </w:rPr>
              <w:t>June 30, 2020</w:t>
            </w: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SMLP</w:t>
            </w:r>
          </w:p>
        </w:tc>
        <w:tc>
          <w:tcPr>
            <w:tcW w:w="8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Obligor Group</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Current assets</w:t>
            </w:r>
          </w:p>
        </w:tc>
        <w:tc>
          <w:tcPr>
            <w:tcW w:w="386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3,215</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117,637</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11,007</w:t>
            </w: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2,338,460</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Current liabilities</w:t>
            </w:r>
          </w:p>
        </w:tc>
        <w:tc>
          <w:tcPr>
            <w:tcW w:w="386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10,862</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92,822</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5,945</w:t>
            </w: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1,443,485</w:t>
            </w:r>
          </w:p>
        </w:tc>
        <w:tc>
          <w:tcPr>
            <w:tcW w:w="0" w:type="dxa"/>
            <w:vAlign w:val="bottom"/>
          </w:tcPr>
          <w:p>
            <w:pPr>
              <w:spacing w:after="0"/>
              <w:rPr>
                <w:sz w:val="1"/>
                <w:szCs w:val="1"/>
                <w:color w:val="auto"/>
              </w:rPr>
            </w:pPr>
          </w:p>
        </w:tc>
      </w:tr>
      <w:tr>
        <w:trPr>
          <w:trHeight w:val="459"/>
        </w:trPr>
        <w:tc>
          <w:tcPr>
            <w:tcW w:w="4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136"/>
              <w:spacing w:after="0"/>
              <w:rPr>
                <w:sz w:val="20"/>
                <w:szCs w:val="20"/>
                <w:color w:val="auto"/>
              </w:rPr>
            </w:pPr>
            <w:r>
              <w:rPr>
                <w:rFonts w:ascii="Arial" w:cs="Arial" w:eastAsia="Arial" w:hAnsi="Arial"/>
                <w:sz w:val="14"/>
                <w:szCs w:val="14"/>
                <w:b w:val="1"/>
                <w:bCs w:val="1"/>
                <w:color w:val="auto"/>
              </w:rPr>
              <w:t>December 31, 2019</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SMLP</w:t>
            </w:r>
          </w:p>
        </w:tc>
        <w:tc>
          <w:tcPr>
            <w:tcW w:w="8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Obligor Group</w:t>
            </w:r>
          </w:p>
        </w:tc>
        <w:tc>
          <w:tcPr>
            <w:tcW w:w="0" w:type="dxa"/>
            <w:vAlign w:val="bottom"/>
          </w:tcPr>
          <w:p>
            <w:pPr>
              <w:spacing w:after="0"/>
              <w:rPr>
                <w:sz w:val="1"/>
                <w:szCs w:val="1"/>
                <w:color w:val="auto"/>
              </w:rPr>
            </w:pPr>
          </w:p>
        </w:tc>
      </w:tr>
      <w:tr>
        <w:trPr>
          <w:trHeight w:val="225"/>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260" w:type="dxa"/>
            <w:vAlign w:val="bottom"/>
            <w:vMerge w:val="continue"/>
          </w:tcPr>
          <w:p>
            <w:pPr>
              <w:spacing w:after="0"/>
              <w:rPr>
                <w:sz w:val="17"/>
                <w:szCs w:val="17"/>
                <w:color w:val="auto"/>
              </w:rPr>
            </w:pPr>
          </w:p>
        </w:tc>
        <w:tc>
          <w:tcPr>
            <w:tcW w:w="2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86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7,396</w:t>
            </w:r>
          </w:p>
        </w:tc>
        <w:tc>
          <w:tcPr>
            <w:tcW w:w="6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104,964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Noncurrent assets</w:t>
            </w: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9,835</w:t>
            </w:r>
          </w:p>
        </w:tc>
        <w:tc>
          <w:tcPr>
            <w:tcW w:w="640" w:type="dxa"/>
            <w:vAlign w:val="bottom"/>
          </w:tcPr>
          <w:p>
            <w:pPr>
              <w:spacing w:after="0"/>
              <w:rPr>
                <w:sz w:val="18"/>
                <w:szCs w:val="18"/>
                <w:color w:val="auto"/>
              </w:rPr>
            </w:pP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2,389,032</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86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14,527</w:t>
            </w:r>
          </w:p>
        </w:tc>
        <w:tc>
          <w:tcPr>
            <w:tcW w:w="6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69,177</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163,163</w:t>
            </w:r>
          </w:p>
        </w:tc>
        <w:tc>
          <w:tcPr>
            <w:tcW w:w="640" w:type="dxa"/>
            <w:vAlign w:val="bottom"/>
          </w:tcPr>
          <w:p>
            <w:pPr>
              <w:spacing w:after="0"/>
              <w:rPr>
                <w:sz w:val="19"/>
                <w:szCs w:val="19"/>
                <w:color w:val="auto"/>
              </w:rPr>
            </w:pP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1,514,250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 xml:space="preserve">Summarized Statements of Operations Information. </w:t>
      </w:r>
      <w:r>
        <w:rPr>
          <w:rFonts w:ascii="Arial" w:cs="Arial" w:eastAsia="Arial" w:hAnsi="Arial"/>
          <w:sz w:val="18"/>
          <w:szCs w:val="18"/>
          <w:color w:val="auto"/>
        </w:rPr>
        <w:t>For the purposes of the following summarized statements of operations, we allocate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portion of general and administrative expenses recognized at the SMLP parent to the Obligor Group to reflect what those entities' results would have been had they operated on a stand-alone basis.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Summarized statements of operations for the six months ended June 30, 2020 and for the year ended December 31, 2019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36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rPr>
              <w:t>Six months ended June 30, 2020</w:t>
            </w:r>
          </w:p>
        </w:tc>
      </w:tr>
      <w:tr>
        <w:trPr>
          <w:trHeight w:val="169"/>
        </w:trPr>
        <w:tc>
          <w:tcPr>
            <w:tcW w:w="5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SMLP</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Obligor Group</w:t>
            </w:r>
          </w:p>
        </w:tc>
      </w:tr>
      <w:tr>
        <w:trPr>
          <w:trHeight w:val="169"/>
        </w:trPr>
        <w:tc>
          <w:tcPr>
            <w:tcW w:w="5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4"/>
                <w:szCs w:val="14"/>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600" w:type="dxa"/>
            <w:vAlign w:val="bottom"/>
            <w:gridSpan w:val="2"/>
            <w:shd w:val="clear" w:color="auto" w:fill="CFF0FC"/>
          </w:tcPr>
          <w:p>
            <w:pPr>
              <w:jc w:val="right"/>
              <w:ind w:right="108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196,910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3,944</w:t>
            </w:r>
          </w:p>
        </w:tc>
        <w:tc>
          <w:tcPr>
            <w:tcW w:w="540" w:type="dxa"/>
            <w:vAlign w:val="bottom"/>
          </w:tcPr>
          <w:p>
            <w:pPr>
              <w:spacing w:after="0"/>
              <w:rPr>
                <w:sz w:val="18"/>
                <w:szCs w:val="18"/>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146,671</w:t>
            </w:r>
          </w:p>
        </w:tc>
      </w:tr>
      <w:tr>
        <w:trPr>
          <w:trHeight w:val="215"/>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taxes and income from</w:t>
            </w:r>
          </w:p>
        </w:tc>
        <w:tc>
          <w:tcPr>
            <w:tcW w:w="1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03"/>
        </w:trPr>
        <w:tc>
          <w:tcPr>
            <w:tcW w:w="5540" w:type="dxa"/>
            <w:vAlign w:val="bottom"/>
            <w:shd w:val="clear" w:color="auto" w:fill="CFF0FC"/>
          </w:tcPr>
          <w:p>
            <w:pPr>
              <w:ind w:left="100"/>
              <w:spacing w:after="0" w:line="203" w:lineRule="exact"/>
              <w:rPr>
                <w:sz w:val="20"/>
                <w:szCs w:val="20"/>
                <w:color w:val="auto"/>
              </w:rPr>
            </w:pPr>
            <w:r>
              <w:rPr>
                <w:rFonts w:ascii="Arial" w:cs="Arial" w:eastAsia="Arial" w:hAnsi="Arial"/>
                <w:sz w:val="18"/>
                <w:szCs w:val="18"/>
                <w:color w:val="auto"/>
              </w:rPr>
              <w:t>equity method investees</w:t>
            </w:r>
          </w:p>
        </w:tc>
        <w:tc>
          <w:tcPr>
            <w:tcW w:w="1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(3,775)</w:t>
            </w:r>
          </w:p>
        </w:tc>
        <w:tc>
          <w:tcPr>
            <w:tcW w:w="54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53"/>
              <w:spacing w:after="0" w:line="203" w:lineRule="exact"/>
              <w:rPr>
                <w:sz w:val="20"/>
                <w:szCs w:val="20"/>
                <w:color w:val="auto"/>
              </w:rPr>
            </w:pPr>
            <w:r>
              <w:rPr>
                <w:rFonts w:ascii="Arial" w:cs="Arial" w:eastAsia="Arial" w:hAnsi="Arial"/>
                <w:sz w:val="18"/>
                <w:szCs w:val="18"/>
                <w:color w:val="auto"/>
              </w:rPr>
              <w:t>65,489</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7,252</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(3,696)</w:t>
            </w:r>
          </w:p>
        </w:tc>
        <w:tc>
          <w:tcPr>
            <w:tcW w:w="5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72,741</w:t>
            </w:r>
          </w:p>
        </w:tc>
      </w:tr>
      <w:tr>
        <w:trPr>
          <w:trHeight w:val="459"/>
        </w:trPr>
        <w:tc>
          <w:tcPr>
            <w:tcW w:w="5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6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rPr>
              <w:t>Year ended December 31, 2019</w:t>
            </w:r>
          </w:p>
        </w:tc>
      </w:tr>
      <w:tr>
        <w:trPr>
          <w:trHeight w:val="169"/>
        </w:trPr>
        <w:tc>
          <w:tcPr>
            <w:tcW w:w="5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SMLP</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Obligor Group</w:t>
            </w:r>
          </w:p>
        </w:tc>
      </w:tr>
      <w:tr>
        <w:trPr>
          <w:trHeight w:val="182"/>
        </w:trPr>
        <w:tc>
          <w:tcPr>
            <w:tcW w:w="5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2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5"/>
                <w:szCs w:val="15"/>
                <w:color w:val="auto"/>
              </w:rPr>
            </w:pPr>
          </w:p>
        </w:tc>
      </w:tr>
      <w:tr>
        <w:trPr>
          <w:trHeight w:val="203"/>
        </w:trPr>
        <w:tc>
          <w:tcPr>
            <w:tcW w:w="5540" w:type="dxa"/>
            <w:vAlign w:val="bottom"/>
          </w:tcPr>
          <w:p>
            <w:pPr>
              <w:spacing w:after="0" w:line="203" w:lineRule="exact"/>
              <w:rPr>
                <w:sz w:val="20"/>
                <w:szCs w:val="20"/>
                <w:color w:val="auto"/>
              </w:rPr>
            </w:pPr>
            <w:r>
              <w:rPr>
                <w:rFonts w:ascii="Arial" w:cs="Arial" w:eastAsia="Arial" w:hAnsi="Arial"/>
                <w:sz w:val="18"/>
                <w:szCs w:val="18"/>
                <w:color w:val="auto"/>
              </w:rPr>
              <w:t>Total revenues</w:t>
            </w:r>
          </w:p>
        </w:tc>
        <w:tc>
          <w:tcPr>
            <w:tcW w:w="2600" w:type="dxa"/>
            <w:vAlign w:val="bottom"/>
            <w:gridSpan w:val="2"/>
          </w:tcPr>
          <w:p>
            <w:pPr>
              <w:jc w:val="right"/>
              <w:ind w:right="1088"/>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13"/>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53"/>
              <w:spacing w:after="0" w:line="203" w:lineRule="exact"/>
              <w:rPr>
                <w:sz w:val="20"/>
                <w:szCs w:val="20"/>
                <w:color w:val="auto"/>
              </w:rPr>
            </w:pPr>
            <w:r>
              <w:rPr>
                <w:rFonts w:ascii="Arial" w:cs="Arial" w:eastAsia="Arial" w:hAnsi="Arial"/>
                <w:sz w:val="18"/>
                <w:szCs w:val="18"/>
                <w:color w:val="auto"/>
              </w:rPr>
              <w:t>443,528</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1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8,719</w:t>
            </w:r>
          </w:p>
        </w:tc>
        <w:tc>
          <w:tcPr>
            <w:tcW w:w="5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397,939</w:t>
            </w:r>
          </w:p>
        </w:tc>
      </w:tr>
      <w:tr>
        <w:trPr>
          <w:trHeight w:val="215"/>
        </w:trPr>
        <w:tc>
          <w:tcPr>
            <w:tcW w:w="5540" w:type="dxa"/>
            <w:vAlign w:val="bottom"/>
          </w:tcPr>
          <w:p>
            <w:pPr>
              <w:spacing w:after="0"/>
              <w:rPr>
                <w:sz w:val="20"/>
                <w:szCs w:val="20"/>
                <w:color w:val="auto"/>
              </w:rPr>
            </w:pPr>
            <w:r>
              <w:rPr>
                <w:rFonts w:ascii="Arial" w:cs="Arial" w:eastAsia="Arial" w:hAnsi="Arial"/>
                <w:sz w:val="18"/>
                <w:szCs w:val="18"/>
                <w:color w:val="auto"/>
              </w:rPr>
              <w:t>Loss before income taxes and loss from</w:t>
            </w: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5540" w:type="dxa"/>
            <w:vAlign w:val="bottom"/>
          </w:tcPr>
          <w:p>
            <w:pPr>
              <w:ind w:left="100"/>
              <w:spacing w:after="0" w:line="203" w:lineRule="exact"/>
              <w:rPr>
                <w:sz w:val="20"/>
                <w:szCs w:val="20"/>
                <w:color w:val="auto"/>
              </w:rPr>
            </w:pPr>
            <w:r>
              <w:rPr>
                <w:rFonts w:ascii="Arial" w:cs="Arial" w:eastAsia="Arial" w:hAnsi="Arial"/>
                <w:sz w:val="18"/>
                <w:szCs w:val="18"/>
                <w:color w:val="auto"/>
              </w:rPr>
              <w:t>equity method investees</w:t>
            </w: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80" w:type="dxa"/>
            <w:vAlign w:val="bottom"/>
          </w:tcPr>
          <w:p>
            <w:pPr>
              <w:jc w:val="right"/>
              <w:ind w:right="33"/>
              <w:spacing w:after="0" w:line="203" w:lineRule="exact"/>
              <w:rPr>
                <w:sz w:val="20"/>
                <w:szCs w:val="20"/>
                <w:color w:val="auto"/>
              </w:rPr>
            </w:pPr>
            <w:r>
              <w:rPr>
                <w:rFonts w:ascii="Arial" w:cs="Arial" w:eastAsia="Arial" w:hAnsi="Arial"/>
                <w:sz w:val="18"/>
                <w:szCs w:val="18"/>
                <w:color w:val="auto"/>
              </w:rPr>
              <w:t>(25,805)</w:t>
            </w:r>
          </w:p>
        </w:tc>
        <w:tc>
          <w:tcPr>
            <w:tcW w:w="54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(28,840)</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investees (1)</w:t>
            </w:r>
          </w:p>
        </w:tc>
        <w:tc>
          <w:tcPr>
            <w:tcW w:w="1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(336,950)</w:t>
            </w:r>
          </w:p>
        </w:tc>
      </w:tr>
      <w:tr>
        <w:trPr>
          <w:trHeight w:val="229"/>
        </w:trPr>
        <w:tc>
          <w:tcPr>
            <w:tcW w:w="554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(27,036)</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(365,790)</w:t>
            </w:r>
          </w:p>
        </w:tc>
      </w:tr>
    </w:tbl>
    <w:p>
      <w:pPr>
        <w:spacing w:after="0" w:line="96" w:lineRule="exact"/>
        <w:rPr>
          <w:sz w:val="20"/>
          <w:szCs w:val="20"/>
          <w:color w:val="auto"/>
        </w:rPr>
      </w:pPr>
    </w:p>
    <w:p>
      <w:pPr>
        <w:ind w:left="400" w:right="180" w:hanging="392"/>
        <w:spacing w:after="0" w:line="260" w:lineRule="auto"/>
        <w:tabs>
          <w:tab w:leader="none" w:pos="4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 includes a $329.7 million impairment of our equity method investment in Ohio Gathering and a $6.3 million impairment of long-lived assets in OCC.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2"/>
          <w:szCs w:val="22"/>
          <w:b w:val="1"/>
          <w:bCs w:val="1"/>
          <w:color w:val="auto"/>
        </w:rPr>
        <w:t>Liquidity and Capital Resources</w:t>
      </w:r>
    </w:p>
    <w:p>
      <w:pPr>
        <w:spacing w:after="0" w:line="13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May 3, 2020, we suspended distributions to holders of our common units and suspended payment of distributions to holders of our Series A Preferred Units commencing with respect to the quarter ending March 31, 2020 to enable us to retain an incremental approximately $76 million of cash in the business annually, which we plan to use to de-lever the balance sheet, enhance liquidity and increase financial flexibility. The unpaid distributions on the Series A Preferred Units will continue to accrue. We expect to fund future capital expenditures with cash and cash equivalents on hand, cash flows generated from our operations, borrowings under our Revolving Credit Facility, future issuances of debt, preferred equity and equity securities and proceeds from potential asset divestitures.</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June 18, 2020, the Partnership commenced the Exchange Offer. The Exchange Offer expired on July 28, 2020. As a result of the Exchange Offer, the Partnership exchanged 62,816 Series A Preferred Units at a ratio of 200 common units per Series A Preferred Unit for a total of 12,563,200 common units, subject to applicable withholding taxes. Upon completion of the Exchange Offer, 237,184 Series A Preferred Units were not tendered and remain outstanding as of the completion of the Exchange Offer. Holders of Series A Preferred Units who did not tender into this Exchange Offer will retain their Series A Preferred Units and all the preferences and rights thereunder.</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closely monitoring the impact of the outbreak of COVID-19 on all aspects of our business, including how it will impact our liquidity and capital resources. Considering the current commodity price backdrop and COVID-19 pandemic, we have collaborated extensively with our customer base over the past several months. Given further deterioration of market conditions since March and based on recently updated production forecasts and revised 2020 development plans from our customers, we currently expect our 2020 results to be affected by decreased drilling activity, the deferral of well completions from customers and, on a limited scale, temporary production curtailments predominantly in the Williston Basin, DJ Basin and Utica Shale reportable segments. For example, in the Utica Shale, a customer has recently curtailed in excess of 150 MMcf/d of production which the Partnership now expects will remain offline awaiting more favorable natural gas prices in late 2020 and into 2021, and we recently amended gathering contracts with two key Williston Basin customers to extend the terms of the gathering agreement acreage dedications, in exchange for a modest gathering fee concession. Accordingly, given reduced producer activity across our footprint, we expect 2020 total capital expenditures to range from $30 million to $50 million.</w:t>
      </w:r>
    </w:p>
    <w:p>
      <w:pPr>
        <w:spacing w:after="0" w:line="9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are currently in compliance with all covenants contained in our Revolving Credit Facility, Senior Notes, SMPH Term Loan and ECP Loans, and at June 30, 2020, SMLP’s total leverage ratio and senior secured leverage ratio (as defined in the Revolving Credit Agreement) were 4.9 to 1.0 and 2.5 to 1.0, respectively, relative to maximum threshold limits of 5.50 to 1.0 and 3.75 to 1.0. Given further deterioration of market conditions, decreased drilling activity, the deferral of well completions from customers, limitations on access to capital markets to fund our capital expenditures and, on a limited scale, temporary production curtailments, we could have total leverage and senior secured leverage ratios that are higher than the levels prescribed in the applicable indebtedness agreements. Adverse developments in our areas of operation could materially adversely impact our financial condition, results of operations and cash flows.</w:t>
      </w:r>
    </w:p>
    <w:p>
      <w:pPr>
        <w:spacing w:after="0" w:line="9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we cannot predict the duration or scope of the COVID-19 pandemic and its impact on our customers and suppliers, the potential negative financial impact to our results cannot be reasonably estimated but could be material. We are actively managing the business to maintain cash flow and we have sufficient available liquidity. We believe that these factors will allow us to meet our anticipated funding requirements.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Markets Activity</w:t>
      </w:r>
    </w:p>
    <w:p>
      <w:pPr>
        <w:spacing w:after="0" w:line="121"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We had no capital markets activity during the six months ended June 30, 2020. For additional information, see the "Liquidity and Capital Resources—Capital Markets Activity" section of MD&amp;A included in the 2019 Annual Report.</w:t>
      </w:r>
    </w:p>
    <w:p>
      <w:pPr>
        <w:spacing w:after="0" w:line="67"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We have a $1.25 billion senior secured Revolving Credit Facility that matures in May 2022. As of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outstanding balance of the Revolving Credit Facility was $733.0 million and the unused portion totaled $512.9 million, after giving effect to the issuance thereunder of a $4.1 million outstanding but undrawn irrevocable standby letter of credit. Based on covenant limits, our available borrowing capacity under the Revolving Credit Facility as of June 30, 2020 was approximately $191 million. There were no defaults or events of default during the six months ended June 30, 2020, and, as of June 30, 2020, we were in compliance with the financial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right="580"/>
        <w:spacing w:after="0" w:line="246" w:lineRule="auto"/>
        <w:rPr>
          <w:sz w:val="20"/>
          <w:szCs w:val="20"/>
          <w:color w:val="auto"/>
        </w:rPr>
      </w:pPr>
      <w:r>
        <w:rPr>
          <w:rFonts w:ascii="Arial" w:cs="Arial" w:eastAsia="Arial" w:hAnsi="Arial"/>
          <w:sz w:val="18"/>
          <w:szCs w:val="18"/>
          <w:color w:val="auto"/>
        </w:rPr>
        <w:t>covenants in the Revolving Credit Facility. See Notes 9 and 15 to the unaudited condensed consolidated financial statements for more information on the Revolving Credit Facility and the issuance of the $4.1 million letter of credit, respectively.</w:t>
      </w:r>
    </w:p>
    <w:p>
      <w:pPr>
        <w:spacing w:after="0" w:line="6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February 2017, the Co-Issuers co-issued $500.0 million of 5.75% Senior Notes. In July 2014, the Co-Issuers co-issued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$300.0 million of 5.50% Senior Notes. There were no defaults or events of default as of and for the six months ended June 30, 2020 on either series of senior notes.</w:t>
      </w:r>
    </w:p>
    <w:p>
      <w:pPr>
        <w:spacing w:after="0" w:line="54"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 xml:space="preserve">Debt Repurchases. </w:t>
      </w:r>
      <w:r>
        <w:rPr>
          <w:rFonts w:ascii="Arial" w:cs="Arial" w:eastAsia="Arial" w:hAnsi="Arial"/>
          <w:sz w:val="18"/>
          <w:szCs w:val="18"/>
          <w:color w:val="auto"/>
        </w:rPr>
        <w:t>Following the closing of the GP Buy-In Transaction, in May 2020, we commenced a debt buyback program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Notes, which is ongoing. The following table summarizes repurchases of Senior Notes in 2020 through June 30, 2020.</w:t>
      </w:r>
    </w:p>
    <w:tbl>
      <w:tblPr>
        <w:tblLayout w:type="fixed"/>
        <w:tblInd w:w="0" w:type="dxa"/>
        <w:tblCellMar>
          <w:top w:w="0" w:type="dxa"/>
          <w:left w:w="0" w:type="dxa"/>
          <w:bottom w:w="0" w:type="dxa"/>
          <w:right w:w="0" w:type="dxa"/>
        </w:tblCellMar>
      </w:tblPr>
      <w:tr>
        <w:trPr>
          <w:trHeight w:val="150"/>
        </w:trPr>
        <w:tc>
          <w:tcPr>
            <w:tcW w:w="9080" w:type="dxa"/>
            <w:vAlign w:val="bottom"/>
          </w:tcPr>
          <w:p>
            <w:pPr>
              <w:spacing w:after="0"/>
              <w:rPr>
                <w:sz w:val="13"/>
                <w:szCs w:val="13"/>
                <w:color w:val="auto"/>
              </w:rPr>
            </w:pPr>
          </w:p>
        </w:tc>
        <w:tc>
          <w:tcPr>
            <w:tcW w:w="2160" w:type="dxa"/>
            <w:vAlign w:val="bottom"/>
            <w:gridSpan w:val="2"/>
          </w:tcPr>
          <w:p>
            <w:pPr>
              <w:jc w:val="center"/>
              <w:ind w:right="54"/>
              <w:spacing w:after="0" w:line="150" w:lineRule="exact"/>
              <w:rPr>
                <w:sz w:val="20"/>
                <w:szCs w:val="20"/>
                <w:color w:val="auto"/>
              </w:rPr>
            </w:pPr>
            <w:r>
              <w:rPr>
                <w:rFonts w:ascii="Arial" w:cs="Arial" w:eastAsia="Arial" w:hAnsi="Arial"/>
                <w:sz w:val="14"/>
                <w:szCs w:val="14"/>
                <w:b w:val="1"/>
                <w:bCs w:val="1"/>
                <w:color w:val="auto"/>
              </w:rPr>
              <w:t>Three and six months ended</w:t>
            </w:r>
          </w:p>
        </w:tc>
      </w:tr>
      <w:tr>
        <w:trPr>
          <w:trHeight w:val="175"/>
        </w:trPr>
        <w:tc>
          <w:tcPr>
            <w:tcW w:w="9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center"/>
              <w:ind w:right="354"/>
              <w:spacing w:after="0"/>
              <w:rPr>
                <w:sz w:val="20"/>
                <w:szCs w:val="20"/>
                <w:color w:val="auto"/>
              </w:rPr>
            </w:pPr>
            <w:r>
              <w:rPr>
                <w:rFonts w:ascii="Arial" w:cs="Arial" w:eastAsia="Arial" w:hAnsi="Arial"/>
                <w:sz w:val="14"/>
                <w:szCs w:val="14"/>
                <w:b w:val="1"/>
                <w:bCs w:val="1"/>
                <w:color w:val="auto"/>
              </w:rPr>
              <w:t>June 30, 2020</w:t>
            </w:r>
          </w:p>
        </w:tc>
      </w:tr>
      <w:tr>
        <w:trPr>
          <w:trHeight w:val="209"/>
        </w:trPr>
        <w:tc>
          <w:tcPr>
            <w:tcW w:w="9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jc w:val="center"/>
              <w:ind w:right="354"/>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0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w:t>
            </w:r>
          </w:p>
        </w:tc>
        <w:tc>
          <w:tcPr>
            <w:tcW w:w="3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r>
      <w:tr>
        <w:trPr>
          <w:trHeight w:val="216"/>
        </w:trPr>
        <w:tc>
          <w:tcPr>
            <w:tcW w:w="9080" w:type="dxa"/>
            <w:vAlign w:val="bottom"/>
          </w:tcPr>
          <w:p>
            <w:pPr>
              <w:ind w:left="140"/>
              <w:spacing w:after="0"/>
              <w:rPr>
                <w:sz w:val="20"/>
                <w:szCs w:val="20"/>
                <w:color w:val="auto"/>
              </w:rPr>
            </w:pPr>
            <w:r>
              <w:rPr>
                <w:rFonts w:ascii="Arial" w:cs="Arial" w:eastAsia="Arial" w:hAnsi="Arial"/>
                <w:sz w:val="18"/>
                <w:szCs w:val="18"/>
                <w:color w:val="auto"/>
              </w:rPr>
              <w:t>5.5% Senior Notes repurchased</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54"/>
              <w:spacing w:after="0"/>
              <w:rPr>
                <w:sz w:val="20"/>
                <w:szCs w:val="20"/>
                <w:color w:val="auto"/>
              </w:rPr>
            </w:pPr>
            <w:r>
              <w:rPr>
                <w:rFonts w:ascii="Arial" w:cs="Arial" w:eastAsia="Arial" w:hAnsi="Arial"/>
                <w:sz w:val="18"/>
                <w:szCs w:val="18"/>
                <w:color w:val="auto"/>
              </w:rPr>
              <w:t>25,776</w:t>
            </w:r>
          </w:p>
        </w:tc>
      </w:tr>
      <w:tr>
        <w:trPr>
          <w:trHeight w:val="216"/>
        </w:trPr>
        <w:tc>
          <w:tcPr>
            <w:tcW w:w="9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paid on 5.5% Senior Notes (excluding payments of accrued interest)</w:t>
            </w:r>
          </w:p>
        </w:tc>
        <w:tc>
          <w:tcPr>
            <w:tcW w:w="30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16,476</w:t>
            </w:r>
          </w:p>
        </w:tc>
      </w:tr>
      <w:tr>
        <w:trPr>
          <w:trHeight w:val="216"/>
        </w:trPr>
        <w:tc>
          <w:tcPr>
            <w:tcW w:w="9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Write-off of debt issuance costs</w:t>
            </w: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r>
      <w:tr>
        <w:trPr>
          <w:trHeight w:val="210"/>
        </w:trPr>
        <w:tc>
          <w:tcPr>
            <w:tcW w:w="9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early extinguishment of debt (1)</w:t>
            </w: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9,184</w:t>
            </w:r>
          </w:p>
        </w:tc>
      </w:tr>
      <w:tr>
        <w:trPr>
          <w:trHeight w:val="216"/>
        </w:trPr>
        <w:tc>
          <w:tcPr>
            <w:tcW w:w="9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9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5.75% Senior Notes repurchased</w:t>
            </w: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106,235</w:t>
            </w:r>
          </w:p>
        </w:tc>
      </w:tr>
      <w:tr>
        <w:trPr>
          <w:trHeight w:val="216"/>
        </w:trPr>
        <w:tc>
          <w:tcPr>
            <w:tcW w:w="9080" w:type="dxa"/>
            <w:vAlign w:val="bottom"/>
          </w:tcPr>
          <w:p>
            <w:pPr>
              <w:ind w:left="140"/>
              <w:spacing w:after="0"/>
              <w:rPr>
                <w:sz w:val="20"/>
                <w:szCs w:val="20"/>
                <w:color w:val="auto"/>
              </w:rPr>
            </w:pPr>
            <w:r>
              <w:rPr>
                <w:rFonts w:ascii="Arial" w:cs="Arial" w:eastAsia="Arial" w:hAnsi="Arial"/>
                <w:sz w:val="18"/>
                <w:szCs w:val="18"/>
                <w:color w:val="auto"/>
              </w:rPr>
              <w:t>Cash paid on 5.75% Senior Notes (excluding payments of accrued interest)</w:t>
            </w:r>
          </w:p>
        </w:tc>
        <w:tc>
          <w:tcPr>
            <w:tcW w:w="300" w:type="dxa"/>
            <w:vAlign w:val="bottom"/>
          </w:tcPr>
          <w:p>
            <w:pPr>
              <w:spacing w:after="0"/>
              <w:rPr>
                <w:sz w:val="18"/>
                <w:szCs w:val="18"/>
                <w:color w:val="auto"/>
              </w:rPr>
            </w:pPr>
          </w:p>
        </w:tc>
        <w:tc>
          <w:tcPr>
            <w:tcW w:w="1860" w:type="dxa"/>
            <w:vAlign w:val="bottom"/>
          </w:tcPr>
          <w:p>
            <w:pPr>
              <w:jc w:val="right"/>
              <w:ind w:right="54"/>
              <w:spacing w:after="0"/>
              <w:rPr>
                <w:sz w:val="20"/>
                <w:szCs w:val="20"/>
                <w:color w:val="auto"/>
              </w:rPr>
            </w:pPr>
            <w:r>
              <w:rPr>
                <w:rFonts w:ascii="Arial" w:cs="Arial" w:eastAsia="Arial" w:hAnsi="Arial"/>
                <w:sz w:val="18"/>
                <w:szCs w:val="18"/>
                <w:color w:val="auto"/>
              </w:rPr>
              <w:t>60,231</w:t>
            </w:r>
          </w:p>
        </w:tc>
      </w:tr>
      <w:tr>
        <w:trPr>
          <w:trHeight w:val="216"/>
        </w:trPr>
        <w:tc>
          <w:tcPr>
            <w:tcW w:w="9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Write-off of debt issuance costs</w:t>
            </w:r>
          </w:p>
        </w:tc>
        <w:tc>
          <w:tcPr>
            <w:tcW w:w="30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w:t>
            </w:r>
          </w:p>
        </w:tc>
      </w:tr>
      <w:tr>
        <w:trPr>
          <w:trHeight w:val="223"/>
        </w:trPr>
        <w:tc>
          <w:tcPr>
            <w:tcW w:w="9080" w:type="dxa"/>
            <w:vAlign w:val="bottom"/>
          </w:tcPr>
          <w:p>
            <w:pPr>
              <w:ind w:left="140"/>
              <w:spacing w:after="0"/>
              <w:rPr>
                <w:sz w:val="20"/>
                <w:szCs w:val="20"/>
                <w:color w:val="auto"/>
              </w:rPr>
            </w:pPr>
            <w:r>
              <w:rPr>
                <w:rFonts w:ascii="Arial" w:cs="Arial" w:eastAsia="Arial" w:hAnsi="Arial"/>
                <w:sz w:val="18"/>
                <w:szCs w:val="18"/>
                <w:color w:val="auto"/>
              </w:rPr>
              <w:t>Gain on early extinguishment of debt (1)</w:t>
            </w: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ind w:right="54"/>
              <w:spacing w:after="0"/>
              <w:rPr>
                <w:sz w:val="20"/>
                <w:szCs w:val="20"/>
                <w:color w:val="auto"/>
              </w:rPr>
            </w:pPr>
            <w:r>
              <w:rPr>
                <w:rFonts w:ascii="Arial" w:cs="Arial" w:eastAsia="Arial" w:hAnsi="Arial"/>
                <w:sz w:val="18"/>
                <w:szCs w:val="18"/>
                <w:color w:val="auto"/>
              </w:rPr>
              <w:t>45,051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143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25" w:lineRule="exact"/>
        <w:rPr>
          <w:sz w:val="20"/>
          <w:szCs w:val="20"/>
          <w:color w:val="auto"/>
        </w:rPr>
      </w:pPr>
    </w:p>
    <w:p>
      <w:pPr>
        <w:ind w:right="40" w:firstLine="8"/>
        <w:spacing w:after="0" w:line="260" w:lineRule="auto"/>
        <w:tabs>
          <w:tab w:leader="none" w:pos="243" w:val="left"/>
        </w:tabs>
        <w:numPr>
          <w:ilvl w:val="0"/>
          <w:numId w:val="49"/>
        </w:numPr>
        <w:rPr>
          <w:rFonts w:ascii="Arial" w:cs="Arial" w:eastAsia="Arial" w:hAnsi="Arial"/>
          <w:sz w:val="16"/>
          <w:szCs w:val="16"/>
          <w:color w:val="auto"/>
        </w:rPr>
      </w:pPr>
      <w:r>
        <w:rPr>
          <w:rFonts w:ascii="Arial" w:cs="Arial" w:eastAsia="Arial" w:hAnsi="Arial"/>
          <w:sz w:val="16"/>
          <w:szCs w:val="16"/>
          <w:color w:val="auto"/>
        </w:rPr>
        <w:t>Gain on the early extinguishment of debt for the Senior Notes during the six months ended June 30, 2020 is reported within Gain on early extinguishment of debt, net within our unaudited condensed consolidated statements of operations.</w:t>
      </w:r>
    </w:p>
    <w:p>
      <w:pPr>
        <w:spacing w:after="0" w:line="8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Subsequent to June 30, 2020 and through August 6, 2020, we have repurchased approximately $5.9 million face value of Summit Holdings and Finance Corp 5.5% senior unsecured notes due August 2022 at a weighted average 34% discount for approximately $3.9 million in cash.</w:t>
      </w:r>
    </w:p>
    <w:p>
      <w:pPr>
        <w:spacing w:after="0" w:line="7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i w:val="1"/>
          <w:iCs w:val="1"/>
          <w:color w:val="auto"/>
        </w:rPr>
        <w:t xml:space="preserve">ECP Loans. </w:t>
      </w:r>
      <w:r>
        <w:rPr>
          <w:rFonts w:ascii="Arial" w:cs="Arial" w:eastAsia="Arial" w:hAnsi="Arial"/>
          <w:sz w:val="18"/>
          <w:szCs w:val="18"/>
          <w:color w:val="auto"/>
        </w:rPr>
        <w:t>On August 7, 2020, we repaid all amounts outstanding under the ECP Loans which included $35 million of principal and $0.6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accrued interest. The ECP Loan repayment was financed in full with borrowings drawn under our Revolving Credit Facility. We repaid the ECP Loans in order to eliminate certain restrictive covenants associated with the credit agreement and to take advantage of more favorable terms under the Revolving Credit Facility.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long-term debt, see Note 9 to the unaudited condensed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LIBOR Transition</w:t>
      </w:r>
    </w:p>
    <w:p>
      <w:pPr>
        <w:spacing w:after="0" w:line="12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LIBOR is the basic rate of interest widely used as a reference for setting the interest rates on loans globally. In 2017, the United Kingdom’s Financial Conduct Authority, which regulates LIBOR, announced that it intends to phase out LIBOR by the end of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We are evaluating the potential impact of the eventual replacement of the LIBOR benchmark interest rate, however, we are not able to predict whether LIBOR will cease to be available after 2021, whether SOFR will become a widely accepted benchmark in place of LIBOR, or what the impact of such a possible transition to SOFR may be on our business, financial condition and results of operations.</w:t>
      </w:r>
    </w:p>
    <w:p>
      <w:pPr>
        <w:spacing w:after="0" w:line="100"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We will need to renegotiate our Revolving Credit Facility to determine the interest rate to replace LIBOR with the new standard that is established. The potential effect of any such event on interest expense cannot yet be determined.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and cash equivalents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9"/>
                <w:szCs w:val="19"/>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105,371</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84,574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(106,937)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(20,160)</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6,263</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(74,945)</w:t>
            </w:r>
          </w:p>
        </w:tc>
      </w:tr>
      <w:tr>
        <w:trPr>
          <w:trHeight w:val="209"/>
        </w:trPr>
        <w:tc>
          <w:tcPr>
            <w:tcW w:w="7720" w:type="dxa"/>
            <w:vAlign w:val="bottom"/>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4,697</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(10,531)</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from operating activities for the six months ended June 30, 2020 primarily reflected:</w:t>
      </w:r>
    </w:p>
    <w:p>
      <w:pPr>
        <w:spacing w:after="0" w:line="139" w:lineRule="exact"/>
        <w:rPr>
          <w:sz w:val="20"/>
          <w:szCs w:val="20"/>
          <w:color w:val="auto"/>
        </w:rPr>
      </w:pPr>
    </w:p>
    <w:p>
      <w:pPr>
        <w:ind w:left="800" w:hanging="401"/>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$7.0 million increase in accounts receivable related to the timing of invoicing and cash collections;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$2.9 million increase in accounts payable due to the timing of payment obligations;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$3.5 million increase in deferred revenue for cash receipts not yet recognized as revenue;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$11.8 million decrease in accrued expenses primarily due to the timing of accrued payment obligations;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Cash flows used in investing activities during the six months ended June 30, 2020 primarily reflected:</w:t>
      </w:r>
    </w:p>
    <w:p>
      <w:pPr>
        <w:spacing w:after="0" w:line="139" w:lineRule="exact"/>
        <w:rPr>
          <w:sz w:val="20"/>
          <w:szCs w:val="20"/>
          <w:color w:val="auto"/>
        </w:rPr>
      </w:pPr>
    </w:p>
    <w:p>
      <w:pPr>
        <w:ind w:left="800" w:hanging="401"/>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$79.7 million for investments in the Double E joint venture relating to the Double E Project; and</w:t>
      </w:r>
    </w:p>
    <w:p>
      <w:pPr>
        <w:spacing w:after="0" w:line="117" w:lineRule="exact"/>
        <w:rPr>
          <w:rFonts w:ascii="Arial" w:cs="Arial" w:eastAsia="Arial" w:hAnsi="Arial"/>
          <w:sz w:val="18"/>
          <w:szCs w:val="18"/>
          <w:color w:val="auto"/>
        </w:rPr>
      </w:pPr>
    </w:p>
    <w:p>
      <w:pPr>
        <w:ind w:left="800" w:right="400" w:hanging="401"/>
        <w:spacing w:after="0" w:line="246"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$27.4 million of capital expenditures primarily attributable to the DJ Basin of $8.4 million, the Williston Basin of $7.4 million and Summit Permian of $4.9 million.</w:t>
      </w:r>
    </w:p>
    <w:p>
      <w:pPr>
        <w:spacing w:after="0" w:line="399" w:lineRule="exact"/>
        <w:rPr>
          <w:sz w:val="20"/>
          <w:szCs w:val="20"/>
          <w:color w:val="auto"/>
        </w:rPr>
      </w:pPr>
    </w:p>
    <w:p>
      <w:pPr>
        <w:ind w:left="800" w:hanging="401"/>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$89.5 million of net proceeds from the Tioga Midstream sale;</w:t>
      </w:r>
    </w:p>
    <w:p>
      <w:pPr>
        <w:spacing w:after="0" w:line="117" w:lineRule="exact"/>
        <w:rPr>
          <w:rFonts w:ascii="Arial" w:cs="Arial" w:eastAsia="Arial" w:hAnsi="Arial"/>
          <w:sz w:val="18"/>
          <w:szCs w:val="18"/>
          <w:color w:val="auto"/>
        </w:rPr>
      </w:pPr>
    </w:p>
    <w:p>
      <w:pPr>
        <w:ind w:left="800" w:right="140" w:hanging="401"/>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$111.1 million of capital expenditures primarily attributable to the ongoing development of the DJ Basin of $50.4 million, Summit Permian of $28.2 million, Corporate and Other, which includes $15.4 million of capital expenditures relating to the Project, and the Williston Basin of $14.2 million;</w:t>
      </w:r>
    </w:p>
    <w:p>
      <w:pPr>
        <w:spacing w:after="0" w:line="94" w:lineRule="exact"/>
        <w:rPr>
          <w:rFonts w:ascii="Arial" w:cs="Arial" w:eastAsia="Arial" w:hAnsi="Arial"/>
          <w:sz w:val="18"/>
          <w:szCs w:val="18"/>
          <w:color w:val="auto"/>
        </w:rPr>
      </w:pPr>
    </w:p>
    <w:p>
      <w:pPr>
        <w:ind w:left="800" w:hanging="401"/>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$7.3 million for a distribution from an equity method investment;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$5.9 million for an investment in an equity method investee.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flows used in financing activities during the six months ended June 30, 2020 primarily reflected:</w:t>
      </w:r>
    </w:p>
    <w:p>
      <w:pPr>
        <w:spacing w:after="0" w:line="139" w:lineRule="exact"/>
        <w:rPr>
          <w:sz w:val="20"/>
          <w:szCs w:val="20"/>
          <w:color w:val="auto"/>
        </w:rPr>
      </w:pPr>
    </w:p>
    <w:p>
      <w:pPr>
        <w:ind w:left="800" w:hanging="401"/>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$56.0 million of net borrowings under our Revolving Credit Facility;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$48.7 million of net proceeds from the issuance of Subsidiary Series A Preferred Units;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$35.0 million of net borrowings under ECP Loans;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$76.7 million repurchase of Senior Notes;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$41.8 million to purchase common units in the GP Buy-In Transaction;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$6.0 million of distributions to noncontrolling interest SMLP unitholders.</w:t>
      </w:r>
    </w:p>
    <w:p>
      <w:pPr>
        <w:spacing w:after="0" w:line="200" w:lineRule="exact"/>
        <w:rPr>
          <w:sz w:val="20"/>
          <w:szCs w:val="20"/>
          <w:color w:val="auto"/>
        </w:rPr>
      </w:pPr>
    </w:p>
    <w:p>
      <w:pPr>
        <w:spacing w:after="0" w:line="228" w:lineRule="exact"/>
        <w:rPr>
          <w:sz w:val="20"/>
          <w:szCs w:val="20"/>
          <w:color w:val="auto"/>
        </w:rPr>
      </w:pPr>
    </w:p>
    <w:p>
      <w:pPr>
        <w:ind w:left="800" w:hanging="401"/>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$83.3 million of distributions;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$107.0 million of net borrowings under our Revolving Credit Facility.</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b w:val="1"/>
          <w:bCs w:val="1"/>
          <w:color w:val="auto"/>
        </w:rPr>
        <w:t>Contractual Obligations Update</w:t>
      </w:r>
    </w:p>
    <w:p>
      <w:pPr>
        <w:spacing w:after="0" w:line="12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Double E Project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spacing w:after="0" w:line="237" w:lineRule="auto"/>
        <w:rPr>
          <w:sz w:val="20"/>
          <w:szCs w:val="20"/>
          <w:color w:val="auto"/>
        </w:rPr>
      </w:pPr>
      <w:r>
        <w:rPr>
          <w:rFonts w:ascii="Arial" w:cs="Arial" w:eastAsia="Arial" w:hAnsi="Arial"/>
          <w:sz w:val="18"/>
          <w:szCs w:val="18"/>
          <w:color w:val="auto"/>
        </w:rPr>
        <w:t>We are leading the development, permitting and construction of the Double E Project and will operate the pipeline upon its commission. At our current 70% interest, we estimate that our share of the capital expenditures required to develop the Double E Project will total approximately $315.0 million, and that more than 90% of those capital expenditures will be incurred in 2020 and 2021. Assuming timely receipt of the required regulatory approvals (including the Federal Energy Regulatory Commission’s issuance of the certificate required for us to pursue the Double E Project) and no material delays in construction, we expect that the Double E Project will be placed into service in the third quarter of 2021.</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12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95" w:lineRule="exact"/>
        <w:rPr>
          <w:sz w:val="20"/>
          <w:szCs w:val="20"/>
          <w:color w:val="auto"/>
        </w:rPr>
      </w:pPr>
    </w:p>
    <w:p>
      <w:pPr>
        <w:ind w:left="800" w:right="20" w:hanging="401"/>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94" w:lineRule="exact"/>
        <w:rPr>
          <w:rFonts w:ascii="Arial" w:cs="Arial" w:eastAsia="Arial" w:hAnsi="Arial"/>
          <w:sz w:val="18"/>
          <w:szCs w:val="18"/>
          <w:color w:val="auto"/>
        </w:rPr>
      </w:pPr>
    </w:p>
    <w:p>
      <w:pPr>
        <w:ind w:left="800" w:right="160" w:hanging="401"/>
        <w:spacing w:after="0" w:line="246"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8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For the six months ended June 30, 2020, cash paid for capital expenditures totaled $27.4 million (see Note 4 to the unaudited condensed consolidated financial statements) which included $7.5 million of maintenance capital expenditures. For the six months ended June 30, 2020, there were no contributions to Ohio Gathering and we contributed $79.7 million to Double E (see Note 8 to the unaudited condensed consolidated financial statements).</w:t>
      </w:r>
    </w:p>
    <w:p>
      <w:pPr>
        <w:spacing w:after="0" w:line="8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rely primarily on internally generated cash flow as well as external financing sources, including commercial bank borrowings and the issuance of debt, equity and preferred equity securities, and proceeds from potential asset divestitures to fund our capital expenditures. We believe that our Revolving Credit Facility, together with internally generated cash flow and access to debt or equity capital markets, will be adequate to finance our business for the foreseeable future without adversely impacting our liquidity.</w:t>
      </w:r>
    </w:p>
    <w:p>
      <w:pPr>
        <w:spacing w:after="0" w:line="9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Considering the current commodity price backdrop and COVID-19 pandemic, we will remain disciplined with respect to future capital expenditures, which will be primarily concentrated on the Double E Project and accretive expansions of our existing systems in our Core Focus Areas. We continue to advance our financing plans for our equity interest in Double E, which we intend to be credit neutral to SMLP. We are currently targeting a financing structure that limits cash investments made by us during 2020, and which shifts a substantial majority of our Double E capital commitments to third parties. On December 24, 2019, we entered into an agreement with TPG Energy Solutions Anthem, L.P. (“TPG”) to fund up to $80 million of Permian Holdco’s future capital calls associated with the Double E Project. Simultaneously, on December 24, 2019, we issued 30,000 Subsidiary Series A Preferred Units representing limited partner interests in Permian Holdco to TPG for net proceeds of $27.3 million.</w:t>
      </w:r>
    </w:p>
    <w:p>
      <w:pPr>
        <w:spacing w:after="0" w:line="10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During the six months ended June 30, 2020, we issued an additional 50,000 Subsidiary Series A Preferred Units representing limited partner interests in Permian Holdco at a price of $1,000 per unit. We used the net proceeds of $48.7 million (after deducting underwriting discounts and offering expenses) to fund Summit’s share of capital expenses associated with the Double E Project.</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are a number of risks and uncertainties that could cause our current expectations to change, including, but not limited to, (i) the ability to reach agreements with third parties; (ii) prevailing conditions and outlook in the natural gas, crude oil and natural gas liquids industries and markets and (iii) our ability to obtain financing from commercial banks, the capital markets, or other financing sources.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Credit and Counterparty Concentration Risks</w:t>
      </w:r>
    </w:p>
    <w:p>
      <w:pPr>
        <w:spacing w:after="0" w:line="12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exposure due to nonperformance under our MVC contracts whereby a customer, who was not meeting its MVCs, does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Notes 4, 9, 11 and 16 to the unaudited condensed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as of or during the six months ended June 30, 2020.</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Critical Accounting Estimates</w:t>
      </w:r>
    </w:p>
    <w:p>
      <w:pPr>
        <w:spacing w:after="0" w:line="13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changes to our significant accounting policies since December 31, 2019.</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22"/>
          <w:szCs w:val="22"/>
          <w:b w:val="1"/>
          <w:bCs w:val="1"/>
          <w:color w:val="auto"/>
        </w:rPr>
        <w:t>Forward-Looking Statements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Item 1A. Risk Factors included in this report.</w:t>
      </w:r>
    </w:p>
    <w:p>
      <w:pPr>
        <w:spacing w:after="0" w:line="10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110" w:lineRule="exact"/>
        <w:rPr>
          <w:sz w:val="20"/>
          <w:szCs w:val="20"/>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grow our cash distributions;</w:t>
      </w:r>
    </w:p>
    <w:p>
      <w:pPr>
        <w:spacing w:after="0" w:line="130" w:lineRule="exact"/>
        <w:rPr>
          <w:rFonts w:ascii="Arial" w:cs="Arial" w:eastAsia="Arial" w:hAnsi="Arial"/>
          <w:sz w:val="18"/>
          <w:szCs w:val="18"/>
          <w:color w:val="auto"/>
        </w:rPr>
      </w:pPr>
    </w:p>
    <w:p>
      <w:pPr>
        <w:ind w:left="800" w:right="220" w:hanging="401"/>
        <w:spacing w:after="0" w:line="277"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fluctuations in natural gas, NGLs and crude oil prices, including as of a result of political or economic measures taken by various countries or OPEC;</w:t>
      </w:r>
    </w:p>
    <w:p>
      <w:pPr>
        <w:spacing w:after="0" w:line="89" w:lineRule="exact"/>
        <w:rPr>
          <w:rFonts w:ascii="Arial" w:cs="Arial" w:eastAsia="Arial" w:hAnsi="Arial"/>
          <w:sz w:val="18"/>
          <w:szCs w:val="18"/>
          <w:color w:val="auto"/>
        </w:rPr>
      </w:pPr>
    </w:p>
    <w:p>
      <w:pPr>
        <w:ind w:left="800" w:right="600" w:hanging="401"/>
        <w:spacing w:after="0" w:line="277"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and success of our customers' drilling efforts, as well as the quantity of natural gas, crude oil and produced water volumes produced within proximity of our assets;</w:t>
      </w:r>
    </w:p>
    <w:p>
      <w:pPr>
        <w:spacing w:after="0" w:line="89" w:lineRule="exact"/>
        <w:rPr>
          <w:rFonts w:ascii="Arial" w:cs="Arial" w:eastAsia="Arial" w:hAnsi="Arial"/>
          <w:sz w:val="18"/>
          <w:szCs w:val="18"/>
          <w:color w:val="auto"/>
        </w:rPr>
      </w:pPr>
    </w:p>
    <w:p>
      <w:pPr>
        <w:ind w:left="800" w:right="60" w:hanging="401"/>
        <w:spacing w:after="0" w:line="277"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current and potential future impact of the COVID-19 pandemic on our business, results of operations, financial position or cash flows;</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130" w:lineRule="exact"/>
        <w:rPr>
          <w:rFonts w:ascii="Arial" w:cs="Arial" w:eastAsia="Arial" w:hAnsi="Arial"/>
          <w:sz w:val="18"/>
          <w:szCs w:val="18"/>
          <w:color w:val="auto"/>
        </w:rPr>
      </w:pPr>
    </w:p>
    <w:p>
      <w:pPr>
        <w:ind w:left="800" w:right="760" w:hanging="401"/>
        <w:spacing w:after="0" w:line="277"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spacing w:after="0" w:line="89" w:lineRule="exact"/>
        <w:rPr>
          <w:rFonts w:ascii="Arial" w:cs="Arial" w:eastAsia="Arial" w:hAnsi="Arial"/>
          <w:sz w:val="18"/>
          <w:szCs w:val="18"/>
          <w:color w:val="auto"/>
        </w:rPr>
      </w:pPr>
    </w:p>
    <w:p>
      <w:pPr>
        <w:ind w:left="800" w:right="60" w:hanging="401"/>
        <w:spacing w:after="0" w:line="269"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98" w:lineRule="exact"/>
        <w:rPr>
          <w:rFonts w:ascii="Arial" w:cs="Arial" w:eastAsia="Arial" w:hAnsi="Arial"/>
          <w:sz w:val="18"/>
          <w:szCs w:val="18"/>
          <w:color w:val="auto"/>
        </w:rPr>
      </w:pPr>
    </w:p>
    <w:p>
      <w:pPr>
        <w:ind w:left="800" w:right="420" w:hanging="401"/>
        <w:spacing w:after="0" w:line="277"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divest of certain of our assets or joint ventures to third parties on attractive terms, which is subject to a number of factors, including prevailing conditions and outlook in the natural gas, NGL and crude oil industries and markets;</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ability to attract and retain key management personnel;</w:t>
      </w:r>
    </w:p>
    <w:p>
      <w:pPr>
        <w:spacing w:after="0" w:line="130" w:lineRule="exact"/>
        <w:rPr>
          <w:rFonts w:ascii="Arial" w:cs="Arial" w:eastAsia="Arial" w:hAnsi="Arial"/>
          <w:sz w:val="18"/>
          <w:szCs w:val="18"/>
          <w:color w:val="auto"/>
        </w:rPr>
      </w:pPr>
    </w:p>
    <w:p>
      <w:pPr>
        <w:ind w:left="800" w:right="540" w:hanging="401"/>
        <w:spacing w:after="0" w:line="277"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commercial bank and capital market conditions and the potential impact of changes or disruptions in the credit and/or capital markets;</w:t>
      </w:r>
    </w:p>
    <w:p>
      <w:pPr>
        <w:spacing w:after="0" w:line="89" w:lineRule="exact"/>
        <w:rPr>
          <w:rFonts w:ascii="Arial" w:cs="Arial" w:eastAsia="Arial" w:hAnsi="Arial"/>
          <w:sz w:val="18"/>
          <w:szCs w:val="18"/>
          <w:color w:val="auto"/>
        </w:rPr>
      </w:pPr>
    </w:p>
    <w:p>
      <w:pPr>
        <w:ind w:left="800" w:right="440" w:hanging="401"/>
        <w:spacing w:after="0" w:line="277"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130" w:lineRule="exact"/>
        <w:rPr>
          <w:rFonts w:ascii="Arial" w:cs="Arial" w:eastAsia="Arial" w:hAnsi="Arial"/>
          <w:sz w:val="18"/>
          <w:szCs w:val="18"/>
          <w:color w:val="auto"/>
        </w:rPr>
      </w:pPr>
    </w:p>
    <w:p>
      <w:pPr>
        <w:ind w:left="800" w:right="500" w:hanging="401"/>
        <w:spacing w:after="0" w:line="277" w:lineRule="auto"/>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operational risks and hazards inherent in the gathering, compression, treating and/or processing of natural gas, crude oil and produced water;</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weather conditions and terrain in certain areas in which we operate;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1" w:name="page62"/>
    <w:bookmarkEnd w:id="61"/>
    <w:p>
      <w:pPr>
        <w:ind w:left="800" w:right="200" w:hanging="401"/>
        <w:spacing w:after="0" w:line="277"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spacing w:after="0" w:line="89" w:lineRule="exact"/>
        <w:rPr>
          <w:rFonts w:ascii="Arial" w:cs="Arial" w:eastAsia="Arial" w:hAnsi="Arial"/>
          <w:sz w:val="18"/>
          <w:szCs w:val="18"/>
          <w:color w:val="auto"/>
        </w:rPr>
      </w:pPr>
    </w:p>
    <w:p>
      <w:pPr>
        <w:ind w:left="800" w:hanging="401"/>
        <w:spacing w:after="0" w:line="308" w:lineRule="auto"/>
        <w:tabs>
          <w:tab w:leader="none" w:pos="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65" w:lineRule="exact"/>
        <w:rPr>
          <w:rFonts w:ascii="Arial" w:cs="Arial" w:eastAsia="Arial" w:hAnsi="Arial"/>
          <w:sz w:val="17"/>
          <w:szCs w:val="17"/>
          <w:color w:val="auto"/>
        </w:rPr>
      </w:pPr>
    </w:p>
    <w:p>
      <w:pPr>
        <w:ind w:left="800" w:right="540" w:hanging="401"/>
        <w:spacing w:after="0" w:line="277"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finance our obligations related to capital expenditures, including through opportunistic asset divestitures or joint ventures and the impact any such divestitures or joint ventures could have on our results;</w:t>
      </w:r>
    </w:p>
    <w:p>
      <w:pPr>
        <w:spacing w:after="0" w:line="89" w:lineRule="exact"/>
        <w:rPr>
          <w:rFonts w:ascii="Arial" w:cs="Arial" w:eastAsia="Arial" w:hAnsi="Arial"/>
          <w:sz w:val="18"/>
          <w:szCs w:val="18"/>
          <w:color w:val="auto"/>
        </w:rPr>
      </w:pPr>
    </w:p>
    <w:p>
      <w:pPr>
        <w:ind w:left="800" w:right="840" w:hanging="401"/>
        <w:spacing w:after="0" w:line="271"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95"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ability to meet obligations under the SMPH Term Loan;</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tax status;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effects of litigation;</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89"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current interest rate risk exposure is largely related to our debt portfolio. As of June 30, 2020, we had approximately $668.0 million principal of fixed-rate Senior Notes, $35 million principal of fixed rate ECP Loans, $733.0 million outstanding under our variable rate Revolving Credit Facility and $155.2 million principal of variable rate debt on the SMPH Term Loan (see Note 9 to the unaudited condensed consolidated financial statements). While existing fixed-rate debt mitigates the downside impact of fluctuations in interest rates, future issuances of long-term debt could be impacted by increases in interest rates, which could result in higher overall interest costs. In addition, the borrowings under our Revolving Credit Facility, which have a variable interest rate, also expose us to the risk of increasing interest rates. Our current interest rate risk exposure has not changed materially since December 31, 2019. For additional information, see the "Interest Rate Risk" section included in Item 7A. Quantitative and Qualitative Disclosures About Market Risk of the 2019 Annual Report.</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Commodity Price Risk</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currently generate a majority of our revenues pursuant to primarily long-term and fee-based gathering agreements, certain of which include MVCs and areas of mutual interest. Our direct commodity price exposure relates to (i) the sale of physical natural gas and/or NGLs purchased under percentage-of-proceeds and other processing arrangements with certain of our customers on the Bison Midstream, Grand River and Summit Permian systems, (ii) the sale of natural gas we retain from certain DFW Midstream customers and (iii) the sale of condensate we retain from our gathering services at Grand River. Our gathering agreements with certain DFW Midstream customers permit us to retain a certain quantity of natural gas that we sell to offset the power costs we incur to operate our electric-drive compression assets. Our gathering agreements with our Grand River customers permit us to retain condensate volumes from the Grand River system gathering lines.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like the Henry Hub Index,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2019. For additional information, see the "Commodity Price Risk" section included in Item 7A. Quantitative and Qualitative Disclosures About Market Risk of the 2019 Annual Report.</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30"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June 30, 2020 and (ii) no change in internal control over financial reporting occurred during the quarter ended June 30, 2020, that has materially affected, or is reasonably likely to materially affect, our internal control over financial reporting.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w:t>PART II -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Although we may, from time to time, be involved in litigation and claims arising out of our operations in the normal course of business, we are not currently a party to any significant legal or governmental proceedings. In addition, we are not aware of any significant legal or governmental proceedings contemplated to be brought against us, under the various environmental protection statutes to which we are subject, except as noted in Note 15 to our unaudited condensed consolidated financial statements “Leases, Commitments and Contingencies” and in the 2019 Annual Report, which is incorporated herein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3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risk factors contained in the Item 1A. Risk Factors of the 2019 Annual Report and in the Item 1A. Risk Factors of our quarterly report on Form 10-Q for the three months ended March 31, 2020, as filed with the SEC on May 8, 2020 (the “First Quarter Quarterly Report”), are incorporated herein by reference except to the extent they address risks arising from or relating to the failure of events described therein to occur, which events have since occurred. The risk factors presented below update, and should be considered in addition to, the risk factors previously disclosed by us in our 2019 Annual Report and the First Quarter Quarterly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COVID-19</w:t>
      </w:r>
    </w:p>
    <w:p>
      <w:pPr>
        <w:spacing w:after="0" w:line="104" w:lineRule="exact"/>
        <w:rPr>
          <w:sz w:val="20"/>
          <w:szCs w:val="20"/>
          <w:color w:val="auto"/>
        </w:rPr>
      </w:pPr>
    </w:p>
    <w:p>
      <w:pPr>
        <w:jc w:val="both"/>
        <w:ind w:right="200"/>
        <w:spacing w:after="0" w:line="301" w:lineRule="auto"/>
        <w:rPr>
          <w:sz w:val="20"/>
          <w:szCs w:val="20"/>
          <w:color w:val="auto"/>
        </w:rPr>
      </w:pPr>
      <w:r>
        <w:rPr>
          <w:rFonts w:ascii="Arial" w:cs="Arial" w:eastAsia="Arial" w:hAnsi="Arial"/>
          <w:sz w:val="17"/>
          <w:szCs w:val="17"/>
          <w:b w:val="1"/>
          <w:bCs w:val="1"/>
          <w:i w:val="1"/>
          <w:iCs w:val="1"/>
          <w:color w:val="auto"/>
        </w:rPr>
        <w:t>The COVID-19 pandemic, coupled with other current pressures on oil and gas prices resulting from the OPEC price war, has had, and is expected to continue to have, an adverse impact on our business, results of operations, financial position and cash flows.</w:t>
      </w:r>
    </w:p>
    <w:p>
      <w:pPr>
        <w:spacing w:after="0" w:line="4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ongoing coronavirus (COVID-19) outbreak continues to be a rapidly evolving situation. As of July 27, 2020, the CDC had recorded over 4.1 million cases in the United States and over 145,000 deaths, and the pandemic has resulted in a massive increase in the U.S. unemployment rate. The pandemic has resulted in widespread adverse impacts on the global economy and on our business, including our customers, employees, supply chain, and distribution network. We are currently unable to predict the ultimate impact that it may have on our business, future results of operations, financial position or cash flows. The extent to which our operations may be impacted by the COVID-19 pandemic will depend largely on future developments, which are highly uncertain and cannot be accurately predicted, changes in the severity of the pandemic, countermeasures taken by governments, businesses and individuals to slow the spread of the pandemic, and the ability of pharmaceutical companies to develop effective and safe vaccines and therapeutic drugs. Furthermore, the impacts of a potential worsening of global economic conditions and the continued disruptions to and volatility in the financial markets remain unknown.</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response to the COVID-19 pandemic, we have modified our business practices, including restricting employee travel, modifying employee work locations, implementing social distancing and enhancing sanitary measures in our facilities. Many of our suppliers, vendors and service providers have made similar modifications. The resources available to employees working remotely may not enable them to maintain the same level of productivity and efficiency, and these and other employees may face additional demands on their time.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 There is no certainty that such measures will be sufficient to mitigate the risks posed by the virus, in which case our employees may become sick, our ability to perform critical functions could be harmed, and we may be unable to respond to the needs of our business. The resumption of normal business operations after such interruptions may be delayed or constrained by lingering effects of COVID-19 on our suppliers, third-party service providers, and/or customers.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4" w:name="page65"/>
    <w:bookmarkEnd w:id="64"/>
    <w:p>
      <w:pPr>
        <w:spacing w:after="0" w:line="235" w:lineRule="auto"/>
        <w:rPr>
          <w:sz w:val="20"/>
          <w:szCs w:val="20"/>
          <w:color w:val="auto"/>
        </w:rPr>
      </w:pPr>
      <w:r>
        <w:rPr>
          <w:rFonts w:ascii="Arial" w:cs="Arial" w:eastAsia="Arial" w:hAnsi="Arial"/>
          <w:sz w:val="18"/>
          <w:szCs w:val="18"/>
          <w:color w:val="auto"/>
        </w:rPr>
        <w:t>In the midst of the ongoing COVID-19 pandemic, oil prices declined significantly due to potential increases in supply emanating from a disagreement on production cuts among members of OPEC and certain non-OPEC, oil-producing countries. The resulting supply and demand imbalance is having disruptive impacts on the oil and natural gas exploration and production industry and on other industries that serve exploration and production companies. For example, we have experienced a $5.2 million decrease in gathering services and related fees in the Williston Basin primarily due to lower liquids throughput associated in part with a decrease in demand resulting from the COVID-19 pandemic. These industry conditions, coupled with those resulting from the COVID-19 pandemic, could lead to significant global economic contraction generally and in our industry in particular. Although OPEC agreed in April to cut production, there is no assurance that the agreement will continue to be observed by its parties, and the responses of oil and gas producers to the lower demand for, and price of, natural gas, NGLs and crude oil are constantly evolving and remain uncertain. Such responses could cause our pipelines and storage tanks to reach capacity, thereby forcing producers to experience shut-ins or look to alternative methods of transportation for their products. In addition, the dramatic decrease in oil and gas prices could have substantial negative implications for our revenue sources that are related to or underpinned by commodity prices. As a result, these factors could have a material adverse effect on our business, future results of operations, financial position or cash flows. At this point, we cannot accurately predict what effects current market conditions due to the COVID-19 pandemic and failed OPEC negotiations will have on our business, which will depend on, among other factors, the ultimate geographic spread of the virus, the duration of the outbreak and the extent and overall economic effects of the governmental response to the pandemic.</w:t>
      </w:r>
    </w:p>
    <w:p>
      <w:pPr>
        <w:spacing w:after="0" w:line="105"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The impact of COVID-19 and the OPEC price war may also exacerbate other risks discussed in Item 1A of the 2019 Annual Report, any of which could have a material effect on us. This situation is changing rapidly and additional impacts may arise that we are not aware of currently.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4"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We may face opposition to the development, permitting, construction or operation of our pipelines and facilities from various groups.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may face opposition to the development, permitting, construction or operation of our pipelines and facilities from environmental groups, landowners, local groups and other advocates. Such opposition could take many forms, including organized protests, attempts to block or sabotage our operations, intervention in regulatory or administrative proceedings involving our assets, or lawsuits or other actions designed to prevent, disrupt or delay the development or operation of our assets and business. For example, repairing our pipelines often involves securing consent from individual landowners to access their property; one or more landowners may resist our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our operations. Any such event that interrupts the revenues generated by our operations, or which causes us to make significant expenditures not covered by insurance, could reduce our cash available for paying distributions to our unitholders and, accordingly, have a material adverse effect on our business, financial condition and results of operations. Moreover, governmental authorities exercise considerable discretion in the timing and scope of permit issuance and the public may engage in the permitting process, including through intervention in the courts. Negative public perception could cause the permits we require to conduct our operations to be withheld, delayed or burdened by requirements that restrict our ability to profitably conduct our business.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5" w:name="page66"/>
    <w:bookmarkEnd w:id="65"/>
    <w:p>
      <w:pPr>
        <w:spacing w:after="0" w:line="235" w:lineRule="auto"/>
        <w:rPr>
          <w:sz w:val="20"/>
          <w:szCs w:val="20"/>
          <w:color w:val="auto"/>
        </w:rPr>
      </w:pPr>
      <w:r>
        <w:rPr>
          <w:rFonts w:ascii="Arial" w:cs="Arial" w:eastAsia="Arial" w:hAnsi="Arial"/>
          <w:sz w:val="18"/>
          <w:szCs w:val="18"/>
          <w:color w:val="auto"/>
        </w:rPr>
        <w:t>For example, in an April 15, 2020 ruling, amended May 11, 2020, the U.S. District Court for the District of Montana issued an order invalidating the U.S. Army Corps of Engineers (“Corps”) 2017 reissuance of Nationwide Permit 12 (“NWP 12”), the general permit governing dredge-and-fill activities for pipeline and other utility line construction projects, to the extent it was used to authorize construction of new oil and gas pipelines. Environmental groups had alleged that the Corps failed to consult with federal wildlife agencies as required by the Endangered Species Act. The court’s decision vacated NWP 12 until the Corps completes consultation with the applicable federal wildlife agencies. On July 6, 2020, the U.S. Supreme Court granted in part and denied in part the Corps’ request to stay the U.S. District Court’s decision. The Supreme Court’s decision allows the use of NWP 12 as to construction of new oil and gas pipelines, pending the outcome of the appeal to the U.S. Court of Appeals for the Ninth Circuit and any subsequent petition for review to the U.S. Supreme Court. Limitations on the use of NWP 12 may make it more difficult to permit our projects and could cause us to lose potential and current customers and limit our growth and revenue. In addition, on July 6, 2020, the U.S. District Court for the District of Columbia issued an order vacating a Corps Mineral Leasing Act easement for the Dakota Access Pipeline in a lawsuit filed by American Indian Tribes. The court’s decision requires the pipeline to shut down operations by August 5, 2020, until the Corps completes an Environmental Impact Statement in accordance with the National Environmental Policy Act. On July 14, 2020, the U.S. Court of Appeals for the District of Columbia Circuit issued an order temporarily staying the decision pending the court’s review of an emergency motion for a stay filed by the Corps. If the Dakota Access Pipeline is forced to shut down, this could have a material adverse effect on our business, financial condition and results of operations associated with the Polar and Divide System, which interconnects with the Dakota Access Pipeline.</w:t>
      </w:r>
    </w:p>
    <w:p>
      <w:pPr>
        <w:spacing w:after="0" w:line="10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Recently, activists concerned about the potential effects of climate change have directed their attention towards sources of funding for fossil-fuel energy companies, which has resulted in certain an increasing number of financial institutions, funds, individual investors and other sources of capital restricting or eliminating their investment in fossil fuel-related activities. Ultimately, this could make it more difficult to secure funding for exploration and production activities or energy infrastructure related projects, and consequently could both indirectly affect demand for our services and directly affect our ability to fund construction or other capital projects.</w:t>
      </w:r>
    </w:p>
    <w:p>
      <w:pPr>
        <w:spacing w:after="0" w:line="72"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b w:val="1"/>
          <w:bCs w:val="1"/>
          <w:i w:val="1"/>
          <w:iCs w:val="1"/>
          <w:color w:val="auto"/>
        </w:rPr>
        <w:t>We have engaged in transactions in 2020 that generated substantial cancellation of debt (“COD”) income on a per unit basis relative to the trading price of our common units. We may engage in other transactions that result in substantial COD income or other gains in the future, and such events may cause a unitholder to be allocated income with respect to our units with no corresponding distribution of cash to fund the payment of the resulting tax liability to the unitholder.</w:t>
      </w:r>
    </w:p>
    <w:p>
      <w:pPr>
        <w:spacing w:after="0" w:line="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unitholder’s share of our taxable income will include any COD income recognized upon the satisfaction of our outstanding indebtedness for total consideration less than the adjusted issue price (and any accrued but unpaid interest) of such indebtedness. In the first and second quarters of 2020, we commenced a debt buyback program on our Senior Notes, which is ongoing and has resulted in COD income in excess of $ 54 million. We may engage in other transactions that result in substantial COD income or other gains in the future. Depending upon the net amount of other items related to our loss (or income) allocable to a unitholder, any COD income may cause a unitholder to be allocated income with respect to our units with no corresponding distribution of cash to fund the payment of the resulting tax liability to the unitholder. Furthermore, such COD income event may not be fully offset, either now or in the future, by capital losses, which are subject to significant limitations, or other losses. Accordingly, a COD income event could cause a unitholder to realize taxable income without corresponding future economic benefits or offsetting tax deductions.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Us</w:t>
      </w:r>
    </w:p>
    <w:p>
      <w:pPr>
        <w:spacing w:after="0" w:line="104"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b w:val="1"/>
          <w:bCs w:val="1"/>
          <w:i w:val="1"/>
          <w:iCs w:val="1"/>
          <w:color w:val="auto"/>
        </w:rPr>
        <w:t>All of our equity interests in our General Partner and certain of our common units owned by our subsidiary SMP Holdings are pledged as collateral under the SMPH Term Loan; upon the occurrence and during the continuation of an event of default thereunder, the lenders party thereto may gain control of our General Partner and a significant portion of our common units.</w:t>
      </w:r>
    </w:p>
    <w:p>
      <w:pPr>
        <w:spacing w:after="0" w:line="8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On March 21, 2017, SMP Holdings entered into the SMPH Term Loan. The amount of indebtedness outstanding under the SMPH Term Loan was $156 million as of June 15, 2020. The SMPH Term Loan is non-recourse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6" w:name="page67"/>
    <w:bookmarkEnd w:id="66"/>
    <w:p>
      <w:pPr>
        <w:ind w:right="60"/>
        <w:spacing w:after="0" w:line="251" w:lineRule="auto"/>
        <w:rPr>
          <w:sz w:val="20"/>
          <w:szCs w:val="20"/>
          <w:color w:val="auto"/>
        </w:rPr>
      </w:pPr>
      <w:r>
        <w:rPr>
          <w:rFonts w:ascii="Arial" w:cs="Arial" w:eastAsia="Arial" w:hAnsi="Arial"/>
          <w:sz w:val="17"/>
          <w:szCs w:val="17"/>
          <w:color w:val="auto"/>
        </w:rPr>
        <w:t>Partnership and its operating subsidiaries. Before it was a subsidiary of the Partnership, SMP Holdings pledged all of the equity interests in our General Partner and 34,604,581 common units as collateral under the SMPH Term Loan. As a result of the GP Buy-In Transaction, such common units are not currently considered outstanding but would be considered outstanding upon the transfer to a third party. If an event of default occurs under the SMPH Term Loan and is continuing, including as a result of SMP Holdings’ failure to comply with its payment or other covenant obligations thereunder or the occurrence of certain bankruptcy or insolvency related events, then the lenders party thereto could foreclose on the collateral securing the SMPH Term Loan. Upon any such foreclosure, such lenders would own the General Partner and, through its ownership of the 34,604,581 common units (which assuming no further issuance of common units, including upon exercise of the ECP Warrants, would represent 44.3% of the outstanding common units upon such foreclosure), have significant influence on matters subject to the vote of our unitholders, including the public election of directors to the Board of Directors commencing in 2022.</w:t>
      </w:r>
    </w:p>
    <w:p>
      <w:pPr>
        <w:spacing w:after="0" w:line="69"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Our Partnership Agreement limits the liabilities of our General Partner and the rights of our unitholders with respect to actions taken by our General Partner that might otherwise constitute breaches of fiduciary duty.</w:t>
      </w:r>
    </w:p>
    <w:p>
      <w:pPr>
        <w:spacing w:after="0" w:line="68"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Our Partnership Agreement contains provisions that limit the liability of our General Partner and the rights of our unitholders with respect to actions taken by our General Partner that might otherwise constitute breaches of fiduciary duty under state fiduciary duty law. For example, our Partnership Agreement provides that:</w:t>
      </w:r>
    </w:p>
    <w:p>
      <w:pPr>
        <w:spacing w:after="0" w:line="95" w:lineRule="exact"/>
        <w:rPr>
          <w:sz w:val="20"/>
          <w:szCs w:val="20"/>
          <w:color w:val="auto"/>
        </w:rPr>
      </w:pPr>
    </w:p>
    <w:p>
      <w:pPr>
        <w:ind w:left="800" w:right="140" w:hanging="401"/>
        <w:spacing w:after="0" w:line="238"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whenever our General Partner makes a determination or takes, or declines to take, any other action in its capacity as our General Partner, our General Partner is required to make such determination, or take or decline to take such other action, in good faith, meaning that it subjectively believed that the decision was in our best interests, and will not be subject to any other or different standard imposed by our Partnership Agreement, Delaware law, or any other law, rule or regulation, or at equity;</w:t>
      </w:r>
    </w:p>
    <w:p>
      <w:pPr>
        <w:spacing w:after="0" w:line="96"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General Partner will not have any liability to us or our unitholders for decisions made in its capacity as a general partner so long as such decisions are made in good faith; and</w:t>
      </w:r>
    </w:p>
    <w:p>
      <w:pPr>
        <w:spacing w:after="0" w:line="88" w:lineRule="exact"/>
        <w:rPr>
          <w:rFonts w:ascii="Arial" w:cs="Arial" w:eastAsia="Arial" w:hAnsi="Arial"/>
          <w:sz w:val="18"/>
          <w:szCs w:val="18"/>
          <w:color w:val="auto"/>
        </w:rPr>
      </w:pPr>
    </w:p>
    <w:p>
      <w:pPr>
        <w:ind w:left="800" w:right="220" w:hanging="401"/>
        <w:spacing w:after="0" w:line="257" w:lineRule="auto"/>
        <w:tabs>
          <w:tab w:leader="none" w:pos="8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General Partner and its officers and directors will not be liable for monetary damages to us, our limited partners or their assignees resulting from any act or omission unless there has been a final and non-appealable judgment entered by a court of competent jurisdiction determining that our General Partner or its officers and directors, as the case may be, acted in bad faith or engaged in fraud or willful misconduct or, in the case of a criminal matter, acted with knowledge that the conduct was criminal.</w:t>
      </w:r>
    </w:p>
    <w:p>
      <w:pPr>
        <w:spacing w:after="0" w:line="59"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Our Series A Preferred Units have rights, preferences and privileges that are not held by, and are preferential to the rights of, holders of our common units.</w:t>
      </w:r>
    </w:p>
    <w:p>
      <w:pPr>
        <w:spacing w:after="0" w:line="6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Series A Preferred Units rank senior to our common units with respect to distribution rights and rights upon liquidation. These preferences could adversely affect the market price for our common units, or could make it more difficult for us to sell our common units in the future.</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(i) prior to December 15, 2022, distributions on the Series A Preferred Units accumulate and are cumulative at the rate of 9.50% per annum of $1,000, the liquidation preference of the Series A preferred units and (ii) on and after December 15, 2022, distributions on the Series A Preferred Units will accumulate for each distribution period at a percentage of $1,000 equal to the three-month LIBOR plus a spread of 7.43%. On May 3, 2020, we announced the suspension of distributions payable on both our common units and our Series A Preferred Units. We did not make a distribution on our common units with respect to the first quarter of 2020, nor did we make a distribution on our Series A Preferred Units on June 15, 2020. Unpaid distributions on the Series A Preferred Units will continue to accrue.</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our Subsidiary Series A Preferred Units issued by Permian Holdco have priority over the common unitholders with respect to the cash flow from Permian Holdco. The distribution rate of the Subsidiary Series A Preferred Units is 7.00% per annum of the $1,000 issue amount per outstanding Subsidiary Series A Preferred Unit. Permian Holdco has the option to pay this distribution in-kind until the earlier of June 30, 2022 or the first full quarter following the date the Double E pipeline is placed in service.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67" w:name="page68"/>
    <w:bookmarkEnd w:id="67"/>
    <w:p>
      <w:pPr>
        <w:ind w:right="20"/>
        <w:spacing w:after="0" w:line="238" w:lineRule="auto"/>
        <w:rPr>
          <w:sz w:val="20"/>
          <w:szCs w:val="20"/>
          <w:color w:val="auto"/>
        </w:rPr>
      </w:pPr>
      <w:r>
        <w:rPr>
          <w:rFonts w:ascii="Arial" w:cs="Arial" w:eastAsia="Arial" w:hAnsi="Arial"/>
          <w:sz w:val="18"/>
          <w:szCs w:val="18"/>
          <w:color w:val="auto"/>
        </w:rPr>
        <w:t>Our obligation to pay distributions on our Series A Preferred Units and Permian Holdco’s obligation to pay the distributions on the Subsidiary Series A Preferred Units could impact our liquidity and reduce the amount of cash flow available for working capital, capital expenditures, growth opportunities, acquisitions, and other general partnership purposes. Our obligations to the holders of the Series A Preferred Units and Permian Holdco’s obligations to the holders of the Subsidiary Series A Preferred Units could also limit our ability to obtain additional financing or increase our borrowing costs, which could have an adverse effect on our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Series A Preferred Units contain covenants that may limit our business flexibility.</w:t>
      </w:r>
    </w:p>
    <w:p>
      <w:pPr>
        <w:spacing w:after="0" w:line="126"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Our Series A Preferred Units contain covenants preventing us from taking certain actions without the approval of the holders of 66 2/3% of the Series A Preferred Units. The need to obtain the approval of holders of the Series A Preferred Units before taking these actions could impede our ability to take certain actions that management or the Board of Directors may consider to be in the best interests of our unitholders. The affirmative vote of 66 2/3% of the outstanding Series A Preferred Units, voting as a single class, is necessary to amend the Partnership Agreement in any manner that would have a material adverse effect on the existing preferences, rights, powers, duties or obligations of the Series A Preferred Units. The affirmative vote of 66 2/3% of the outstanding Series A Preferred Units and any outstanding series of other preferred units, voting as a single class, is necessary to (A) under certain circumstances, create or issue certain equity securities that are senior to our common units, (B) declare or pay any distribution to common unitholders out of capital surplus or (C) take any action that would result in an event of default for failure to comply with any covenant in the indentures governing the 5.5% Senior Notes or the 5.75% Senior Notes co-issued by Summit Holdings and its 100% owned finance subsidiary, Finance Corp.</w:t>
      </w:r>
    </w:p>
    <w:p>
      <w:pPr>
        <w:spacing w:after="0" w:line="9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Although holders of the Series A Preferred Units are entitled to limited voting rights with respect to certain matters, the Series A Preferred Units generally vote as a class, separate from our common unitholders, along with any other series of our parity securities that we may issue upon which like voting rights have been conferred and are exercisable.</w:t>
      </w:r>
    </w:p>
    <w:p>
      <w:pPr>
        <w:spacing w:after="0" w:line="7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i w:val="1"/>
          <w:iCs w:val="1"/>
          <w:color w:val="auto"/>
        </w:rPr>
        <w:t>If we cannot meet the continued listing requirements of the NYSE, the NYSE may delist our common units, which would have an adverse impact on the trading volume, liquidity and market price of our common units.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received a formal notice from the NYSE on April 10, 2020 indicating noncompliance with the continued listing standard set forth in Rule 802.01C of the NYSE Listed Company Manual because the average closing price of our common units had fallen below $1.00 per unit over a period of 30 consecutive trading days, which is the minimum average unit price for continued listing on the NYSE. We have until December 19, 2020 to regain compliance with the minimum unit price requirement, with the possibility of extension at the discretion of the NYSE. In order to regain compliance, on the last trading day in any calendar month during the cure period, the common units must have: (i) a closing price of at least $1.00 per unit and (ii) an average closing price of at least $1.00 per unit over the 30 trading day period ending on the last trading day of such month. If we fail to regain compliance with Section 802.01C of the NYSE Listed Company Manual by the end of the cure period, the common units will be subject to the NYSE’s suspension and delisting procedures. If the common units ultimately were to be delisted for any reason, it could negatively impact us as it would likely reduce the liquidity and market price of the common units, reduce the number of investors willing to hold or acquire the common units and negatively impact our ability to access equity markets and obtain financing.</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30"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On August 7, 2020, we entered into an Amendment to Warrants to Purchase Common Units with ECP, ECP NewCo and ECP Holdings (the “Warrant Amendment”) to amend certain terms of the ECP Warrants. Pursuant to the Warrant Amendment, in the event ECP NewCo or ECP Holdings elect to exercise the ECP Warrants for cash prior to February 28, 2021, ECP NewCo and ECP Holdings, at the election and request of the Partnership in its sole discretion, will lend the cash received from such exercise to Summit Holdings (each such loan, a “New ECP Term Loan”). The terms of each New ECP Term Loan will be set forth in the definitive documentation with respect to the New ECP Term Loans and will be based on the terms set forth in the Warrant Amendment. A copy of the Warrant Amendment is included as Exhibit 10.11 to this Current Report on Form 10-Q.</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auto"/>
        </w:rPr>
        <w:t>Item 6. Exhibits.</w:t>
      </w:r>
    </w:p>
    <w:p>
      <w:pPr>
        <w:spacing w:after="0" w:line="144"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u w:val="single" w:color="auto"/>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7886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788670"/>
                    </a:xfrm>
                    <a:prstGeom prst="rect">
                      <a:avLst/>
                    </a:prstGeom>
                    <a:noFill/>
                  </pic:spPr>
                </pic:pic>
              </a:graphicData>
            </a:graphic>
          </wp:anchor>
        </w:drawing>
      </w:r>
    </w:p>
    <w:p>
      <w:pPr>
        <w:spacing w:after="0" w:line="20" w:lineRule="exact"/>
        <w:rPr>
          <w:sz w:val="20"/>
          <w:szCs w:val="20"/>
          <w:color w:val="auto"/>
        </w:rPr>
      </w:pPr>
    </w:p>
    <w:p>
      <w:pPr>
        <w:ind w:left="1340" w:right="60" w:hanging="839"/>
        <w:spacing w:after="0" w:line="237"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97">
        <w:r>
          <w:rPr>
            <w:rFonts w:ascii="Arial" w:cs="Arial" w:eastAsia="Arial" w:hAnsi="Arial"/>
            <w:sz w:val="18"/>
            <w:szCs w:val="18"/>
            <w:u w:val="single" w:color="auto"/>
            <w:color w:val="0000EE"/>
          </w:rPr>
          <w:t>Purchase Agreement, dated May 3, 2020, by and among Energy Capital Partners II, LP, Energy Capital Partners II-A, LP,</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Energy Capital Partners II-C (SMLP IP), LP, Energy Capital Partners II-C (Summit IP), LP, Energy Capital Partners II</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(Summit Co-Invest), LP and Summit Midstream Management, LLC, as contributors, SMP TopCo, LLC and SMLP Holdings,</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LLC, as sellers, Summit Midstream Partners, LP, as the acquiror, and, solely for certain purposes set forth therein, Summit</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Midstream Partners GP, LLC (Incorporated herein by reference to Exhibit 2.1 to SMLP's Current Report on Form 8-K dated</w:t>
        </w:r>
      </w:hyperlink>
      <w:r>
        <w:rPr>
          <w:rFonts w:ascii="Arial" w:cs="Arial" w:eastAsia="Arial" w:hAnsi="Arial"/>
          <w:sz w:val="18"/>
          <w:szCs w:val="18"/>
          <w:u w:val="single" w:color="auto"/>
          <w:color w:val="0000EE"/>
        </w:rPr>
        <w:t xml:space="preserve"> </w:t>
      </w:r>
      <w:hyperlink r:id="rId97">
        <w:r>
          <w:rPr>
            <w:rFonts w:ascii="Arial" w:cs="Arial" w:eastAsia="Arial" w:hAnsi="Arial"/>
            <w:sz w:val="18"/>
            <w:szCs w:val="18"/>
            <w:u w:val="single" w:color="auto"/>
            <w:color w:val="0000EE"/>
          </w:rPr>
          <w:t>May 5, 2020 (Commission File No. 001-35666))</w:t>
        </w:r>
      </w:hyperlink>
    </w:p>
    <w:p>
      <w:pPr>
        <w:spacing w:after="0" w:line="2" w:lineRule="exact"/>
        <w:rPr>
          <w:rFonts w:ascii="Arial" w:cs="Arial" w:eastAsia="Arial" w:hAnsi="Arial"/>
          <w:sz w:val="18"/>
          <w:szCs w:val="18"/>
          <w:u w:val="single" w:color="auto"/>
          <w:color w:val="0000EE"/>
        </w:rPr>
      </w:pPr>
    </w:p>
    <w:p>
      <w:pPr>
        <w:jc w:val="both"/>
        <w:ind w:left="1340" w:right="160" w:hanging="864"/>
        <w:spacing w:after="0"/>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98">
        <w:r>
          <w:rPr>
            <w:rFonts w:ascii="Arial" w:cs="Arial" w:eastAsia="Arial" w:hAnsi="Arial"/>
            <w:sz w:val="18"/>
            <w:szCs w:val="18"/>
            <w:u w:val="single" w:color="auto"/>
            <w:color w:val="0000EE"/>
          </w:rPr>
          <w:t>Fourth Amended and Restated Agreement of Limited Partnership of Summit Midstream Partners, LP, dated May 28, 2020</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(Incorporated herein by reference to Exhibit 3.1 to SMLP’s Current Report on Form 8-K dated June 2, 2020 (Commission</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File No. 001-35666))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94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jc w:val="both"/>
        <w:ind w:left="1340" w:hanging="864"/>
        <w:spacing w:after="0"/>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100">
        <w:r>
          <w:rPr>
            <w:rFonts w:ascii="Arial" w:cs="Arial" w:eastAsia="Arial" w:hAnsi="Arial"/>
            <w:sz w:val="18"/>
            <w:szCs w:val="18"/>
            <w:u w:val="single" w:color="auto"/>
            <w:color w:val="0000EE"/>
          </w:rPr>
          <w:t>Second Amended and Restated Limited Liability Company Agreement of Summit Midstream GP, LLC, dated May 28, 2020</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(Incorporated herein by reference to Exhibit 3.2 to SMLP's Current Report on Form 8-K filed June 2, 2020 (Commission File</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No. 001-35666))</w:t>
        </w:r>
      </w:hyperlink>
    </w:p>
    <w:p>
      <w:pPr>
        <w:ind w:left="1340" w:right="400" w:hanging="839"/>
        <w:spacing w:after="0" w:line="242"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01">
        <w:r>
          <w:rPr>
            <w:rFonts w:ascii="Arial" w:cs="Arial" w:eastAsia="Arial" w:hAnsi="Arial"/>
            <w:sz w:val="18"/>
            <w:szCs w:val="18"/>
            <w:u w:val="single" w:color="auto"/>
            <w:color w:val="0000EE"/>
          </w:rPr>
          <w:t>Certificate of Limited Partnership of Summit Midstream Partners, LP (Incorporated herein by reference to Exhibit 3.1 to</w:t>
        </w:r>
      </w:hyperlink>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SMLP's Form S-1 Registration Statement dated August 21, 2012 (Commission File No. 333-183466))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65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340" w:hanging="839"/>
        <w:spacing w:after="0" w:line="242"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103">
        <w:r>
          <w:rPr>
            <w:rFonts w:ascii="Arial" w:cs="Arial" w:eastAsia="Arial" w:hAnsi="Arial"/>
            <w:sz w:val="18"/>
            <w:szCs w:val="18"/>
            <w:u w:val="single" w:color="auto"/>
            <w:color w:val="0000EE"/>
          </w:rPr>
          <w:t>Certificate of Formation of Summit Midstream GP, LLC (Incorporated herein by reference to Exhibit 3.4 to SMLP's Form S-1</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Registration Statement dated August 21, 2012 (Commission File No. 333-183466))</w:t>
        </w:r>
      </w:hyperlink>
    </w:p>
    <w:p>
      <w:pPr>
        <w:spacing w:after="0" w:line="1" w:lineRule="exact"/>
        <w:rPr>
          <w:sz w:val="20"/>
          <w:szCs w:val="20"/>
          <w:color w:val="auto"/>
        </w:rPr>
      </w:pPr>
    </w:p>
    <w:p>
      <w:pPr>
        <w:ind w:left="1340" w:right="320" w:hanging="964"/>
        <w:spacing w:after="0" w:line="254" w:lineRule="auto"/>
        <w:tabs>
          <w:tab w:leader="none" w:pos="1320" w:val="left"/>
        </w:tabs>
        <w:rPr>
          <w:rFonts w:ascii="Arial" w:cs="Arial" w:eastAsia="Arial" w:hAnsi="Arial"/>
          <w:sz w:val="17"/>
          <w:szCs w:val="17"/>
          <w:u w:val="single" w:color="auto"/>
          <w:color w:val="0000EE"/>
        </w:rPr>
      </w:pPr>
      <w:r>
        <w:rPr>
          <w:rFonts w:ascii="Arial" w:cs="Arial" w:eastAsia="Arial" w:hAnsi="Arial"/>
          <w:sz w:val="18"/>
          <w:szCs w:val="18"/>
          <w:color w:val="auto"/>
        </w:rPr>
        <w:t>10.1</w:t>
      </w:r>
      <w:r>
        <w:rPr>
          <w:sz w:val="20"/>
          <w:szCs w:val="20"/>
          <w:color w:val="auto"/>
        </w:rPr>
        <w:tab/>
      </w:r>
      <w:hyperlink r:id="rId104">
        <w:r>
          <w:rPr>
            <w:rFonts w:ascii="Arial" w:cs="Arial" w:eastAsia="Arial" w:hAnsi="Arial"/>
            <w:sz w:val="17"/>
            <w:szCs w:val="17"/>
            <w:u w:val="single" w:color="auto"/>
            <w:color w:val="0000EE"/>
          </w:rPr>
          <w:t>Term Loan Credit Agreement, dated May 28, 2020, by and among Summit Midstream Holdings, LLC, as borrower, SMP</w:t>
        </w:r>
      </w:hyperlink>
      <w:r>
        <w:rPr>
          <w:rFonts w:ascii="Arial" w:cs="Arial" w:eastAsia="Arial" w:hAnsi="Arial"/>
          <w:sz w:val="17"/>
          <w:szCs w:val="17"/>
          <w:u w:val="single" w:color="auto"/>
          <w:color w:val="0000EE"/>
        </w:rPr>
        <w:t xml:space="preserve"> </w:t>
      </w:r>
      <w:hyperlink r:id="rId104">
        <w:r>
          <w:rPr>
            <w:rFonts w:ascii="Arial" w:cs="Arial" w:eastAsia="Arial" w:hAnsi="Arial"/>
            <w:sz w:val="17"/>
            <w:szCs w:val="17"/>
            <w:u w:val="single" w:color="auto"/>
            <w:color w:val="0000EE"/>
          </w:rPr>
          <w:t>TopCo, LLC, as lender and administrative agent and Mizuho Bank (USA), as collateral agent (Incorporated herein by</w:t>
        </w:r>
      </w:hyperlink>
      <w:r>
        <w:rPr>
          <w:rFonts w:ascii="Arial" w:cs="Arial" w:eastAsia="Arial" w:hAnsi="Arial"/>
          <w:sz w:val="17"/>
          <w:szCs w:val="17"/>
          <w:u w:val="single" w:color="auto"/>
          <w:color w:val="0000EE"/>
        </w:rPr>
        <w:t xml:space="preserve"> </w:t>
      </w:r>
      <w:hyperlink r:id="rId104">
        <w:r>
          <w:rPr>
            <w:rFonts w:ascii="Arial" w:cs="Arial" w:eastAsia="Arial" w:hAnsi="Arial"/>
            <w:sz w:val="17"/>
            <w:szCs w:val="17"/>
            <w:u w:val="single" w:color="auto"/>
            <w:color w:val="0000EE"/>
          </w:rPr>
          <w:t>reference to Exhibit 10.1 to SMLP’s Current Report on Form 8-K dated June 2, 2020 (Commission File No. 001-35666))</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523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2320" cy="523240"/>
                    </a:xfrm>
                    <a:prstGeom prst="rect">
                      <a:avLst/>
                    </a:prstGeom>
                    <a:noFill/>
                  </pic:spPr>
                </pic:pic>
              </a:graphicData>
            </a:graphic>
          </wp:anchor>
        </w:drawing>
      </w:r>
    </w:p>
    <w:p>
      <w:pPr>
        <w:ind w:left="1340" w:right="100" w:hanging="964"/>
        <w:spacing w:after="0" w:line="238"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06">
        <w:r>
          <w:rPr>
            <w:rFonts w:ascii="Arial" w:cs="Arial" w:eastAsia="Arial" w:hAnsi="Arial"/>
            <w:sz w:val="18"/>
            <w:szCs w:val="18"/>
            <w:u w:val="single" w:color="auto"/>
            <w:color w:val="0000EE"/>
          </w:rPr>
          <w:t>Term Loan Credit Agreement, dated May 28, 2020, by and among Summit Midstream Holdings, LLC, as borrower, SMLP</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Holdings, LLC, as lender, SMP TopCo, LLC, as administrative agent and Mizuho Bank (USA), as collateral agent</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(Incorporated herein by reference to Exhibit 10.2 to SMLP’s Current Report on Form 8-K dated June 2, 2020 (Commission</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File No. 001-35666))</w:t>
        </w:r>
      </w:hyperlink>
    </w:p>
    <w:p>
      <w:pPr>
        <w:spacing w:after="0" w:line="2" w:lineRule="exact"/>
        <w:rPr>
          <w:rFonts w:ascii="Arial" w:cs="Arial" w:eastAsia="Arial" w:hAnsi="Arial"/>
          <w:sz w:val="18"/>
          <w:szCs w:val="18"/>
          <w:u w:val="single" w:color="auto"/>
          <w:color w:val="0000EE"/>
        </w:rPr>
      </w:pPr>
    </w:p>
    <w:p>
      <w:pPr>
        <w:ind w:left="1340" w:right="120" w:hanging="964"/>
        <w:spacing w:after="0" w:line="238"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07">
        <w:r>
          <w:rPr>
            <w:rFonts w:ascii="Arial" w:cs="Arial" w:eastAsia="Arial" w:hAnsi="Arial"/>
            <w:sz w:val="18"/>
            <w:szCs w:val="18"/>
            <w:u w:val="single" w:color="auto"/>
            <w:color w:val="0000EE"/>
          </w:rPr>
          <w:t>Guarantee and Collateral Agreement, dated May 28, 2020, by and among Summit Midstream Holdings, LLC, Summit</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Midstream Partners, LP, the subsidiaries listed therein and Mizuho Bank (USA), as collateral agent, relating to the ECP</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NewCo Term Loan Credit Agreement (Incorporated herein by reference to Exhibit 10.3 to SMLP’s Current Report on Form</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8-K dated June 2, 2020 (Commission File No. 001-35666))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522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ind w:left="1340" w:right="20" w:hanging="964"/>
        <w:spacing w:after="0" w:line="238"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109">
        <w:r>
          <w:rPr>
            <w:rFonts w:ascii="Arial" w:cs="Arial" w:eastAsia="Arial" w:hAnsi="Arial"/>
            <w:sz w:val="18"/>
            <w:szCs w:val="18"/>
            <w:u w:val="single" w:color="auto"/>
            <w:color w:val="0000EE"/>
          </w:rPr>
          <w:t>Guarantee and Collateral Agreement, dated May 28, 2020, by and among Summit Midstream Holdings, LLC, Summit</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Midstream Partners, LP, the subsidiaries listed therein and Mizuho Bank (USA), as collateral agent, relating to the ECP</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Holdings Term Loan Credit Agreement (Incorporated herein by reference to Exhibit 10.4 to SMLP’s Current Report on Form</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8-K dated June 2, 2020 (Commission File No. 001-35666))</w:t>
        </w:r>
      </w:hyperlink>
    </w:p>
    <w:p>
      <w:pPr>
        <w:spacing w:after="0" w:line="2" w:lineRule="exact"/>
        <w:rPr>
          <w:rFonts w:ascii="Arial" w:cs="Arial" w:eastAsia="Arial" w:hAnsi="Arial"/>
          <w:sz w:val="18"/>
          <w:szCs w:val="18"/>
          <w:u w:val="single" w:color="auto"/>
          <w:color w:val="0000EE"/>
        </w:rPr>
      </w:pPr>
    </w:p>
    <w:p>
      <w:pPr>
        <w:ind w:left="1340" w:right="80" w:hanging="964"/>
        <w:spacing w:after="0" w:line="237"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10">
        <w:r>
          <w:rPr>
            <w:rFonts w:ascii="Arial" w:cs="Arial" w:eastAsia="Arial" w:hAnsi="Arial"/>
            <w:sz w:val="18"/>
            <w:szCs w:val="18"/>
            <w:u w:val="single" w:color="auto"/>
            <w:color w:val="0000EE"/>
          </w:rPr>
          <w:t>Pari Passu Intercreditor Agreement, dated as of May 28, 2020, among Wells Fargo Bank, National Association, as</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Revolving Credit Facility Collateral Agent, Mizuho Bank (USA), as NewCo Term Loan Collateral Agent and SMLP Holdings</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Term Loan Collateral Agent, Summit Midstream Holdings, LLC and other grantors from time to time party thereto</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(Incorporated herein by reference to Exhibit 10.5 to SMLP’s Current Report on Form 8-K dated June 2, 2020 (Commission</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File No. 001-35666))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394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ind w:left="1340" w:right="100" w:hanging="964"/>
        <w:spacing w:after="0"/>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12">
        <w:r>
          <w:rPr>
            <w:rFonts w:ascii="Arial" w:cs="Arial" w:eastAsia="Arial" w:hAnsi="Arial"/>
            <w:sz w:val="18"/>
            <w:szCs w:val="18"/>
            <w:u w:val="single" w:color="auto"/>
            <w:color w:val="0000EE"/>
          </w:rPr>
          <w:t>Warrant to Purchase Common Units, dated May 28, 2020, from Summit Midstream Partners, LP to SMP TopCo, LLC</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(Incorporated herein by reference to Exhibit 10.6 to SMLP’s Current Report on Form 8-K dated June 2, 2020 (Commission</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File No. 001-35666))</w:t>
        </w:r>
      </w:hyperlink>
    </w:p>
    <w:p>
      <w:pPr>
        <w:ind w:left="1340" w:right="100" w:hanging="964"/>
        <w:spacing w:after="0"/>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113">
        <w:r>
          <w:rPr>
            <w:rFonts w:ascii="Arial" w:cs="Arial" w:eastAsia="Arial" w:hAnsi="Arial"/>
            <w:sz w:val="18"/>
            <w:szCs w:val="18"/>
            <w:u w:val="single" w:color="auto"/>
            <w:color w:val="0000EE"/>
          </w:rPr>
          <w:t>Warrant to Purchase Common Units, dated May 28, 2020, from Summit Midstream Partners, LP to SMLP Holdings, LLC</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(Incorporated herein by reference to Exhibit 10.7 to SMLP’s Current Report on Form 8-K dated June 2, 2020 (Commission</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File No. 001-35666))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94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jc w:val="both"/>
        <w:ind w:left="1340" w:right="20" w:hanging="964"/>
        <w:spacing w:after="0"/>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15">
        <w:r>
          <w:rPr>
            <w:rFonts w:ascii="Arial" w:cs="Arial" w:eastAsia="Arial" w:hAnsi="Arial"/>
            <w:sz w:val="18"/>
            <w:szCs w:val="18"/>
            <w:u w:val="single" w:color="auto"/>
            <w:color w:val="0000EE"/>
          </w:rPr>
          <w:t>Operation and Management Services Agreement, dated May 28, 2020, by and among Summit Midstream Partners, LP and</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Summit Operating Services Company, LLC (Incorporated herein by reference to Exhibit 10.8 to SMLP’s Current Report on</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Form 8-K dated June 2, 2020 (Commission File No. 001-35666))</w:t>
        </w:r>
      </w:hyperlink>
    </w:p>
    <w:p>
      <w:pPr>
        <w:ind w:left="1340" w:right="100" w:hanging="964"/>
        <w:spacing w:after="0" w:line="238"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16">
        <w:r>
          <w:rPr>
            <w:rFonts w:ascii="Arial" w:cs="Arial" w:eastAsia="Arial" w:hAnsi="Arial"/>
            <w:sz w:val="18"/>
            <w:szCs w:val="18"/>
            <w:u w:val="single" w:color="auto"/>
            <w:color w:val="0000EE"/>
          </w:rPr>
          <w:t>Term Loan Agreement, dated as of March 21, 2017, among Summit Midstream Partners Holdings, LLC, as borrower, the</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lenders party thereto and Credit Suisse AG, Cayman Islands Branch, as Administrative Agent and Collateral Agent</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(Incorporated herein by reference to Exhibit 10.9 to SMLP’s Current Report on Form 8-K dated June 2, 2020 (Commission</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File No. 001-35666))</w:t>
        </w:r>
      </w:hyperlink>
    </w:p>
    <w:p>
      <w:pPr>
        <w:spacing w:after="0" w:line="205" w:lineRule="exact"/>
        <w:rPr>
          <w:rFonts w:ascii="Arial" w:cs="Arial" w:eastAsia="Arial" w:hAnsi="Arial"/>
          <w:sz w:val="18"/>
          <w:szCs w:val="18"/>
          <w:u w:val="single" w:color="auto"/>
          <w:color w:val="0000EE"/>
        </w:rPr>
      </w:pPr>
    </w:p>
    <w:p>
      <w:pPr>
        <w:jc w:val="center"/>
        <w:ind w:right="-79"/>
        <w:spacing w:after="0"/>
        <w:rPr>
          <w:sz w:val="20"/>
          <w:szCs w:val="20"/>
          <w:color w:val="auto"/>
        </w:rPr>
      </w:pPr>
      <w:r>
        <w:rPr>
          <w:rFonts w:ascii="Arial" w:cs="Arial" w:eastAsia="Arial" w:hAnsi="Arial"/>
          <w:sz w:val="18"/>
          <w:szCs w:val="18"/>
          <w:color w:val="auto"/>
        </w:rPr>
        <w:t>68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rPr>
              <w:t>10.10</w:t>
            </w:r>
          </w:p>
        </w:tc>
        <w:tc>
          <w:tcPr>
            <w:tcW w:w="280" w:type="dxa"/>
            <w:vAlign w:val="bottom"/>
            <w:tcBorders>
              <w:bottom w:val="single" w:sz="8" w:color="CFF0FC"/>
            </w:tcBorders>
            <w:shd w:val="clear" w:color="auto" w:fill="CFF0FC"/>
          </w:tcPr>
          <w:p>
            <w:pPr>
              <w:spacing w:after="0"/>
              <w:rPr>
                <w:sz w:val="17"/>
                <w:szCs w:val="17"/>
                <w:color w:val="auto"/>
              </w:rPr>
            </w:pPr>
          </w:p>
        </w:tc>
        <w:tc>
          <w:tcPr>
            <w:tcW w:w="9560" w:type="dxa"/>
            <w:vAlign w:val="bottom"/>
            <w:tcBorders>
              <w:bottom w:val="single" w:sz="8" w:color="0000EE"/>
            </w:tcBorders>
            <w:gridSpan w:val="6"/>
            <w:shd w:val="clear" w:color="auto" w:fill="CFF0FC"/>
          </w:tcPr>
          <w:p>
            <w:pPr>
              <w:spacing w:after="0"/>
              <w:rPr>
                <w:rFonts w:ascii="Arial" w:cs="Arial" w:eastAsia="Arial" w:hAnsi="Arial"/>
                <w:sz w:val="18"/>
                <w:szCs w:val="18"/>
                <w:color w:val="0000EE"/>
                <w:w w:val="99"/>
              </w:rPr>
            </w:pPr>
            <w:hyperlink r:id="rId118">
              <w:r>
                <w:rPr>
                  <w:rFonts w:ascii="Arial" w:cs="Arial" w:eastAsia="Arial" w:hAnsi="Arial"/>
                  <w:sz w:val="18"/>
                  <w:szCs w:val="18"/>
                  <w:color w:val="0000EE"/>
                  <w:w w:val="99"/>
                </w:rPr>
                <w:t>Guarantee and Collateral Agreement, dated as of March 21, 2017, by and among Summit Midstream Partners Holdings,</w:t>
              </w:r>
            </w:hyperlink>
          </w:p>
        </w:tc>
        <w:tc>
          <w:tcPr>
            <w:tcW w:w="340" w:type="dxa"/>
            <w:vAlign w:val="bottom"/>
            <w:tcBorders>
              <w:bottom w:val="single" w:sz="8" w:color="CFF0FC"/>
            </w:tcBorders>
            <w:gridSpan w:val="3"/>
            <w:shd w:val="clear" w:color="auto" w:fill="CFF0FC"/>
          </w:tcPr>
          <w:p>
            <w:pPr>
              <w:spacing w:after="0"/>
              <w:rPr>
                <w:sz w:val="17"/>
                <w:szCs w:val="17"/>
                <w:color w:val="auto"/>
              </w:rPr>
            </w:pPr>
          </w:p>
        </w:tc>
      </w:tr>
      <w:tr>
        <w:trPr>
          <w:trHeight w:val="182"/>
        </w:trPr>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900" w:type="dxa"/>
            <w:vAlign w:val="bottom"/>
            <w:gridSpan w:val="9"/>
            <w:shd w:val="clear" w:color="auto" w:fill="CFF0FC"/>
          </w:tcPr>
          <w:p>
            <w:pPr>
              <w:spacing w:after="0" w:line="182" w:lineRule="exact"/>
              <w:rPr>
                <w:rFonts w:ascii="Arial" w:cs="Arial" w:eastAsia="Arial" w:hAnsi="Arial"/>
                <w:sz w:val="18"/>
                <w:szCs w:val="18"/>
                <w:color w:val="0000EE"/>
              </w:rPr>
            </w:pPr>
            <w:hyperlink r:id="rId118">
              <w:r>
                <w:rPr>
                  <w:rFonts w:ascii="Arial" w:cs="Arial" w:eastAsia="Arial" w:hAnsi="Arial"/>
                  <w:sz w:val="18"/>
                  <w:szCs w:val="18"/>
                  <w:color w:val="0000EE"/>
                </w:rPr>
                <w:t>LLC, as grantor, Summit Midstream Partners, LLC, as pledgor and grantor and Credit Suisse AG, Cayman Islands Branch,</w:t>
              </w:r>
            </w:hyperlink>
          </w:p>
        </w:tc>
      </w:tr>
      <w:tr>
        <w:trPr>
          <w:trHeight w:val="20"/>
        </w:trPr>
        <w:tc>
          <w:tcPr>
            <w:tcW w:w="10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r>
      <w:tr>
        <w:trPr>
          <w:trHeight w:val="183"/>
        </w:trPr>
        <w:tc>
          <w:tcPr>
            <w:tcW w:w="10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780" w:type="dxa"/>
            <w:vAlign w:val="bottom"/>
            <w:tcBorders>
              <w:bottom w:val="single" w:sz="8" w:color="0000EE"/>
              <w:right w:val="single" w:sz="8" w:color="CFF0FC"/>
            </w:tcBorders>
            <w:gridSpan w:val="7"/>
            <w:shd w:val="clear" w:color="auto" w:fill="CFF0FC"/>
          </w:tcPr>
          <w:p>
            <w:pPr>
              <w:spacing w:after="0" w:line="182" w:lineRule="exact"/>
              <w:rPr>
                <w:rFonts w:ascii="Arial" w:cs="Arial" w:eastAsia="Arial" w:hAnsi="Arial"/>
                <w:sz w:val="18"/>
                <w:szCs w:val="18"/>
                <w:color w:val="0000EE"/>
                <w:w w:val="99"/>
              </w:rPr>
            </w:pPr>
            <w:hyperlink r:id="rId118">
              <w:r>
                <w:rPr>
                  <w:rFonts w:ascii="Arial" w:cs="Arial" w:eastAsia="Arial" w:hAnsi="Arial"/>
                  <w:sz w:val="18"/>
                  <w:szCs w:val="18"/>
                  <w:color w:val="0000EE"/>
                  <w:w w:val="99"/>
                </w:rPr>
                <w:t>as collateral agent (Incorporated herein by reference to Exhibit 10.10 to SMLP’s Current Report on Form 8-K dated June 2,</w:t>
              </w:r>
            </w:hyperlink>
          </w:p>
        </w:tc>
        <w:tc>
          <w:tcPr>
            <w:tcW w:w="120" w:type="dxa"/>
            <w:vAlign w:val="bottom"/>
            <w:tcBorders>
              <w:bottom w:val="single" w:sz="8" w:color="CFF0FC"/>
            </w:tcBorders>
            <w:gridSpan w:val="2"/>
            <w:shd w:val="clear" w:color="auto" w:fill="CFF0FC"/>
          </w:tcPr>
          <w:p>
            <w:pPr>
              <w:spacing w:after="0"/>
              <w:rPr>
                <w:sz w:val="15"/>
                <w:szCs w:val="15"/>
                <w:color w:val="auto"/>
              </w:rPr>
            </w:pPr>
          </w:p>
        </w:tc>
      </w:tr>
      <w:tr>
        <w:trPr>
          <w:trHeight w:val="183"/>
        </w:trPr>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900" w:type="dxa"/>
            <w:vAlign w:val="bottom"/>
            <w:gridSpan w:val="9"/>
            <w:shd w:val="clear" w:color="auto" w:fill="CFF0FC"/>
          </w:tcPr>
          <w:p>
            <w:pPr>
              <w:spacing w:after="0" w:line="182" w:lineRule="exact"/>
              <w:rPr>
                <w:rFonts w:ascii="Arial" w:cs="Arial" w:eastAsia="Arial" w:hAnsi="Arial"/>
                <w:sz w:val="18"/>
                <w:szCs w:val="18"/>
                <w:color w:val="0000EE"/>
              </w:rPr>
            </w:pPr>
            <w:hyperlink r:id="rId118">
              <w:r>
                <w:rPr>
                  <w:rFonts w:ascii="Arial" w:cs="Arial" w:eastAsia="Arial" w:hAnsi="Arial"/>
                  <w:sz w:val="18"/>
                  <w:szCs w:val="18"/>
                  <w:color w:val="0000EE"/>
                </w:rPr>
                <w:t>2020 (Commission File No. 001-35666))</w:t>
              </w:r>
            </w:hyperlink>
          </w:p>
        </w:tc>
      </w:tr>
      <w:tr>
        <w:trPr>
          <w:trHeight w:val="27"/>
        </w:trPr>
        <w:tc>
          <w:tcPr>
            <w:tcW w:w="106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200" w:type="dxa"/>
            <w:vAlign w:val="bottom"/>
            <w:shd w:val="clear" w:color="auto" w:fill="0000EE"/>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1840" w:type="dxa"/>
            <w:vAlign w:val="bottom"/>
            <w:shd w:val="clear" w:color="auto" w:fill="CFF0FC"/>
          </w:tcPr>
          <w:p>
            <w:pPr>
              <w:spacing w:after="0"/>
              <w:rPr>
                <w:sz w:val="2"/>
                <w:szCs w:val="2"/>
                <w:color w:val="auto"/>
              </w:rPr>
            </w:pPr>
          </w:p>
        </w:tc>
        <w:tc>
          <w:tcPr>
            <w:tcW w:w="324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22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189"/>
        </w:trPr>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rPr>
              <w:t>10.11</w:t>
            </w:r>
          </w:p>
        </w:tc>
        <w:tc>
          <w:tcPr>
            <w:tcW w:w="10180" w:type="dxa"/>
            <w:vAlign w:val="bottom"/>
            <w:gridSpan w:val="10"/>
          </w:tcPr>
          <w:p>
            <w:pPr>
              <w:ind w:left="1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72">
              <w:r>
                <w:rPr>
                  <w:rFonts w:ascii="Arial" w:cs="Arial" w:eastAsia="Arial" w:hAnsi="Arial"/>
                  <w:sz w:val="18"/>
                  <w:szCs w:val="18"/>
                  <w:u w:val="single" w:color="auto"/>
                  <w:color w:val="0000EE"/>
                </w:rPr>
                <w:t>Amendment to Warrants to Purchase Common Units, dated August 7, 2020</w:t>
              </w:r>
            </w:hyperlink>
            <w:r>
              <w:rPr>
                <w:rFonts w:ascii="Arial" w:cs="Arial" w:eastAsia="Arial" w:hAnsi="Arial"/>
                <w:sz w:val="18"/>
                <w:szCs w:val="18"/>
                <w:color w:val="0000FF"/>
              </w:rPr>
              <w:t>,</w:t>
            </w:r>
            <w:r>
              <w:rPr>
                <w:rFonts w:ascii="Arial" w:cs="Arial" w:eastAsia="Arial" w:hAnsi="Arial"/>
                <w:sz w:val="18"/>
                <w:szCs w:val="18"/>
                <w:color w:val="auto"/>
              </w:rPr>
              <w:t xml:space="preserve"> </w:t>
            </w:r>
            <w:r>
              <w:rPr>
                <w:rFonts w:ascii="Arial" w:cs="Arial" w:eastAsia="Arial" w:hAnsi="Arial"/>
                <w:sz w:val="18"/>
                <w:szCs w:val="18"/>
                <w:color w:val="0000FF"/>
              </w:rPr>
              <w:t>by and among Summit Midstream Partners, LP,</w:t>
            </w:r>
          </w:p>
        </w:tc>
      </w:tr>
      <w:tr>
        <w:trPr>
          <w:trHeight w:val="18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0" w:type="dxa"/>
            <w:vAlign w:val="bottom"/>
            <w:gridSpan w:val="4"/>
          </w:tcPr>
          <w:p>
            <w:pPr>
              <w:spacing w:after="0" w:line="182" w:lineRule="exact"/>
              <w:rPr>
                <w:sz w:val="20"/>
                <w:szCs w:val="20"/>
                <w:color w:val="auto"/>
              </w:rPr>
            </w:pPr>
            <w:r>
              <w:rPr>
                <w:rFonts w:ascii="Arial" w:cs="Arial" w:eastAsia="Arial" w:hAnsi="Arial"/>
                <w:sz w:val="18"/>
                <w:szCs w:val="18"/>
                <w:color w:val="0000FF"/>
              </w:rPr>
              <w:t>SMP TopCo, LLC and SMLP Holdings, LLC</w:t>
            </w:r>
          </w:p>
        </w:tc>
        <w:tc>
          <w:tcPr>
            <w:tcW w:w="388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7"/>
        </w:trPr>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7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06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6"/>
              </w:rPr>
              <w:t>22.1</w:t>
            </w:r>
          </w:p>
        </w:tc>
        <w:tc>
          <w:tcPr>
            <w:tcW w:w="280" w:type="dxa"/>
            <w:vAlign w:val="bottom"/>
            <w:shd w:val="clear" w:color="auto" w:fill="CFF0FC"/>
          </w:tcPr>
          <w:p>
            <w:pPr>
              <w:spacing w:after="0"/>
              <w:rPr>
                <w:sz w:val="16"/>
                <w:szCs w:val="16"/>
                <w:color w:val="auto"/>
              </w:rPr>
            </w:pPr>
          </w:p>
        </w:tc>
        <w:tc>
          <w:tcPr>
            <w:tcW w:w="9900" w:type="dxa"/>
            <w:vAlign w:val="bottom"/>
            <w:gridSpan w:val="9"/>
            <w:shd w:val="clear" w:color="auto" w:fill="CFF0FC"/>
          </w:tcPr>
          <w:p>
            <w:pPr>
              <w:spacing w:after="0" w:line="189" w:lineRule="exact"/>
              <w:rPr>
                <w:rFonts w:ascii="Arial" w:cs="Arial" w:eastAsia="Arial" w:hAnsi="Arial"/>
                <w:sz w:val="18"/>
                <w:szCs w:val="18"/>
                <w:color w:val="0000EE"/>
              </w:rPr>
            </w:pPr>
            <w:hyperlink r:id="rId119">
              <w:r>
                <w:rPr>
                  <w:rFonts w:ascii="Arial" w:cs="Arial" w:eastAsia="Arial" w:hAnsi="Arial"/>
                  <w:sz w:val="18"/>
                  <w:szCs w:val="18"/>
                  <w:color w:val="0000EE"/>
                </w:rPr>
                <w:t>Summit Midstream Partners, LP Subsidiary Issuers and Guarantors of Registered Securities (Incorporated herein by</w:t>
              </w:r>
            </w:hyperlink>
          </w:p>
        </w:tc>
      </w:tr>
      <w:tr>
        <w:trPr>
          <w:trHeight w:val="209"/>
        </w:trPr>
        <w:tc>
          <w:tcPr>
            <w:tcW w:w="10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40" w:type="dxa"/>
            <w:vAlign w:val="bottom"/>
            <w:tcBorders>
              <w:top w:val="single" w:sz="8" w:color="0000EE"/>
            </w:tcBorders>
            <w:gridSpan w:val="5"/>
            <w:shd w:val="clear" w:color="auto" w:fill="CFF0FC"/>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reference to Exhibit 22.1 to SMLP's Report on Form 10-Q filed May 8, 2020 (Commission File No. 001-35666)</w:t>
              </w:r>
            </w:hyperlink>
          </w:p>
        </w:tc>
        <w:tc>
          <w:tcPr>
            <w:tcW w:w="660" w:type="dxa"/>
            <w:vAlign w:val="bottom"/>
            <w:tcBorders>
              <w:top w:val="single" w:sz="8" w:color="CFF0FC"/>
            </w:tcBorders>
            <w:gridSpan w:val="4"/>
            <w:shd w:val="clear" w:color="auto" w:fill="CFF0FC"/>
          </w:tcPr>
          <w:p>
            <w:pPr>
              <w:spacing w:after="0"/>
              <w:rPr>
                <w:sz w:val="18"/>
                <w:szCs w:val="18"/>
                <w:color w:val="auto"/>
              </w:rPr>
            </w:pP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280" w:type="dxa"/>
            <w:vAlign w:val="bottom"/>
          </w:tcPr>
          <w:p>
            <w:pPr>
              <w:spacing w:after="0"/>
              <w:rPr>
                <w:sz w:val="18"/>
                <w:szCs w:val="18"/>
                <w:color w:val="auto"/>
              </w:rPr>
            </w:pPr>
          </w:p>
        </w:tc>
        <w:tc>
          <w:tcPr>
            <w:tcW w:w="9900" w:type="dxa"/>
            <w:vAlign w:val="bottom"/>
            <w:gridSpan w:val="9"/>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Rule 13a-14(a)/15d-14(a) Certification, executed by Heath Deneke, President, Chief Executive Officer and Director</w:t>
              </w:r>
            </w:hyperlink>
          </w:p>
        </w:tc>
      </w:tr>
      <w:tr>
        <w:trPr>
          <w:trHeight w:val="216"/>
        </w:trPr>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31.2</w:t>
            </w:r>
          </w:p>
        </w:tc>
        <w:tc>
          <w:tcPr>
            <w:tcW w:w="280" w:type="dxa"/>
            <w:vAlign w:val="bottom"/>
            <w:shd w:val="clear" w:color="auto" w:fill="CFF0FC"/>
          </w:tcPr>
          <w:p>
            <w:pPr>
              <w:spacing w:after="0"/>
              <w:rPr>
                <w:sz w:val="18"/>
                <w:szCs w:val="18"/>
                <w:color w:val="auto"/>
              </w:rPr>
            </w:pPr>
          </w:p>
        </w:tc>
        <w:tc>
          <w:tcPr>
            <w:tcW w:w="9900" w:type="dxa"/>
            <w:vAlign w:val="bottom"/>
            <w:gridSpan w:val="9"/>
            <w:shd w:val="clear" w:color="auto" w:fill="CFF0FC"/>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Rule 13a-14(a)/15d-14(a) Certification, executed by Marc D. Stratton, Executive Vice President and Chief Financial Officer</w:t>
              </w:r>
            </w:hyperlink>
          </w:p>
        </w:tc>
      </w:tr>
      <w:tr>
        <w:trPr>
          <w:trHeight w:val="189"/>
        </w:trPr>
        <w:tc>
          <w:tcPr>
            <w:tcW w:w="1060" w:type="dxa"/>
            <w:vAlign w:val="bottom"/>
          </w:tcPr>
          <w:p>
            <w:pPr>
              <w:jc w:val="center"/>
              <w:spacing w:after="0" w:line="189" w:lineRule="exact"/>
              <w:rPr>
                <w:sz w:val="20"/>
                <w:szCs w:val="20"/>
                <w:color w:val="auto"/>
              </w:rPr>
            </w:pPr>
            <w:r>
              <w:rPr>
                <w:rFonts w:ascii="Arial" w:cs="Arial" w:eastAsia="Arial" w:hAnsi="Arial"/>
                <w:sz w:val="18"/>
                <w:szCs w:val="18"/>
                <w:color w:val="auto"/>
                <w:w w:val="96"/>
              </w:rPr>
              <w:t>32.1</w:t>
            </w:r>
          </w:p>
        </w:tc>
        <w:tc>
          <w:tcPr>
            <w:tcW w:w="280" w:type="dxa"/>
            <w:vAlign w:val="bottom"/>
          </w:tcPr>
          <w:p>
            <w:pPr>
              <w:spacing w:after="0"/>
              <w:rPr>
                <w:sz w:val="16"/>
                <w:szCs w:val="16"/>
                <w:color w:val="auto"/>
              </w:rPr>
            </w:pPr>
          </w:p>
        </w:tc>
        <w:tc>
          <w:tcPr>
            <w:tcW w:w="9780" w:type="dxa"/>
            <w:vAlign w:val="bottom"/>
            <w:tcBorders>
              <w:bottom w:val="single" w:sz="8" w:color="0000EE"/>
            </w:tcBorders>
            <w:gridSpan w:val="7"/>
          </w:tcPr>
          <w:p>
            <w:pPr>
              <w:spacing w:after="0" w:line="189"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Certifications required by Rule 13a-14(b) or Rule 15d-14(b) and Section 1350 of Chapter 63 of Title 18 of the United States</w:t>
              </w:r>
            </w:hyperlink>
          </w:p>
        </w:tc>
        <w:tc>
          <w:tcPr>
            <w:tcW w:w="120" w:type="dxa"/>
            <w:vAlign w:val="bottom"/>
            <w:gridSpan w:val="2"/>
          </w:tcPr>
          <w:p>
            <w:pPr>
              <w:spacing w:after="0"/>
              <w:rPr>
                <w:sz w:val="16"/>
                <w:szCs w:val="16"/>
                <w:color w:val="auto"/>
              </w:rPr>
            </w:pPr>
          </w:p>
        </w:tc>
      </w:tr>
      <w:tr>
        <w:trPr>
          <w:trHeight w:val="183"/>
        </w:trPr>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900" w:type="dxa"/>
            <w:vAlign w:val="bottom"/>
            <w:gridSpan w:val="9"/>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Code (18 U.S.C. 1350), executed by Heath Deneke, President, Chief Executive Officer and Director, and Marc D. Stratton,</w:t>
              </w:r>
            </w:hyperlink>
          </w:p>
        </w:tc>
      </w:tr>
      <w:tr>
        <w:trPr>
          <w:trHeight w:val="190"/>
        </w:trPr>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Executive Vice President and Chief Financial Officer</w:t>
              </w:r>
            </w:hyperlink>
          </w:p>
        </w:tc>
        <w:tc>
          <w:tcPr>
            <w:tcW w:w="5620" w:type="dxa"/>
            <w:vAlign w:val="bottom"/>
            <w:tcBorders>
              <w:top w:val="single" w:sz="8" w:color="0000EE"/>
            </w:tcBorders>
            <w:gridSpan w:val="4"/>
          </w:tcPr>
          <w:p>
            <w:pPr>
              <w:spacing w:after="0"/>
              <w:rPr>
                <w:sz w:val="16"/>
                <w:szCs w:val="16"/>
                <w:color w:val="auto"/>
              </w:rPr>
            </w:pPr>
          </w:p>
        </w:tc>
        <w:tc>
          <w:tcPr>
            <w:tcW w:w="120" w:type="dxa"/>
            <w:vAlign w:val="bottom"/>
            <w:gridSpan w:val="2"/>
          </w:tcPr>
          <w:p>
            <w:pPr>
              <w:spacing w:after="0"/>
              <w:rPr>
                <w:sz w:val="16"/>
                <w:szCs w:val="16"/>
                <w:color w:val="auto"/>
              </w:rPr>
            </w:pPr>
          </w:p>
        </w:tc>
      </w:tr>
      <w:tr>
        <w:trPr>
          <w:trHeight w:val="215"/>
        </w:trPr>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101.INS</w:t>
            </w:r>
          </w:p>
        </w:tc>
        <w:tc>
          <w:tcPr>
            <w:tcW w:w="10180" w:type="dxa"/>
            <w:vAlign w:val="bottom"/>
            <w:gridSpan w:val="10"/>
            <w:shd w:val="clear" w:color="auto" w:fill="CFF0FC"/>
          </w:tcPr>
          <w:p>
            <w:pPr>
              <w:ind w:left="140"/>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03"/>
        </w:trPr>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900" w:type="dxa"/>
            <w:vAlign w:val="bottom"/>
            <w:gridSpan w:val="9"/>
            <w:shd w:val="clear" w:color="auto" w:fill="CFF0FC"/>
          </w:tcPr>
          <w:p>
            <w:pPr>
              <w:spacing w:after="0" w:line="203" w:lineRule="exact"/>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rPr>
              <w:t>101.SCH</w:t>
            </w:r>
          </w:p>
        </w:tc>
        <w:tc>
          <w:tcPr>
            <w:tcW w:w="10180" w:type="dxa"/>
            <w:vAlign w:val="bottom"/>
            <w:gridSpan w:val="10"/>
          </w:tcPr>
          <w:p>
            <w:pPr>
              <w:ind w:left="140"/>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101.CAL</w:t>
            </w:r>
          </w:p>
        </w:tc>
        <w:tc>
          <w:tcPr>
            <w:tcW w:w="10180" w:type="dxa"/>
            <w:vAlign w:val="bottom"/>
            <w:gridSpan w:val="10"/>
            <w:shd w:val="clear" w:color="auto" w:fill="CFF0FC"/>
          </w:tcPr>
          <w:p>
            <w:pPr>
              <w:ind w:left="140"/>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06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10180" w:type="dxa"/>
            <w:vAlign w:val="bottom"/>
            <w:gridSpan w:val="10"/>
          </w:tcPr>
          <w:p>
            <w:pPr>
              <w:ind w:left="140"/>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101.LAB</w:t>
            </w:r>
          </w:p>
        </w:tc>
        <w:tc>
          <w:tcPr>
            <w:tcW w:w="10180" w:type="dxa"/>
            <w:vAlign w:val="bottom"/>
            <w:gridSpan w:val="10"/>
            <w:shd w:val="clear" w:color="auto" w:fill="CFF0FC"/>
          </w:tcPr>
          <w:p>
            <w:pPr>
              <w:ind w:left="140"/>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1060" w:type="dxa"/>
            <w:vAlign w:val="bottom"/>
          </w:tcPr>
          <w:p>
            <w:pPr>
              <w:jc w:val="center"/>
              <w:spacing w:after="0"/>
              <w:rPr>
                <w:sz w:val="20"/>
                <w:szCs w:val="20"/>
                <w:color w:val="auto"/>
              </w:rPr>
            </w:pPr>
            <w:r>
              <w:rPr>
                <w:rFonts w:ascii="Arial" w:cs="Arial" w:eastAsia="Arial" w:hAnsi="Arial"/>
                <w:sz w:val="18"/>
                <w:szCs w:val="18"/>
                <w:color w:val="auto"/>
                <w:w w:val="99"/>
              </w:rPr>
              <w:t>101.PRE</w:t>
            </w:r>
          </w:p>
        </w:tc>
        <w:tc>
          <w:tcPr>
            <w:tcW w:w="10180" w:type="dxa"/>
            <w:vAlign w:val="bottom"/>
            <w:gridSpan w:val="10"/>
          </w:tcPr>
          <w:p>
            <w:pPr>
              <w:ind w:left="14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760" w:firstLine="405"/>
        <w:spacing w:after="0" w:line="360" w:lineRule="auto"/>
        <w:tabs>
          <w:tab w:leader="none" w:pos="1183"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ind w:right="220" w:firstLine="8"/>
        <w:spacing w:after="0" w:line="238" w:lineRule="auto"/>
        <w:tabs>
          <w:tab w:leader="none" w:pos="1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48895</wp:posOffset>
            </wp:positionV>
            <wp:extent cx="40633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8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Summit Midstream GP, LLC (its General Partner)</w:t>
      </w:r>
    </w:p>
    <w:p>
      <w:pPr>
        <w:spacing w:after="0" w:line="194"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August 7, 2020</w:t>
      </w:r>
      <w:r>
        <w:rPr>
          <w:sz w:val="20"/>
          <w:szCs w:val="20"/>
          <w:color w:val="auto"/>
        </w:rPr>
        <w:tab/>
      </w: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60325</wp:posOffset>
            </wp:positionV>
            <wp:extent cx="40633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88" w:lineRule="exact"/>
        <w:rPr>
          <w:sz w:val="20"/>
          <w:szCs w:val="20"/>
          <w:color w:val="auto"/>
        </w:rPr>
      </w:pPr>
    </w:p>
    <w:p>
      <w:pPr>
        <w:ind w:left="4860"/>
        <w:spacing w:after="0" w:line="246" w:lineRule="auto"/>
        <w:rPr>
          <w:sz w:val="20"/>
          <w:szCs w:val="20"/>
          <w:color w:val="auto"/>
        </w:rPr>
      </w:pPr>
      <w:r>
        <w:rPr>
          <w:rFonts w:ascii="Arial" w:cs="Arial" w:eastAsia="Arial" w:hAnsi="Arial"/>
          <w:sz w:val="18"/>
          <w:szCs w:val="18"/>
          <w:color w:val="auto"/>
        </w:rPr>
        <w:t>Marc D. Stratton, Executive Vice President and Chief Financial Officer (Principal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33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10.11</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Summit Midstream Partners, LP</w:t>
      </w:r>
    </w:p>
    <w:p>
      <w:pPr>
        <w:jc w:val="center"/>
        <w:spacing w:after="0" w:line="238" w:lineRule="auto"/>
        <w:rPr>
          <w:sz w:val="20"/>
          <w:szCs w:val="20"/>
          <w:color w:val="auto"/>
        </w:rPr>
      </w:pPr>
      <w:r>
        <w:rPr>
          <w:rFonts w:ascii="Arial" w:cs="Arial" w:eastAsia="Arial" w:hAnsi="Arial"/>
          <w:sz w:val="22"/>
          <w:szCs w:val="22"/>
          <w:color w:val="auto"/>
        </w:rPr>
        <w:t>910 Louisiana Street, Suite 4200</w:t>
      </w:r>
    </w:p>
    <w:p>
      <w:pPr>
        <w:jc w:val="center"/>
        <w:spacing w:after="0"/>
        <w:rPr>
          <w:sz w:val="20"/>
          <w:szCs w:val="20"/>
          <w:color w:val="auto"/>
        </w:rPr>
      </w:pPr>
      <w:r>
        <w:rPr>
          <w:rFonts w:ascii="Arial" w:cs="Arial" w:eastAsia="Arial" w:hAnsi="Arial"/>
          <w:sz w:val="22"/>
          <w:szCs w:val="22"/>
          <w:color w:val="auto"/>
        </w:rPr>
        <w:t>Houston, TX 77002</w:t>
      </w:r>
    </w:p>
    <w:p>
      <w:pPr>
        <w:spacing w:after="0" w:line="188" w:lineRule="exact"/>
        <w:rPr>
          <w:sz w:val="20"/>
          <w:szCs w:val="20"/>
          <w:color w:val="auto"/>
        </w:rPr>
      </w:pPr>
    </w:p>
    <w:p>
      <w:pPr>
        <w:ind w:left="9920"/>
        <w:spacing w:after="0"/>
        <w:rPr>
          <w:sz w:val="20"/>
          <w:szCs w:val="20"/>
          <w:color w:val="auto"/>
        </w:rPr>
      </w:pPr>
      <w:r>
        <w:rPr>
          <w:rFonts w:ascii="Arial" w:cs="Arial" w:eastAsia="Arial" w:hAnsi="Arial"/>
          <w:sz w:val="19"/>
          <w:szCs w:val="19"/>
          <w:color w:val="auto"/>
        </w:rPr>
        <w:t>August 7, 2020</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color w:val="auto"/>
        </w:rPr>
        <w:t>Energy Capital Partners II-A, LP</w:t>
      </w:r>
    </w:p>
    <w:p>
      <w:pPr>
        <w:spacing w:after="0" w:line="238" w:lineRule="auto"/>
        <w:rPr>
          <w:sz w:val="20"/>
          <w:szCs w:val="20"/>
          <w:color w:val="auto"/>
        </w:rPr>
      </w:pPr>
      <w:r>
        <w:rPr>
          <w:rFonts w:ascii="Arial" w:cs="Arial" w:eastAsia="Arial" w:hAnsi="Arial"/>
          <w:sz w:val="22"/>
          <w:szCs w:val="22"/>
          <w:color w:val="auto"/>
        </w:rPr>
        <w:t>12680 High Bluff Drive, Suite 400</w:t>
      </w:r>
    </w:p>
    <w:p>
      <w:pPr>
        <w:spacing w:after="0" w:line="230" w:lineRule="auto"/>
        <w:rPr>
          <w:sz w:val="20"/>
          <w:szCs w:val="20"/>
          <w:color w:val="auto"/>
        </w:rPr>
      </w:pPr>
      <w:r>
        <w:rPr>
          <w:rFonts w:ascii="Arial" w:cs="Arial" w:eastAsia="Arial" w:hAnsi="Arial"/>
          <w:sz w:val="22"/>
          <w:szCs w:val="22"/>
          <w:color w:val="auto"/>
        </w:rPr>
        <w:t>San Diego, California 92130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Chris Leininger</w:t>
      </w:r>
    </w:p>
    <w:p>
      <w:pPr>
        <w:spacing w:after="0" w:line="200" w:lineRule="exact"/>
        <w:rPr>
          <w:sz w:val="20"/>
          <w:szCs w:val="20"/>
          <w:color w:val="auto"/>
        </w:rPr>
      </w:pPr>
    </w:p>
    <w:p>
      <w:pPr>
        <w:spacing w:after="0" w:line="231"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Amendment to Warrants to Purchase Common Units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Reference is made to the (i) Warrant to Purchase Common Units dated May 28, 2020, relating to up to 1,940,391 Common Units (“</w:t>
      </w:r>
      <w:r>
        <w:rPr>
          <w:rFonts w:ascii="Arial" w:cs="Arial" w:eastAsia="Arial" w:hAnsi="Arial"/>
          <w:sz w:val="19"/>
          <w:szCs w:val="19"/>
          <w:b w:val="1"/>
          <w:bCs w:val="1"/>
          <w:color w:val="auto"/>
        </w:rPr>
        <w:t>Warrant No. 1</w:t>
      </w:r>
      <w:r>
        <w:rPr>
          <w:rFonts w:ascii="Arial" w:cs="Arial" w:eastAsia="Arial" w:hAnsi="Arial"/>
          <w:sz w:val="19"/>
          <w:szCs w:val="19"/>
          <w:color w:val="auto"/>
        </w:rPr>
        <w:t>”) of Summit Midstream Partners, LP, a Delaware limited partnership (the “</w:t>
      </w:r>
      <w:r>
        <w:rPr>
          <w:rFonts w:ascii="Arial" w:cs="Arial" w:eastAsia="Arial" w:hAnsi="Arial"/>
          <w:sz w:val="19"/>
          <w:szCs w:val="19"/>
          <w:b w:val="1"/>
          <w:bCs w:val="1"/>
          <w:color w:val="auto"/>
        </w:rPr>
        <w:t>Partnership</w:t>
      </w:r>
      <w:r>
        <w:rPr>
          <w:rFonts w:ascii="Arial" w:cs="Arial" w:eastAsia="Arial" w:hAnsi="Arial"/>
          <w:sz w:val="19"/>
          <w:szCs w:val="19"/>
          <w:color w:val="auto"/>
        </w:rPr>
        <w:t>”), and (ii) Warrant to Purchase Common Units dated May 28, 2020, relating to up to 8,059,609 Common Units of the Partnership (“</w:t>
      </w:r>
      <w:r>
        <w:rPr>
          <w:rFonts w:ascii="Arial" w:cs="Arial" w:eastAsia="Arial" w:hAnsi="Arial"/>
          <w:sz w:val="19"/>
          <w:szCs w:val="19"/>
          <w:b w:val="1"/>
          <w:bCs w:val="1"/>
          <w:color w:val="auto"/>
        </w:rPr>
        <w:t>Warrant No. 2</w:t>
      </w:r>
      <w:r>
        <w:rPr>
          <w:rFonts w:ascii="Arial" w:cs="Arial" w:eastAsia="Arial" w:hAnsi="Arial"/>
          <w:sz w:val="19"/>
          <w:szCs w:val="19"/>
          <w:color w:val="auto"/>
        </w:rPr>
        <w:t>”, and together with Warrant No. 1, the “</w:t>
      </w:r>
      <w:r>
        <w:rPr>
          <w:rFonts w:ascii="Arial" w:cs="Arial" w:eastAsia="Arial" w:hAnsi="Arial"/>
          <w:sz w:val="19"/>
          <w:szCs w:val="19"/>
          <w:b w:val="1"/>
          <w:bCs w:val="1"/>
          <w:color w:val="auto"/>
        </w:rPr>
        <w:t>Warrants</w:t>
      </w:r>
      <w:r>
        <w:rPr>
          <w:rFonts w:ascii="Arial" w:cs="Arial" w:eastAsia="Arial" w:hAnsi="Arial"/>
          <w:sz w:val="19"/>
          <w:szCs w:val="19"/>
          <w:color w:val="auto"/>
        </w:rPr>
        <w:t>”). Capitalized terms used in this letter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but not otherwise defined in this Amendment shall have the respective meanings assigned to such terms in the Warrants. The purpose of this Amendment is to amend each of the Warrants as provided herein.</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On the date hereof, the Partnership has repaid in full the “Loans” (as such term is defined in the respective Term Loans) under each of the (i) Term Loan Credit Agreement dated as of May 28, 2020, among Summit Midstream Holdings, LLC, a Delaware limited liability company (the “</w:t>
      </w:r>
      <w:r>
        <w:rPr>
          <w:rFonts w:ascii="Arial" w:cs="Arial" w:eastAsia="Arial" w:hAnsi="Arial"/>
          <w:sz w:val="19"/>
          <w:szCs w:val="19"/>
          <w:b w:val="1"/>
          <w:bCs w:val="1"/>
          <w:color w:val="auto"/>
        </w:rPr>
        <w:t>Borrower</w:t>
      </w:r>
      <w:r>
        <w:rPr>
          <w:rFonts w:ascii="Arial" w:cs="Arial" w:eastAsia="Arial" w:hAnsi="Arial"/>
          <w:sz w:val="19"/>
          <w:szCs w:val="19"/>
          <w:color w:val="auto"/>
        </w:rPr>
        <w:t>”), SMP Topco, LLC, as administrative agent, and SMLP Holdings, LLC, as lender (“</w:t>
      </w:r>
      <w:r>
        <w:rPr>
          <w:rFonts w:ascii="Arial" w:cs="Arial" w:eastAsia="Arial" w:hAnsi="Arial"/>
          <w:sz w:val="19"/>
          <w:szCs w:val="19"/>
          <w:b w:val="1"/>
          <w:bCs w:val="1"/>
          <w:color w:val="auto"/>
        </w:rPr>
        <w:t>Term Loan 1</w:t>
      </w:r>
      <w:r>
        <w:rPr>
          <w:rFonts w:ascii="Arial" w:cs="Arial" w:eastAsia="Arial" w:hAnsi="Arial"/>
          <w:sz w:val="19"/>
          <w:szCs w:val="19"/>
          <w:color w:val="auto"/>
        </w:rPr>
        <w:t>”), and (ii) Term Loan Credit Agreement dated as of May 28, 2020, between Borrower and SMP Topco, LLC, as administrative agent and lender (“</w:t>
      </w:r>
      <w:r>
        <w:rPr>
          <w:rFonts w:ascii="Arial" w:cs="Arial" w:eastAsia="Arial" w:hAnsi="Arial"/>
          <w:sz w:val="19"/>
          <w:szCs w:val="19"/>
          <w:b w:val="1"/>
          <w:bCs w:val="1"/>
          <w:color w:val="auto"/>
        </w:rPr>
        <w:t>Term Loan 2</w:t>
      </w:r>
      <w:r>
        <w:rPr>
          <w:rFonts w:ascii="Arial" w:cs="Arial" w:eastAsia="Arial" w:hAnsi="Arial"/>
          <w:sz w:val="19"/>
          <w:szCs w:val="19"/>
          <w:color w:val="auto"/>
        </w:rPr>
        <w:t>” and together with Term Loan 1, the “</w:t>
      </w:r>
      <w:r>
        <w:rPr>
          <w:rFonts w:ascii="Arial" w:cs="Arial" w:eastAsia="Arial" w:hAnsi="Arial"/>
          <w:sz w:val="19"/>
          <w:szCs w:val="19"/>
          <w:b w:val="1"/>
          <w:bCs w:val="1"/>
          <w:color w:val="auto"/>
        </w:rPr>
        <w:t>Term Loans</w:t>
      </w:r>
      <w:r>
        <w:rPr>
          <w:rFonts w:ascii="Arial" w:cs="Arial" w:eastAsia="Arial" w:hAnsi="Arial"/>
          <w:sz w:val="19"/>
          <w:szCs w:val="19"/>
          <w:color w:val="auto"/>
        </w:rPr>
        <w:t>”).</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For good and valuable consideration, the receipt and sufficiency of which are hereby acknowledged, each of the parties hereto agree as follows:</w:t>
      </w:r>
    </w:p>
    <w:p>
      <w:pPr>
        <w:spacing w:after="0" w:line="175" w:lineRule="exact"/>
        <w:rPr>
          <w:sz w:val="20"/>
          <w:szCs w:val="20"/>
          <w:color w:val="auto"/>
        </w:rPr>
      </w:pPr>
    </w:p>
    <w:p>
      <w:pPr>
        <w:ind w:left="1740" w:hanging="436"/>
        <w:spacing w:after="0"/>
        <w:tabs>
          <w:tab w:leader="none" w:pos="1740" w:val="left"/>
        </w:tabs>
        <w:numPr>
          <w:ilvl w:val="0"/>
          <w:numId w:val="61"/>
        </w:numPr>
        <w:rPr>
          <w:rFonts w:ascii="Arial" w:cs="Arial" w:eastAsia="Arial" w:hAnsi="Arial"/>
          <w:sz w:val="22"/>
          <w:szCs w:val="22"/>
          <w:color w:val="auto"/>
        </w:rPr>
      </w:pPr>
      <w:r>
        <w:rPr>
          <w:rFonts w:ascii="Arial" w:cs="Arial" w:eastAsia="Arial" w:hAnsi="Arial"/>
          <w:sz w:val="22"/>
          <w:szCs w:val="22"/>
          <w:color w:val="auto"/>
        </w:rPr>
        <w:t>Section 3 of each of the Warrants is hereby amended by adding a new Section 3(j) as follows:</w:t>
      </w:r>
    </w:p>
    <w:p>
      <w:pPr>
        <w:spacing w:after="0" w:line="206" w:lineRule="exact"/>
        <w:rPr>
          <w:sz w:val="20"/>
          <w:szCs w:val="20"/>
          <w:color w:val="auto"/>
        </w:rPr>
      </w:pPr>
    </w:p>
    <w:p>
      <w:pPr>
        <w:ind w:left="1740" w:right="20"/>
        <w:spacing w:after="0" w:line="250" w:lineRule="auto"/>
        <w:rPr>
          <w:sz w:val="20"/>
          <w:szCs w:val="20"/>
          <w:color w:val="auto"/>
        </w:rPr>
      </w:pPr>
      <w:r>
        <w:rPr>
          <w:rFonts w:ascii="Arial" w:cs="Arial" w:eastAsia="Arial" w:hAnsi="Arial"/>
          <w:sz w:val="22"/>
          <w:szCs w:val="22"/>
          <w:color w:val="auto"/>
        </w:rPr>
        <w:t xml:space="preserve">“(j) Prior to February 28, 2021, in the event the Warrantholder elects to exercise this Warrant pursuant to </w:t>
      </w:r>
      <w:r>
        <w:rPr>
          <w:rFonts w:ascii="Arial" w:cs="Arial" w:eastAsia="Arial" w:hAnsi="Arial"/>
          <w:sz w:val="22"/>
          <w:szCs w:val="22"/>
          <w:u w:val="single" w:color="auto"/>
          <w:color w:val="auto"/>
        </w:rPr>
        <w:t>Section 3(d)</w:t>
      </w:r>
      <w:r>
        <w:rPr>
          <w:rFonts w:ascii="Arial" w:cs="Arial" w:eastAsia="Arial" w:hAnsi="Arial"/>
          <w:sz w:val="22"/>
          <w:szCs w:val="22"/>
          <w:color w:val="auto"/>
        </w:rPr>
        <w:t xml:space="preserve"> as to all or any portion of the Warrant Units,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2" w:name="page73"/>
    <w:bookmarkEnd w:id="72"/>
    <w:p>
      <w:pPr>
        <w:jc w:val="both"/>
        <w:ind w:left="620"/>
        <w:spacing w:after="0" w:line="246" w:lineRule="auto"/>
        <w:rPr>
          <w:sz w:val="20"/>
          <w:szCs w:val="20"/>
          <w:color w:val="auto"/>
        </w:rPr>
      </w:pPr>
      <w:r>
        <w:rPr>
          <w:rFonts w:ascii="Arial" w:cs="Arial" w:eastAsia="Arial" w:hAnsi="Arial"/>
          <w:sz w:val="21"/>
          <w:szCs w:val="21"/>
          <w:color w:val="auto"/>
        </w:rPr>
        <w:t>the Warrantholder hereby agrees, at the election and upon written request of the Partnership in its sole discretion (which request (a “</w:t>
      </w:r>
      <w:r>
        <w:rPr>
          <w:rFonts w:ascii="Arial" w:cs="Arial" w:eastAsia="Arial" w:hAnsi="Arial"/>
          <w:sz w:val="21"/>
          <w:szCs w:val="21"/>
          <w:b w:val="1"/>
          <w:bCs w:val="1"/>
          <w:color w:val="auto"/>
        </w:rPr>
        <w:t>New ECP Term Loan Election</w:t>
      </w:r>
      <w:r>
        <w:rPr>
          <w:rFonts w:ascii="Arial" w:cs="Arial" w:eastAsia="Arial" w:hAnsi="Arial"/>
          <w:sz w:val="21"/>
          <w:szCs w:val="21"/>
          <w:color w:val="auto"/>
        </w:rPr>
        <w:t>”) shall be delivered to the Warrantholder within five (5) Business Days of receipt of the applicable Notice of Exercise) to loan to the Borrower (each such loan, a “</w:t>
      </w:r>
      <w:r>
        <w:rPr>
          <w:rFonts w:ascii="Arial" w:cs="Arial" w:eastAsia="Arial" w:hAnsi="Arial"/>
          <w:sz w:val="21"/>
          <w:szCs w:val="21"/>
          <w:b w:val="1"/>
          <w:bCs w:val="1"/>
          <w:color w:val="auto"/>
        </w:rPr>
        <w:t>New ECP Term Loan</w:t>
      </w:r>
      <w:r>
        <w:rPr>
          <w:rFonts w:ascii="Arial" w:cs="Arial" w:eastAsia="Arial" w:hAnsi="Arial"/>
          <w:sz w:val="21"/>
          <w:szCs w:val="21"/>
          <w:color w:val="auto"/>
        </w:rPr>
        <w:t xml:space="preserve">”) the entire amount of cash received from such exercise. The terms and provisions provided for in the definitive documentation with respect to each New ECP Term Loan shall be substantially similar to the definitive documentation (including but not limited to all opinions, certificates, security documents, subordination agreements and intercreditor agreements) executed in connection with the Term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80" w:lineRule="exact"/>
        <w:rPr>
          <w:sz w:val="20"/>
          <w:szCs w:val="20"/>
          <w:color w:val="auto"/>
        </w:rPr>
      </w:pPr>
    </w:p>
    <w:p>
      <w:pPr>
        <w:jc w:val="both"/>
        <w:ind w:left="1920" w:hanging="8"/>
        <w:spacing w:after="0" w:line="273" w:lineRule="auto"/>
        <w:tabs>
          <w:tab w:leader="none" w:pos="2772"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following terms and provisions shall be consistent with the comparable terms or provisions set forth in the Third Amended and Restated Credit Agreement, dated as of May 26, 2017, among the Borrower, the lenders party thereto and Wells Fargo Bank, N.A., as administrative agent, as in effect on the date hereof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 if any such term or provision in the Credit Agreement or definitive documentation related thereto is amended, restated, amended and restated or supplemented after the date hereof (including after the making of any New ECP Term Loan), the comparable term or provision in the definitive documentation with respect to such New ECP Term Loan, if any, shall concurrently therewith be automatically deemed to be amended, modified or supplemented to give effect to such amendment, restatement, amendment and restatement or supplement):</w:t>
      </w:r>
    </w:p>
    <w:p>
      <w:pPr>
        <w:spacing w:after="0" w:line="160" w:lineRule="exact"/>
        <w:rPr>
          <w:rFonts w:ascii="Arial" w:cs="Arial" w:eastAsia="Arial" w:hAnsi="Arial"/>
          <w:sz w:val="19"/>
          <w:szCs w:val="19"/>
          <w:color w:val="auto"/>
        </w:rPr>
      </w:pPr>
    </w:p>
    <w:p>
      <w:pPr>
        <w:ind w:left="2780" w:hanging="436"/>
        <w:spacing w:after="0"/>
        <w:tabs>
          <w:tab w:leader="none" w:pos="2780"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definition of “Permitted Business Acquisition”;</w:t>
      </w:r>
    </w:p>
    <w:p>
      <w:pPr>
        <w:spacing w:after="0" w:line="206" w:lineRule="exact"/>
        <w:rPr>
          <w:rFonts w:ascii="Arial" w:cs="Arial" w:eastAsia="Arial" w:hAnsi="Arial"/>
          <w:sz w:val="22"/>
          <w:szCs w:val="22"/>
          <w:color w:val="auto"/>
        </w:rPr>
      </w:pPr>
    </w:p>
    <w:p>
      <w:pPr>
        <w:ind w:left="2780" w:hanging="436"/>
        <w:spacing w:after="0"/>
        <w:tabs>
          <w:tab w:leader="none" w:pos="2780"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following representations and warranties: Use of Proceeds;</w:t>
      </w:r>
    </w:p>
    <w:p>
      <w:pPr>
        <w:spacing w:after="0" w:line="206" w:lineRule="exact"/>
        <w:rPr>
          <w:rFonts w:ascii="Arial" w:cs="Arial" w:eastAsia="Arial" w:hAnsi="Arial"/>
          <w:sz w:val="22"/>
          <w:szCs w:val="22"/>
          <w:color w:val="auto"/>
        </w:rPr>
      </w:pPr>
    </w:p>
    <w:p>
      <w:pPr>
        <w:ind w:left="2780" w:hanging="436"/>
        <w:spacing w:after="0"/>
        <w:tabs>
          <w:tab w:leader="none" w:pos="2780" w:val="left"/>
        </w:tabs>
        <w:numPr>
          <w:ilvl w:val="1"/>
          <w:numId w:val="62"/>
        </w:numPr>
        <w:rPr>
          <w:rFonts w:ascii="Arial" w:cs="Arial" w:eastAsia="Arial" w:hAnsi="Arial"/>
          <w:sz w:val="22"/>
          <w:szCs w:val="22"/>
          <w:color w:val="auto"/>
        </w:rPr>
      </w:pPr>
      <w:r>
        <w:rPr>
          <w:rFonts w:ascii="Arial" w:cs="Arial" w:eastAsia="Arial" w:hAnsi="Arial"/>
          <w:sz w:val="22"/>
          <w:szCs w:val="22"/>
          <w:color w:val="auto"/>
        </w:rPr>
        <w:t>Affirmative covenants other than:</w:t>
      </w:r>
    </w:p>
    <w:p>
      <w:pPr>
        <w:spacing w:after="0" w:line="206" w:lineRule="exact"/>
        <w:rPr>
          <w:sz w:val="20"/>
          <w:szCs w:val="20"/>
          <w:color w:val="auto"/>
        </w:rPr>
      </w:pPr>
    </w:p>
    <w:p>
      <w:pPr>
        <w:ind w:left="3620" w:hanging="426"/>
        <w:spacing w:after="0"/>
        <w:tabs>
          <w:tab w:leader="none" w:pos="3620" w:val="left"/>
        </w:tabs>
        <w:numPr>
          <w:ilvl w:val="1"/>
          <w:numId w:val="63"/>
        </w:numPr>
        <w:rPr>
          <w:rFonts w:ascii="Courier New" w:cs="Courier New" w:eastAsia="Courier New" w:hAnsi="Courier New"/>
          <w:sz w:val="22"/>
          <w:szCs w:val="22"/>
          <w:color w:val="auto"/>
        </w:rPr>
      </w:pPr>
      <w:r>
        <w:rPr>
          <w:rFonts w:ascii="Arial" w:cs="Arial" w:eastAsia="Arial" w:hAnsi="Arial"/>
          <w:sz w:val="22"/>
          <w:szCs w:val="22"/>
          <w:color w:val="auto"/>
        </w:rPr>
        <w:t>Insurance;</w:t>
      </w:r>
    </w:p>
    <w:p>
      <w:pPr>
        <w:spacing w:after="0" w:line="186" w:lineRule="exact"/>
        <w:rPr>
          <w:rFonts w:ascii="Courier New" w:cs="Courier New" w:eastAsia="Courier New" w:hAnsi="Courier New"/>
          <w:sz w:val="22"/>
          <w:szCs w:val="22"/>
          <w:color w:val="auto"/>
        </w:rPr>
      </w:pPr>
    </w:p>
    <w:p>
      <w:pPr>
        <w:ind w:left="3620" w:hanging="426"/>
        <w:spacing w:after="0" w:line="309" w:lineRule="auto"/>
        <w:tabs>
          <w:tab w:leader="none" w:pos="3620" w:val="left"/>
        </w:tabs>
        <w:numPr>
          <w:ilvl w:val="1"/>
          <w:numId w:val="63"/>
        </w:numPr>
        <w:rPr>
          <w:rFonts w:ascii="Courier New" w:cs="Courier New" w:eastAsia="Courier New" w:hAnsi="Courier New"/>
          <w:sz w:val="19"/>
          <w:szCs w:val="19"/>
          <w:color w:val="auto"/>
        </w:rPr>
      </w:pPr>
      <w:r>
        <w:rPr>
          <w:rFonts w:ascii="Arial" w:cs="Arial" w:eastAsia="Arial" w:hAnsi="Arial"/>
          <w:sz w:val="19"/>
          <w:szCs w:val="19"/>
          <w:color w:val="auto"/>
        </w:rPr>
        <w:t>Any requirements to deliver perfection certificates pursuant to Section 5.04(e) (Financial Statements, Reports, Copies of Contracts, Etc.) thereof;</w:t>
      </w:r>
    </w:p>
    <w:p>
      <w:pPr>
        <w:spacing w:after="0" w:line="117" w:lineRule="exact"/>
        <w:rPr>
          <w:rFonts w:ascii="Courier New" w:cs="Courier New" w:eastAsia="Courier New" w:hAnsi="Courier New"/>
          <w:sz w:val="19"/>
          <w:szCs w:val="19"/>
          <w:color w:val="auto"/>
        </w:rPr>
      </w:pPr>
    </w:p>
    <w:p>
      <w:pPr>
        <w:ind w:left="3620" w:hanging="426"/>
        <w:spacing w:after="0" w:line="236" w:lineRule="auto"/>
        <w:tabs>
          <w:tab w:leader="none" w:pos="3620" w:val="left"/>
        </w:tabs>
        <w:numPr>
          <w:ilvl w:val="1"/>
          <w:numId w:val="63"/>
        </w:numPr>
        <w:rPr>
          <w:rFonts w:ascii="Courier New" w:cs="Courier New" w:eastAsia="Courier New" w:hAnsi="Courier New"/>
          <w:sz w:val="22"/>
          <w:szCs w:val="22"/>
          <w:color w:val="auto"/>
        </w:rPr>
      </w:pPr>
      <w:r>
        <w:rPr>
          <w:rFonts w:ascii="Arial" w:cs="Arial" w:eastAsia="Arial" w:hAnsi="Arial"/>
          <w:sz w:val="22"/>
          <w:szCs w:val="22"/>
          <w:color w:val="auto"/>
        </w:rPr>
        <w:t>Further Assurances; Additional Subsidiary Loan Parties and Collateral; and</w:t>
      </w:r>
    </w:p>
    <w:p>
      <w:pPr>
        <w:spacing w:after="0" w:line="185" w:lineRule="exact"/>
        <w:rPr>
          <w:rFonts w:ascii="Courier New" w:cs="Courier New" w:eastAsia="Courier New" w:hAnsi="Courier New"/>
          <w:sz w:val="22"/>
          <w:szCs w:val="22"/>
          <w:color w:val="auto"/>
        </w:rPr>
      </w:pPr>
    </w:p>
    <w:p>
      <w:pPr>
        <w:ind w:left="3620" w:hanging="426"/>
        <w:spacing w:after="0"/>
        <w:tabs>
          <w:tab w:leader="none" w:pos="3620" w:val="left"/>
        </w:tabs>
        <w:numPr>
          <w:ilvl w:val="1"/>
          <w:numId w:val="63"/>
        </w:numPr>
        <w:rPr>
          <w:rFonts w:ascii="Courier New" w:cs="Courier New" w:eastAsia="Courier New" w:hAnsi="Courier New"/>
          <w:sz w:val="22"/>
          <w:szCs w:val="22"/>
          <w:color w:val="auto"/>
        </w:rPr>
      </w:pPr>
      <w:r>
        <w:rPr>
          <w:rFonts w:ascii="Arial" w:cs="Arial" w:eastAsia="Arial" w:hAnsi="Arial"/>
          <w:sz w:val="22"/>
          <w:szCs w:val="22"/>
          <w:color w:val="auto"/>
        </w:rPr>
        <w:t>Post-Closing Conditions;</w:t>
      </w:r>
    </w:p>
    <w:p>
      <w:pPr>
        <w:spacing w:after="0" w:line="186" w:lineRule="exact"/>
        <w:rPr>
          <w:rFonts w:ascii="Courier New" w:cs="Courier New" w:eastAsia="Courier New" w:hAnsi="Courier New"/>
          <w:sz w:val="22"/>
          <w:szCs w:val="22"/>
          <w:color w:val="auto"/>
        </w:rPr>
      </w:pPr>
    </w:p>
    <w:p>
      <w:pPr>
        <w:ind w:left="2780" w:hanging="436"/>
        <w:spacing w:after="0" w:line="250" w:lineRule="auto"/>
        <w:tabs>
          <w:tab w:leader="none" w:pos="27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Negative covenants, provided that the following modifications shall be made in the definitive documentation for each New ECP Term Loan:</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229870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73" w:name="page74"/>
    <w:bookmarkEnd w:id="73"/>
    <w:p>
      <w:pPr>
        <w:ind w:left="3620" w:hanging="426"/>
        <w:spacing w:after="0" w:line="236" w:lineRule="auto"/>
        <w:tabs>
          <w:tab w:leader="none" w:pos="3620" w:val="left"/>
        </w:tabs>
        <w:numPr>
          <w:ilvl w:val="0"/>
          <w:numId w:val="64"/>
        </w:numPr>
        <w:rPr>
          <w:rFonts w:ascii="Courier New" w:cs="Courier New" w:eastAsia="Courier New" w:hAnsi="Courier New"/>
          <w:sz w:val="22"/>
          <w:szCs w:val="22"/>
          <w:color w:val="auto"/>
        </w:rPr>
      </w:pPr>
      <w:r>
        <w:rPr>
          <w:rFonts w:ascii="Arial" w:cs="Arial" w:eastAsia="Arial" w:hAnsi="Arial"/>
          <w:sz w:val="22"/>
          <w:szCs w:val="22"/>
          <w:color w:val="auto"/>
        </w:rPr>
        <w:t>Indebtedness and Liens: the following modifications shall be made to the comparable baskets in the Credit Agreement (if any):</w:t>
      </w:r>
    </w:p>
    <w:p>
      <w:pPr>
        <w:spacing w:after="0" w:line="185" w:lineRule="exact"/>
        <w:rPr>
          <w:rFonts w:ascii="Courier New" w:cs="Courier New" w:eastAsia="Courier New" w:hAnsi="Courier New"/>
          <w:sz w:val="22"/>
          <w:szCs w:val="22"/>
          <w:color w:val="auto"/>
        </w:rPr>
      </w:pPr>
    </w:p>
    <w:p>
      <w:pPr>
        <w:jc w:val="both"/>
        <w:ind w:left="4500" w:hanging="442"/>
        <w:spacing w:after="0" w:line="235" w:lineRule="auto"/>
        <w:tabs>
          <w:tab w:leader="none" w:pos="45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Indebtedness supported by a Letter of Credit (as defined in the Credit Agreement), in a principal amount not in excess of the stated amount of such Letter of Credit; provided that such Indebtedness is subject at all times to the Intercreditor Agreement (as defined in the Term Loans), and Liens supporting such Indebtedness;</w:t>
      </w:r>
    </w:p>
    <w:p>
      <w:pPr>
        <w:spacing w:after="0" w:line="187" w:lineRule="exact"/>
        <w:rPr>
          <w:rFonts w:ascii="Arial" w:cs="Arial" w:eastAsia="Arial" w:hAnsi="Arial"/>
          <w:sz w:val="22"/>
          <w:szCs w:val="22"/>
          <w:color w:val="auto"/>
        </w:rPr>
      </w:pPr>
    </w:p>
    <w:p>
      <w:pPr>
        <w:jc w:val="both"/>
        <w:ind w:left="4500" w:hanging="442"/>
        <w:spacing w:after="0" w:line="279" w:lineRule="auto"/>
        <w:tabs>
          <w:tab w:leader="none" w:pos="45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Indebtedness incurred under the Credit Agreement and Indebtedness of the Borrower and the Restricted Subsidiaries (as defined in the Term Loans) pursuant to Secured Swap Agreements (as defined in the Credit Agreement); provided that such Indebtedness is subject at all times to the Intercreditor Agreement, and Liens supporting such Indebtedness; and</w:t>
      </w:r>
    </w:p>
    <w:p>
      <w:pPr>
        <w:spacing w:after="0" w:line="150" w:lineRule="exact"/>
        <w:rPr>
          <w:rFonts w:ascii="Arial" w:cs="Arial" w:eastAsia="Arial" w:hAnsi="Arial"/>
          <w:sz w:val="19"/>
          <w:szCs w:val="19"/>
          <w:color w:val="auto"/>
        </w:rPr>
      </w:pPr>
    </w:p>
    <w:p>
      <w:pPr>
        <w:jc w:val="both"/>
        <w:ind w:left="4500" w:hanging="442"/>
        <w:spacing w:after="0" w:line="238" w:lineRule="auto"/>
        <w:tabs>
          <w:tab w:leader="none" w:pos="45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Indebtedness incurred under any other New ECP Term Loan; provided that such Indebtedness is subject at all times to the Intercreditor Agreement, and Liens supporting such Indebtedness;</w:t>
      </w:r>
    </w:p>
    <w:p>
      <w:pPr>
        <w:spacing w:after="0" w:line="184" w:lineRule="exact"/>
        <w:rPr>
          <w:rFonts w:ascii="Arial" w:cs="Arial" w:eastAsia="Arial" w:hAnsi="Arial"/>
          <w:sz w:val="22"/>
          <w:szCs w:val="22"/>
          <w:color w:val="auto"/>
        </w:rPr>
      </w:pPr>
    </w:p>
    <w:p>
      <w:pPr>
        <w:jc w:val="both"/>
        <w:ind w:left="3620" w:hanging="426"/>
        <w:spacing w:after="0" w:line="233" w:lineRule="auto"/>
        <w:tabs>
          <w:tab w:leader="none" w:pos="3620" w:val="left"/>
        </w:tabs>
        <w:numPr>
          <w:ilvl w:val="0"/>
          <w:numId w:val="64"/>
        </w:numPr>
        <w:rPr>
          <w:rFonts w:ascii="Courier New" w:cs="Courier New" w:eastAsia="Courier New" w:hAnsi="Courier New"/>
          <w:sz w:val="22"/>
          <w:szCs w:val="22"/>
          <w:color w:val="auto"/>
        </w:rPr>
      </w:pPr>
      <w:r>
        <w:rPr>
          <w:rFonts w:ascii="Arial" w:cs="Arial" w:eastAsia="Arial" w:hAnsi="Arial"/>
          <w:sz w:val="22"/>
          <w:szCs w:val="22"/>
          <w:color w:val="auto"/>
        </w:rPr>
        <w:t>Limitation on Modifications of Indebtedness; Modifications of Certificate of Incorporation, By-laws and Certain Other Agreements; Etc.: the following modifications shall be made to the comparable baskets in the Credit Agreement (if any):</w:t>
      </w:r>
    </w:p>
    <w:p>
      <w:pPr>
        <w:spacing w:after="0" w:line="186" w:lineRule="exact"/>
        <w:rPr>
          <w:rFonts w:ascii="Courier New" w:cs="Courier New" w:eastAsia="Courier New" w:hAnsi="Courier New"/>
          <w:sz w:val="22"/>
          <w:szCs w:val="22"/>
          <w:color w:val="auto"/>
        </w:rPr>
      </w:pPr>
    </w:p>
    <w:p>
      <w:pPr>
        <w:ind w:left="4500" w:right="20" w:hanging="442"/>
        <w:spacing w:after="0" w:line="250" w:lineRule="auto"/>
        <w:tabs>
          <w:tab w:leader="none" w:pos="4500" w:val="left"/>
        </w:tabs>
        <w:numPr>
          <w:ilvl w:val="1"/>
          <w:numId w:val="64"/>
        </w:numPr>
        <w:rPr>
          <w:rFonts w:ascii="Arial" w:cs="Arial" w:eastAsia="Arial" w:hAnsi="Arial"/>
          <w:sz w:val="22"/>
          <w:szCs w:val="22"/>
          <w:color w:val="auto"/>
        </w:rPr>
      </w:pPr>
      <w:r>
        <w:rPr>
          <w:rFonts w:ascii="Arial" w:cs="Arial" w:eastAsia="Arial" w:hAnsi="Arial"/>
          <w:sz w:val="22"/>
          <w:szCs w:val="22"/>
          <w:color w:val="auto"/>
        </w:rPr>
        <w:t>Regularly scheduled payments of principal and interest under any other New ECP Term Loan; and</w:t>
      </w:r>
    </w:p>
    <w:p>
      <w:pPr>
        <w:spacing w:after="0" w:line="174" w:lineRule="exact"/>
        <w:rPr>
          <w:rFonts w:ascii="Arial" w:cs="Arial" w:eastAsia="Arial" w:hAnsi="Arial"/>
          <w:sz w:val="22"/>
          <w:szCs w:val="22"/>
          <w:color w:val="auto"/>
        </w:rPr>
      </w:pPr>
    </w:p>
    <w:p>
      <w:pPr>
        <w:jc w:val="both"/>
        <w:ind w:left="4500" w:hanging="442"/>
        <w:spacing w:after="0" w:line="277" w:lineRule="auto"/>
        <w:tabs>
          <w:tab w:leader="none" w:pos="4500" w:val="left"/>
        </w:tabs>
        <w:numPr>
          <w:ilvl w:val="1"/>
          <w:numId w:val="64"/>
        </w:numPr>
        <w:rPr>
          <w:rFonts w:ascii="Arial" w:cs="Arial" w:eastAsia="Arial" w:hAnsi="Arial"/>
          <w:sz w:val="19"/>
          <w:szCs w:val="19"/>
          <w:color w:val="auto"/>
        </w:rPr>
      </w:pPr>
      <w:r>
        <w:rPr>
          <w:rFonts w:ascii="Arial" w:cs="Arial" w:eastAsia="Arial" w:hAnsi="Arial"/>
          <w:sz w:val="19"/>
          <w:szCs w:val="19"/>
          <w:color w:val="auto"/>
        </w:rPr>
        <w:t>Prepayments, redemptions, purchases or other satisfaction prior to the scheduled maturity thereof of any other New ECP Term Loan, the 2022 Notes (as defined in the Term Loans) and the 2025 Notes (as defined in the Term Loans); provided that (1) both before and after giving effect to each such prepayment, no Default or Event of Default exists, (2) the Borrower and its Restricted Subsidiaries shall be in compliance</w:t>
      </w:r>
    </w:p>
    <w:p>
      <w:pPr>
        <w:spacing w:after="0" w:line="36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229870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74" w:name="page75"/>
    <w:bookmarkEnd w:id="74"/>
    <w:p>
      <w:pPr>
        <w:jc w:val="both"/>
        <w:ind w:left="4500"/>
        <w:spacing w:after="0" w:line="235" w:lineRule="auto"/>
        <w:rPr>
          <w:sz w:val="20"/>
          <w:szCs w:val="20"/>
          <w:color w:val="auto"/>
        </w:rPr>
      </w:pPr>
      <w:r>
        <w:rPr>
          <w:rFonts w:ascii="Arial" w:cs="Arial" w:eastAsia="Arial" w:hAnsi="Arial"/>
          <w:sz w:val="22"/>
          <w:szCs w:val="22"/>
          <w:color w:val="auto"/>
        </w:rPr>
        <w:t>with the Financial Performance Covenants (as defined in the Credit Agreement) on a Pro Forma Basis and (3) each such prepayment shall be at an all-in cost (including all costs associated with such prepayment) equal to or less than the face value of such Permitted Junior Debt (as defined in the Term Loans) prepaid at such time; and</w:t>
      </w:r>
    </w:p>
    <w:p>
      <w:pPr>
        <w:spacing w:after="0" w:line="188" w:lineRule="exact"/>
        <w:rPr>
          <w:sz w:val="20"/>
          <w:szCs w:val="20"/>
          <w:color w:val="auto"/>
        </w:rPr>
      </w:pPr>
    </w:p>
    <w:p>
      <w:pPr>
        <w:ind w:left="2780" w:hanging="436"/>
        <w:spacing w:after="0"/>
        <w:tabs>
          <w:tab w:leader="none" w:pos="2780" w:val="left"/>
        </w:tabs>
        <w:numPr>
          <w:ilvl w:val="0"/>
          <w:numId w:val="65"/>
        </w:numPr>
        <w:rPr>
          <w:rFonts w:ascii="Arial" w:cs="Arial" w:eastAsia="Arial" w:hAnsi="Arial"/>
          <w:sz w:val="22"/>
          <w:szCs w:val="22"/>
          <w:color w:val="auto"/>
        </w:rPr>
      </w:pPr>
      <w:r>
        <w:rPr>
          <w:rFonts w:ascii="Arial" w:cs="Arial" w:eastAsia="Arial" w:hAnsi="Arial"/>
          <w:sz w:val="22"/>
          <w:szCs w:val="22"/>
          <w:color w:val="auto"/>
        </w:rPr>
        <w:t>Events of default;</w:t>
      </w:r>
    </w:p>
    <w:p>
      <w:pPr>
        <w:spacing w:after="0" w:line="206" w:lineRule="exact"/>
        <w:rPr>
          <w:sz w:val="20"/>
          <w:szCs w:val="20"/>
          <w:color w:val="auto"/>
        </w:rPr>
      </w:pPr>
    </w:p>
    <w:p>
      <w:pPr>
        <w:ind w:left="1920" w:right="20"/>
        <w:spacing w:after="0" w:line="250" w:lineRule="auto"/>
        <w:rPr>
          <w:sz w:val="20"/>
          <w:szCs w:val="20"/>
          <w:color w:val="auto"/>
        </w:rPr>
      </w:pPr>
      <w:r>
        <w:rPr>
          <w:rFonts w:ascii="Arial" w:cs="Arial" w:eastAsia="Arial" w:hAnsi="Arial"/>
          <w:sz w:val="22"/>
          <w:szCs w:val="22"/>
          <w:color w:val="auto"/>
        </w:rPr>
        <w:t>in each case, with such modifications as are necessary to reflect that the New ECP Term Loans will not include a letter of credit subfacility.</w:t>
      </w:r>
    </w:p>
    <w:p>
      <w:pPr>
        <w:spacing w:after="0" w:line="175" w:lineRule="exact"/>
        <w:rPr>
          <w:sz w:val="20"/>
          <w:szCs w:val="20"/>
          <w:color w:val="auto"/>
        </w:rPr>
      </w:pPr>
    </w:p>
    <w:p>
      <w:pPr>
        <w:ind w:left="1920" w:hanging="8"/>
        <w:spacing w:after="0" w:line="328" w:lineRule="auto"/>
        <w:tabs>
          <w:tab w:leader="none" w:pos="2913"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definition of “Unrestricted Subsidiary” set forth in the Term Loans shall be replaced in the definitive documentation for each New ECP Term Loan with the following:</w:t>
      </w:r>
    </w:p>
    <w:p>
      <w:pPr>
        <w:spacing w:after="0" w:line="105" w:lineRule="exact"/>
        <w:rPr>
          <w:sz w:val="20"/>
          <w:szCs w:val="20"/>
          <w:color w:val="auto"/>
        </w:rPr>
      </w:pPr>
    </w:p>
    <w:p>
      <w:pPr>
        <w:jc w:val="both"/>
        <w:ind w:left="3200"/>
        <w:spacing w:after="0" w:line="238" w:lineRule="auto"/>
        <w:rPr>
          <w:sz w:val="20"/>
          <w:szCs w:val="20"/>
          <w:color w:val="auto"/>
        </w:rPr>
      </w:pPr>
      <w:r>
        <w:rPr>
          <w:rFonts w:ascii="Arial" w:cs="Arial" w:eastAsia="Arial" w:hAnsi="Arial"/>
          <w:sz w:val="22"/>
          <w:szCs w:val="22"/>
          <w:color w:val="auto"/>
        </w:rPr>
        <w:t>““Unrestricted Subsidiary” shall mean each direct or indirect Subsidiary of the Borrower, for so long as such Subsidiary is an Unrestricted Subsidiary (as defined in the Revolving Credit Agreement) under the Revolving Credit Agreement.”</w:t>
      </w:r>
    </w:p>
    <w:p>
      <w:pPr>
        <w:spacing w:after="0" w:line="185" w:lineRule="exact"/>
        <w:rPr>
          <w:sz w:val="20"/>
          <w:szCs w:val="20"/>
          <w:color w:val="auto"/>
        </w:rPr>
      </w:pPr>
    </w:p>
    <w:p>
      <w:pPr>
        <w:jc w:val="both"/>
        <w:ind w:left="1920" w:hanging="8"/>
        <w:spacing w:after="0" w:line="252" w:lineRule="auto"/>
        <w:tabs>
          <w:tab w:leader="none" w:pos="2913"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mandatory prepayment provisions set forth in Section 2.04(b) of the Term Loans shall be replaced in the definitive documentation for each New ECP Term Loan with a requirement for Borrower to prepay such New ECP Term Loan pro rata with any refinancing, replacement or similar payment of any pari passu senior indebtedness.</w:t>
      </w:r>
    </w:p>
    <w:p>
      <w:pPr>
        <w:spacing w:after="0" w:line="173" w:lineRule="exact"/>
        <w:rPr>
          <w:rFonts w:ascii="Arial" w:cs="Arial" w:eastAsia="Arial" w:hAnsi="Arial"/>
          <w:sz w:val="21"/>
          <w:szCs w:val="21"/>
          <w:color w:val="auto"/>
        </w:rPr>
      </w:pPr>
    </w:p>
    <w:p>
      <w:pPr>
        <w:ind w:left="1920" w:right="20" w:hanging="8"/>
        <w:spacing w:after="0" w:line="250" w:lineRule="auto"/>
        <w:tabs>
          <w:tab w:leader="none" w:pos="2946"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condition precedent set forth in Section 4.01(j) of the Term Loans shall not be included in the definitive documentation for each New ECP Term Loan.</w:t>
      </w:r>
    </w:p>
    <w:p>
      <w:pPr>
        <w:spacing w:after="0" w:line="174" w:lineRule="exact"/>
        <w:rPr>
          <w:rFonts w:ascii="Arial" w:cs="Arial" w:eastAsia="Arial" w:hAnsi="Arial"/>
          <w:sz w:val="22"/>
          <w:szCs w:val="22"/>
          <w:color w:val="auto"/>
        </w:rPr>
      </w:pPr>
    </w:p>
    <w:p>
      <w:pPr>
        <w:jc w:val="both"/>
        <w:ind w:left="1920" w:hanging="8"/>
        <w:spacing w:after="0" w:line="252" w:lineRule="auto"/>
        <w:tabs>
          <w:tab w:leader="none" w:pos="28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conditions precedent to the making of each New ECP Term Loan shall include a condition that such New ECP Term Loan is permitted by the Credit Agreement at such time and, if permitted pursuant to a pari passu indebtedness basket thereunder, such basket shall have at least $25.0 million of unused capacity at such time.</w:t>
      </w:r>
    </w:p>
    <w:p>
      <w:pPr>
        <w:spacing w:after="0" w:line="173" w:lineRule="exact"/>
        <w:rPr>
          <w:rFonts w:ascii="Arial" w:cs="Arial" w:eastAsia="Arial" w:hAnsi="Arial"/>
          <w:sz w:val="21"/>
          <w:szCs w:val="21"/>
          <w:color w:val="auto"/>
        </w:rPr>
      </w:pPr>
    </w:p>
    <w:p>
      <w:pPr>
        <w:jc w:val="both"/>
        <w:ind w:left="1920" w:hanging="8"/>
        <w:spacing w:after="0" w:line="238" w:lineRule="auto"/>
        <w:tabs>
          <w:tab w:leader="none" w:pos="2901"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interest rate for each New ECP Term Loan shall be 8.0% per annum, and actual days elapsed, payable in kind quarterly in arrears. With respect to overdue amounts, the interest rate shall be 12.0% per annum in excess of the rate then applicable to such New ECP Term Loan.</w:t>
      </w:r>
    </w:p>
    <w:p>
      <w:pPr>
        <w:spacing w:after="0" w:line="184" w:lineRule="exact"/>
        <w:rPr>
          <w:rFonts w:ascii="Arial" w:cs="Arial" w:eastAsia="Arial" w:hAnsi="Arial"/>
          <w:sz w:val="22"/>
          <w:szCs w:val="22"/>
          <w:color w:val="auto"/>
        </w:rPr>
      </w:pPr>
    </w:p>
    <w:p>
      <w:pPr>
        <w:ind w:left="1920" w:hanging="8"/>
        <w:spacing w:after="0" w:line="250" w:lineRule="auto"/>
        <w:tabs>
          <w:tab w:leader="none" w:pos="2934" w:val="left"/>
        </w:tabs>
        <w:numPr>
          <w:ilvl w:val="0"/>
          <w:numId w:val="67"/>
        </w:numPr>
        <w:rPr>
          <w:rFonts w:ascii="Arial" w:cs="Arial" w:eastAsia="Arial" w:hAnsi="Arial"/>
          <w:sz w:val="22"/>
          <w:szCs w:val="22"/>
          <w:color w:val="auto"/>
        </w:rPr>
      </w:pPr>
      <w:r>
        <w:rPr>
          <w:rFonts w:ascii="Arial" w:cs="Arial" w:eastAsia="Arial" w:hAnsi="Arial"/>
          <w:sz w:val="22"/>
          <w:szCs w:val="22"/>
          <w:color w:val="auto"/>
        </w:rPr>
        <w:t>Each New ECP Term Loan will mature on March 31, 2021 and will not amortize. No original issue discount will apply to any New ECP Term Loan.</w:t>
      </w:r>
    </w:p>
    <w:p>
      <w:pPr>
        <w:spacing w:after="0" w:line="17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229870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75" w:name="page76"/>
    <w:bookmarkEnd w:id="75"/>
    <w:p>
      <w:pPr>
        <w:jc w:val="both"/>
        <w:ind w:left="620"/>
        <w:spacing w:after="0" w:line="244" w:lineRule="auto"/>
        <w:rPr>
          <w:sz w:val="20"/>
          <w:szCs w:val="20"/>
          <w:color w:val="auto"/>
        </w:rPr>
      </w:pPr>
      <w:r>
        <w:rPr>
          <w:rFonts w:ascii="Arial" w:cs="Arial" w:eastAsia="Arial" w:hAnsi="Arial"/>
          <w:sz w:val="21"/>
          <w:szCs w:val="21"/>
          <w:color w:val="auto"/>
        </w:rPr>
        <w:t xml:space="preserve">Notwithstanding the foregoing, if the conditions precedent to the making of any New ECP Term Loan are not satisfied in accordance with this </w:t>
      </w:r>
      <w:r>
        <w:rPr>
          <w:rFonts w:ascii="Arial" w:cs="Arial" w:eastAsia="Arial" w:hAnsi="Arial"/>
          <w:sz w:val="21"/>
          <w:szCs w:val="21"/>
          <w:u w:val="single" w:color="auto"/>
          <w:color w:val="auto"/>
        </w:rPr>
        <w:t>Section 3(j)</w:t>
      </w:r>
      <w:r>
        <w:rPr>
          <w:rFonts w:ascii="Arial" w:cs="Arial" w:eastAsia="Arial" w:hAnsi="Arial"/>
          <w:sz w:val="21"/>
          <w:szCs w:val="21"/>
          <w:color w:val="auto"/>
        </w:rPr>
        <w:t xml:space="preserve"> within fifteen (15) Business Days of receipt by the Partnership of the applicable New ECP Term Loan Election, the Partnership agrees that it will no longer be entitled to such New ECP Term Loan and shall deliver the full cash amount due to the relevant Warrantholder pursuant to </w:t>
      </w:r>
      <w:r>
        <w:rPr>
          <w:rFonts w:ascii="Arial" w:cs="Arial" w:eastAsia="Arial" w:hAnsi="Arial"/>
          <w:sz w:val="21"/>
          <w:szCs w:val="21"/>
          <w:u w:val="single" w:color="auto"/>
          <w:color w:val="auto"/>
        </w:rPr>
        <w:t>Section 3(d)</w:t>
      </w:r>
      <w:r>
        <w:rPr>
          <w:rFonts w:ascii="Arial" w:cs="Arial" w:eastAsia="Arial" w:hAnsi="Arial"/>
          <w:sz w:val="21"/>
          <w:szCs w:val="21"/>
          <w:color w:val="auto"/>
        </w:rPr>
        <w:t xml:space="preserve"> on the next succeeding Business Day;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however, that the relevant Warrantholder has diligently and timely proceeded in good faith in the preparation and negotiation of the definitive documentation evidencing the applicable New ECP Term Loan in a manner that is consistent with this </w:t>
      </w:r>
      <w:r>
        <w:rPr>
          <w:rFonts w:ascii="Arial" w:cs="Arial" w:eastAsia="Arial" w:hAnsi="Arial"/>
          <w:sz w:val="21"/>
          <w:szCs w:val="21"/>
          <w:u w:val="single" w:color="auto"/>
          <w:color w:val="auto"/>
        </w:rPr>
        <w:t>Section 3(j)</w:t>
      </w:r>
      <w:r>
        <w:rPr>
          <w:rFonts w:ascii="Arial" w:cs="Arial" w:eastAsia="Arial" w:hAnsi="Arial"/>
          <w:sz w:val="21"/>
          <w:szCs w:val="21"/>
          <w:color w:val="auto"/>
        </w:rPr>
        <w:t xml:space="preserve"> following receipt of the New ECP Term Loan Election. For the avoidance of doubt, each document delivered as a condition precedent to the making of each New ECP Term Loan shall be substantially similar to the comparable document delivered as a condition precedent to the making of the Term Loans (including but not limited to all opinions, certificates, security documents, subordination agreements and intercreditor agreements, if any).”</w:t>
      </w:r>
    </w:p>
    <w:p>
      <w:pPr>
        <w:spacing w:after="0" w:line="186" w:lineRule="exact"/>
        <w:rPr>
          <w:sz w:val="20"/>
          <w:szCs w:val="20"/>
          <w:color w:val="auto"/>
        </w:rPr>
      </w:pPr>
    </w:p>
    <w:p>
      <w:pPr>
        <w:jc w:val="both"/>
        <w:ind w:left="620" w:hanging="436"/>
        <w:spacing w:after="0" w:line="273" w:lineRule="auto"/>
        <w:tabs>
          <w:tab w:leader="none" w:pos="6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 consideration of this Amendment, you agree to reimburse Energy Capital Partners II-A, LP, SMLP Holdings, LLC and SMP Topco, LLC (collectively, the “</w:t>
      </w:r>
      <w:r>
        <w:rPr>
          <w:rFonts w:ascii="Arial" w:cs="Arial" w:eastAsia="Arial" w:hAnsi="Arial"/>
          <w:sz w:val="19"/>
          <w:szCs w:val="19"/>
          <w:b w:val="1"/>
          <w:bCs w:val="1"/>
          <w:color w:val="auto"/>
        </w:rPr>
        <w:t>ECP Parties</w:t>
      </w:r>
      <w:r>
        <w:rPr>
          <w:rFonts w:ascii="Arial" w:cs="Arial" w:eastAsia="Arial" w:hAnsi="Arial"/>
          <w:sz w:val="19"/>
          <w:szCs w:val="19"/>
          <w:color w:val="auto"/>
        </w:rPr>
        <w:t>” or “</w:t>
      </w:r>
      <w:r>
        <w:rPr>
          <w:rFonts w:ascii="Arial" w:cs="Arial" w:eastAsia="Arial" w:hAnsi="Arial"/>
          <w:sz w:val="19"/>
          <w:szCs w:val="19"/>
          <w:b w:val="1"/>
          <w:bCs w:val="1"/>
          <w:color w:val="auto"/>
        </w:rPr>
        <w:t>us</w:t>
      </w:r>
      <w:r>
        <w:rPr>
          <w:rFonts w:ascii="Arial" w:cs="Arial" w:eastAsia="Arial" w:hAnsi="Arial"/>
          <w:sz w:val="19"/>
          <w:szCs w:val="19"/>
          <w:color w:val="auto"/>
        </w:rPr>
        <w:t>”) in an amount not to exceed the sum of (i) $200,000 (in the aggregate) of reasonable and out-of-pocket costs and expenses (including any reasonable and out-of-pocket legal fees and expenses) incurred by us in connection with any New ECP Term Loan (other than costs and expenses set forth in clause (ii)) and (ii) the amount of such reasonable and out-of-pocket costs and expenses (including any reasonable and out-of-pocket legal fees and expenses) incurred by us in connection with the documenting, negotiating, executing, delivering and recording of any mortgages pursuant to any New ECP Term Loan. Any such expenses shall be reimbursed on the earlier of (x) the closing date of the applicable New ECP Term Loan (to the extent invoiced prior to such closing date) and (y) 30 days following presentation of a written invoice by any ECP Party.</w:t>
      </w:r>
    </w:p>
    <w:p>
      <w:pPr>
        <w:spacing w:after="0" w:line="187" w:lineRule="exact"/>
        <w:rPr>
          <w:rFonts w:ascii="Arial" w:cs="Arial" w:eastAsia="Arial" w:hAnsi="Arial"/>
          <w:sz w:val="19"/>
          <w:szCs w:val="19"/>
          <w:color w:val="auto"/>
        </w:rPr>
      </w:pPr>
    </w:p>
    <w:p>
      <w:pPr>
        <w:jc w:val="both"/>
        <w:ind w:left="620" w:hanging="436"/>
        <w:spacing w:after="0"/>
        <w:tabs>
          <w:tab w:leader="none" w:pos="62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This Amendment is effective on the date first set forth above and shall be binding upon the parties hereto and their successors and permitted assigns. Except as specifically set forth in this Amendment, the Warrants will remain unmodified and in full force and effect.</w:t>
      </w:r>
    </w:p>
    <w:p>
      <w:pPr>
        <w:spacing w:after="0" w:line="207" w:lineRule="exact"/>
        <w:rPr>
          <w:rFonts w:ascii="Arial" w:cs="Arial" w:eastAsia="Arial" w:hAnsi="Arial"/>
          <w:sz w:val="22"/>
          <w:szCs w:val="22"/>
          <w:color w:val="auto"/>
        </w:rPr>
      </w:pPr>
    </w:p>
    <w:p>
      <w:pPr>
        <w:jc w:val="both"/>
        <w:ind w:left="620" w:hanging="436"/>
        <w:spacing w:after="0" w:line="234" w:lineRule="auto"/>
        <w:tabs>
          <w:tab w:leader="none" w:pos="620" w:val="left"/>
        </w:tabs>
        <w:numPr>
          <w:ilvl w:val="0"/>
          <w:numId w:val="68"/>
        </w:numPr>
        <w:rPr>
          <w:rFonts w:ascii="Arial" w:cs="Arial" w:eastAsia="Arial" w:hAnsi="Arial"/>
          <w:sz w:val="22"/>
          <w:szCs w:val="22"/>
          <w:color w:val="auto"/>
        </w:rPr>
      </w:pPr>
      <w:r>
        <w:rPr>
          <w:rFonts w:ascii="Arial" w:cs="Arial" w:eastAsia="Arial" w:hAnsi="Arial"/>
          <w:sz w:val="22"/>
          <w:szCs w:val="22"/>
          <w:b w:val="1"/>
          <w:bCs w:val="1"/>
          <w:color w:val="auto"/>
        </w:rPr>
        <w:t>THIS AMENDMENT AND ALL QUESTIONS RELATING TO THE INTERPRETATION OR ENFORCEMENT OF THIS AMENDMENT SHALL BE GOVERNED BY AND CONSTRUED IN ACCORDANCE WITH THE LAWS OF THE STATE OF DELAWARE WITHOUT REGARD TO THE LAWS OF THE STATE OF DELAWARE OR ANY OTHER JURISDICTION THAT WOULD CALL FOR THE APPLICATION OF THE SUBSTANTIVE LAWS OF ANY JURISDICTION OTHER THAN THE STATE OF DELAWARE. Without limitation of the foregoing, the provisions of Sections 13 and 14 of the Warrant will apply with like effect to this Amendment and any dispute arising hereunder.</w:t>
      </w:r>
    </w:p>
    <w:p>
      <w:pPr>
        <w:spacing w:after="0" w:line="200" w:lineRule="exact"/>
        <w:rPr>
          <w:sz w:val="20"/>
          <w:szCs w:val="20"/>
          <w:color w:val="auto"/>
        </w:rPr>
      </w:pPr>
    </w:p>
    <w:p>
      <w:pPr>
        <w:spacing w:after="0" w:line="236"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229870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76" w:name="page77"/>
    <w:bookmarkEnd w:id="76"/>
    <w:p>
      <w:pPr>
        <w:jc w:val="both"/>
        <w:ind w:left="1740" w:hanging="436"/>
        <w:spacing w:after="0" w:line="238" w:lineRule="auto"/>
        <w:tabs>
          <w:tab w:leader="none" w:pos="17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This Amendment may be executed in one or more counterparts, each of which shall constitute an original but all of which, when taken together, shall constitute but one contract. Delivery of an executed counterpart to this Amendment by facsimile transmission or an electronic transmission of a PDF copy thereof shall be as effective as delivery of a manually signed original.</w:t>
      </w:r>
    </w:p>
    <w:p>
      <w:pPr>
        <w:spacing w:after="0" w:line="211" w:lineRule="exact"/>
        <w:rPr>
          <w:rFonts w:ascii="Arial" w:cs="Arial" w:eastAsia="Arial" w:hAnsi="Arial"/>
          <w:sz w:val="22"/>
          <w:szCs w:val="22"/>
          <w:color w:val="auto"/>
        </w:rPr>
      </w:pPr>
    </w:p>
    <w:p>
      <w:pPr>
        <w:jc w:val="both"/>
        <w:ind w:left="1740" w:hanging="436"/>
        <w:spacing w:after="0" w:line="279" w:lineRule="auto"/>
        <w:tabs>
          <w:tab w:leader="none" w:pos="17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words “execution,” “signed,” “signature,” and words of like import in this Amendment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Please confirm that the foregoing is in accordance with your understanding by signing and returning to us the enclosed copy of this Amendment, which shall become a binding agreement upon our receipt.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900" w:hanging="762"/>
        <w:spacing w:after="0"/>
        <w:tabs>
          <w:tab w:leader="none" w:pos="59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5" w:lineRule="exact"/>
        <w:rPr>
          <w:rFonts w:ascii="Arial" w:cs="Arial" w:eastAsia="Arial" w:hAnsi="Arial"/>
          <w:sz w:val="22"/>
          <w:szCs w:val="22"/>
          <w:color w:val="auto"/>
        </w:rPr>
      </w:pPr>
    </w:p>
    <w:p>
      <w:pPr>
        <w:ind w:left="5580"/>
        <w:spacing w:after="0"/>
        <w:rPr>
          <w:rFonts w:ascii="Arial" w:cs="Arial" w:eastAsia="Arial" w:hAnsi="Arial"/>
          <w:sz w:val="22"/>
          <w:szCs w:val="22"/>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7" w:name="page78"/>
    <w:bookmarkEnd w:id="77"/>
    <w:p>
      <w:pPr>
        <w:ind w:left="40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SUMMIT MIDSTREAM PARTNERS, LP</w:t>
      </w:r>
    </w:p>
    <w:p>
      <w:pPr>
        <w:spacing w:after="0" w:line="206" w:lineRule="exact"/>
        <w:rPr>
          <w:sz w:val="20"/>
          <w:szCs w:val="20"/>
          <w:color w:val="auto"/>
        </w:rPr>
      </w:pPr>
    </w:p>
    <w:p>
      <w:pPr>
        <w:ind w:left="4080"/>
        <w:spacing w:after="0"/>
        <w:tabs>
          <w:tab w:leader="none" w:pos="4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Summit Midstream GP, LLC,</w:t>
      </w:r>
    </w:p>
    <w:p>
      <w:pPr>
        <w:spacing w:after="0" w:line="8"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31"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By: /s/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-17780</wp:posOffset>
            </wp:positionV>
            <wp:extent cx="11925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ind w:left="4400"/>
        <w:spacing w:after="0" w:line="238" w:lineRule="auto"/>
        <w:rPr>
          <w:sz w:val="20"/>
          <w:szCs w:val="20"/>
          <w:color w:val="auto"/>
        </w:rPr>
      </w:pPr>
      <w:r>
        <w:rPr>
          <w:rFonts w:ascii="Arial" w:cs="Arial" w:eastAsia="Arial" w:hAnsi="Arial"/>
          <w:sz w:val="22"/>
          <w:szCs w:val="22"/>
          <w:color w:val="auto"/>
        </w:rPr>
        <w:t>Name: Marc D. Stratton</w:t>
      </w:r>
    </w:p>
    <w:p>
      <w:pPr>
        <w:ind w:left="4080" w:firstLine="320"/>
        <w:spacing w:after="0" w:line="236" w:lineRule="auto"/>
        <w:rPr>
          <w:sz w:val="20"/>
          <w:szCs w:val="20"/>
          <w:color w:val="auto"/>
        </w:rPr>
      </w:pPr>
      <w:r>
        <w:rPr>
          <w:rFonts w:ascii="Arial" w:cs="Arial" w:eastAsia="Arial" w:hAnsi="Arial"/>
          <w:sz w:val="22"/>
          <w:szCs w:val="22"/>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[Signature Page to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229870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20"/>
          </w:cols>
          <w:pgMar w:left="1440" w:top="361" w:right="539"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color w:val="auto"/>
        </w:rPr>
        <w:t>AGREED AND ACCEPTED:</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SMP TOPCO,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w:t>
      </w:r>
      <w:r>
        <w:rPr>
          <w:rFonts w:ascii="Arial" w:cs="Arial" w:eastAsia="Arial" w:hAnsi="Arial"/>
          <w:sz w:val="22"/>
          <w:szCs w:val="22"/>
          <w:color w:val="auto"/>
        </w:rPr>
        <w:t xml:space="preserve"> Peter Labbat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-17780</wp:posOffset>
            </wp:positionV>
            <wp:extent cx="8947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894715" cy="8255"/>
                    </a:xfrm>
                    <a:prstGeom prst="rect">
                      <a:avLst/>
                    </a:prstGeom>
                    <a:noFill/>
                  </pic:spPr>
                </pic:pic>
              </a:graphicData>
            </a:graphic>
          </wp:anchor>
        </w:drawing>
      </w:r>
    </w:p>
    <w:p>
      <w:pPr>
        <w:ind w:left="320"/>
        <w:spacing w:after="0" w:line="238" w:lineRule="auto"/>
        <w:rPr>
          <w:sz w:val="20"/>
          <w:szCs w:val="20"/>
          <w:color w:val="auto"/>
        </w:rPr>
      </w:pPr>
      <w:r>
        <w:rPr>
          <w:rFonts w:ascii="Arial" w:cs="Arial" w:eastAsia="Arial" w:hAnsi="Arial"/>
          <w:sz w:val="22"/>
          <w:szCs w:val="22"/>
          <w:color w:val="auto"/>
        </w:rPr>
        <w:t>Name: Peter Labbat</w:t>
      </w:r>
    </w:p>
    <w:p>
      <w:pPr>
        <w:ind w:left="320"/>
        <w:spacing w:after="0"/>
        <w:tabs>
          <w:tab w:leader="none" w:pos="9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SMLP HOLDINGS,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color w:val="auto"/>
        </w:rPr>
        <w:t>/s/</w:t>
      </w:r>
      <w:r>
        <w:rPr>
          <w:rFonts w:ascii="Arial" w:cs="Arial" w:eastAsia="Arial" w:hAnsi="Arial"/>
          <w:sz w:val="22"/>
          <w:szCs w:val="22"/>
          <w:color w:val="auto"/>
        </w:rPr>
        <w:t xml:space="preserve"> Peter Labbat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-17780</wp:posOffset>
            </wp:positionV>
            <wp:extent cx="8947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894715" cy="8890"/>
                    </a:xfrm>
                    <a:prstGeom prst="rect">
                      <a:avLst/>
                    </a:prstGeom>
                    <a:noFill/>
                  </pic:spPr>
                </pic:pic>
              </a:graphicData>
            </a:graphic>
          </wp:anchor>
        </w:drawing>
      </w:r>
    </w:p>
    <w:p>
      <w:pPr>
        <w:ind w:left="320"/>
        <w:spacing w:after="0" w:line="238" w:lineRule="auto"/>
        <w:rPr>
          <w:sz w:val="20"/>
          <w:szCs w:val="20"/>
          <w:color w:val="auto"/>
        </w:rPr>
      </w:pPr>
      <w:r>
        <w:rPr>
          <w:rFonts w:ascii="Arial" w:cs="Arial" w:eastAsia="Arial" w:hAnsi="Arial"/>
          <w:sz w:val="22"/>
          <w:szCs w:val="22"/>
          <w:color w:val="auto"/>
        </w:rPr>
        <w:t>Name: Peter Labbat</w:t>
      </w:r>
    </w:p>
    <w:p>
      <w:pPr>
        <w:ind w:left="320"/>
        <w:spacing w:after="0"/>
        <w:tabs>
          <w:tab w:leader="none" w:pos="9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3119"/>
        <w:spacing w:after="0"/>
        <w:rPr>
          <w:sz w:val="20"/>
          <w:szCs w:val="20"/>
          <w:color w:val="auto"/>
        </w:rPr>
      </w:pPr>
      <w:r>
        <w:rPr>
          <w:rFonts w:ascii="Arial" w:cs="Arial" w:eastAsia="Arial" w:hAnsi="Arial"/>
          <w:sz w:val="22"/>
          <w:szCs w:val="22"/>
          <w:color w:val="auto"/>
        </w:rPr>
        <w:t>[Signature Page to Amendment]</w:t>
      </w:r>
    </w:p>
    <w:p>
      <w:pPr>
        <w:sectPr>
          <w:pgSz w:w="11900" w:h="16838" w:orient="portrait"/>
          <w:cols w:equalWidth="0" w:num="1">
            <w:col w:w="10019"/>
          </w:cols>
          <w:pgMar w:left="440" w:top="355"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58" w:lineRule="exact"/>
        <w:rPr>
          <w:sz w:val="20"/>
          <w:szCs w:val="20"/>
          <w:color w:val="auto"/>
        </w:rPr>
      </w:pPr>
    </w:p>
    <w:p>
      <w:pPr>
        <w:ind w:left="400" w:hanging="194"/>
        <w:spacing w:after="0"/>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jc w:val="both"/>
        <w:ind w:left="200" w:right="200" w:firstLine="6"/>
        <w:spacing w:after="0"/>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200" w:right="300" w:firstLine="6"/>
        <w:spacing w:after="0" w:line="274" w:lineRule="auto"/>
        <w:tabs>
          <w:tab w:leader="none" w:pos="4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7"/>
          <w:szCs w:val="17"/>
          <w:color w:val="auto"/>
        </w:rPr>
      </w:pPr>
    </w:p>
    <w:p>
      <w:pPr>
        <w:ind w:left="200" w:right="180" w:firstLine="6"/>
        <w:spacing w:after="0" w:line="248" w:lineRule="auto"/>
        <w:tabs>
          <w:tab w:leader="none" w:pos="4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jc w:val="both"/>
        <w:ind w:left="500" w:right="220" w:firstLine="1"/>
        <w:spacing w:after="0"/>
        <w:tabs>
          <w:tab w:leader="none" w:pos="77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500" w:right="20" w:firstLine="1"/>
        <w:spacing w:after="0"/>
        <w:tabs>
          <w:tab w:leader="none" w:pos="77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500" w:right="360" w:firstLine="1"/>
        <w:spacing w:after="0"/>
        <w:tabs>
          <w:tab w:leader="none" w:pos="7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500" w:right="280" w:firstLine="1"/>
        <w:spacing w:after="0"/>
        <w:tabs>
          <w:tab w:leader="none" w:pos="77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8"/>
          <w:szCs w:val="18"/>
          <w:color w:val="auto"/>
        </w:rPr>
      </w:pPr>
    </w:p>
    <w:p>
      <w:pPr>
        <w:ind w:left="200" w:right="280" w:firstLine="6"/>
        <w:spacing w:after="0"/>
        <w:tabs>
          <w:tab w:leader="none" w:pos="4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500" w:right="140" w:firstLine="1"/>
        <w:spacing w:after="0" w:line="246" w:lineRule="auto"/>
        <w:tabs>
          <w:tab w:leader="none" w:pos="77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00" w:right="380" w:firstLine="1"/>
        <w:spacing w:after="0" w:line="246" w:lineRule="auto"/>
        <w:tabs>
          <w:tab w:leader="none" w:pos="77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40"/>
        <w:spacing w:after="0"/>
        <w:tabs>
          <w:tab w:leader="none" w:pos="20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7"/>
          <w:szCs w:val="17"/>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8890</wp:posOffset>
            </wp:positionV>
            <wp:extent cx="66776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Heath Deneke</w:t>
      </w:r>
    </w:p>
    <w:p>
      <w:pPr>
        <w:ind w:left="6700"/>
        <w:spacing w:after="0" w:line="234" w:lineRule="auto"/>
        <w:rPr>
          <w:sz w:val="20"/>
          <w:szCs w:val="20"/>
          <w:color w:val="auto"/>
        </w:rPr>
      </w:pPr>
      <w:r>
        <w:rPr>
          <w:rFonts w:ascii="Arial" w:cs="Arial" w:eastAsia="Arial" w:hAnsi="Arial"/>
          <w:sz w:val="18"/>
          <w:szCs w:val="18"/>
          <w:color w:val="auto"/>
        </w:rPr>
        <w:t>President, Chief Executive Officer and Director of</w:t>
      </w:r>
    </w:p>
    <w:p>
      <w:pPr>
        <w:ind w:left="6700"/>
        <w:spacing w:after="0" w:line="235"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31.1-1</w:t>
      </w:r>
    </w:p>
    <w:p>
      <w:pPr>
        <w:sectPr>
          <w:pgSz w:w="11900" w:h="16838" w:orient="portrait"/>
          <w:cols w:equalWidth="0" w:num="1">
            <w:col w:w="11240"/>
          </w:cols>
          <w:pgMar w:left="320" w:top="118"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D. Stratton, certify that:</w:t>
      </w:r>
    </w:p>
    <w:p>
      <w:pPr>
        <w:spacing w:after="0" w:line="158" w:lineRule="exact"/>
        <w:rPr>
          <w:sz w:val="20"/>
          <w:szCs w:val="20"/>
          <w:color w:val="auto"/>
        </w:rPr>
      </w:pPr>
    </w:p>
    <w:p>
      <w:pPr>
        <w:ind w:left="400" w:hanging="194"/>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jc w:val="both"/>
        <w:ind w:left="200" w:right="200" w:firstLine="6"/>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200" w:right="300" w:firstLine="6"/>
        <w:spacing w:after="0" w:line="274" w:lineRule="auto"/>
        <w:tabs>
          <w:tab w:leader="none" w:pos="4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7"/>
          <w:szCs w:val="17"/>
          <w:color w:val="auto"/>
        </w:rPr>
      </w:pPr>
    </w:p>
    <w:p>
      <w:pPr>
        <w:ind w:left="200" w:right="180" w:firstLine="6"/>
        <w:spacing w:after="0" w:line="248" w:lineRule="auto"/>
        <w:tabs>
          <w:tab w:leader="none" w:pos="4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jc w:val="both"/>
        <w:ind w:left="500" w:right="220" w:firstLine="1"/>
        <w:spacing w:after="0"/>
        <w:tabs>
          <w:tab w:leader="none" w:pos="77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500" w:right="20" w:firstLine="1"/>
        <w:spacing w:after="0"/>
        <w:tabs>
          <w:tab w:leader="none" w:pos="77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500" w:right="360" w:firstLine="1"/>
        <w:spacing w:after="0"/>
        <w:tabs>
          <w:tab w:leader="none" w:pos="7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500" w:right="280" w:firstLine="1"/>
        <w:spacing w:after="0"/>
        <w:tabs>
          <w:tab w:leader="none" w:pos="77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8"/>
          <w:szCs w:val="18"/>
          <w:color w:val="auto"/>
        </w:rPr>
      </w:pPr>
    </w:p>
    <w:p>
      <w:pPr>
        <w:ind w:left="200" w:right="280" w:firstLine="6"/>
        <w:spacing w:after="0"/>
        <w:tabs>
          <w:tab w:leader="none" w:pos="4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500" w:right="140" w:firstLine="1"/>
        <w:spacing w:after="0" w:line="246" w:lineRule="auto"/>
        <w:tabs>
          <w:tab w:leader="none" w:pos="77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00" w:right="380" w:firstLine="1"/>
        <w:spacing w:after="0" w:line="246" w:lineRule="auto"/>
        <w:tabs>
          <w:tab w:leader="none" w:pos="77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40"/>
        <w:spacing w:after="0"/>
        <w:tabs>
          <w:tab w:leader="none" w:pos="20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7, 2020</w:t>
      </w:r>
      <w:r>
        <w:rPr>
          <w:sz w:val="20"/>
          <w:szCs w:val="20"/>
          <w:color w:val="auto"/>
        </w:rPr>
        <w:tab/>
      </w:r>
      <w:r>
        <w:rPr>
          <w:rFonts w:ascii="Arial" w:cs="Arial" w:eastAsia="Arial" w:hAnsi="Arial"/>
          <w:sz w:val="17"/>
          <w:szCs w:val="17"/>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8890</wp:posOffset>
            </wp:positionV>
            <wp:extent cx="66776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Marc D. Stratton</w:t>
      </w:r>
    </w:p>
    <w:p>
      <w:pPr>
        <w:ind w:left="6700"/>
        <w:spacing w:after="0" w:line="234" w:lineRule="auto"/>
        <w:rPr>
          <w:sz w:val="20"/>
          <w:szCs w:val="20"/>
          <w:color w:val="auto"/>
        </w:rPr>
      </w:pPr>
      <w:r>
        <w:rPr>
          <w:rFonts w:ascii="Arial" w:cs="Arial" w:eastAsia="Arial" w:hAnsi="Arial"/>
          <w:sz w:val="18"/>
          <w:szCs w:val="18"/>
          <w:color w:val="auto"/>
        </w:rPr>
        <w:t>Executive Vice President and Chief Financial Officer of</w:t>
      </w:r>
    </w:p>
    <w:p>
      <w:pPr>
        <w:ind w:left="6700"/>
        <w:spacing w:after="0" w:line="235"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31.2-1</w:t>
      </w:r>
    </w:p>
    <w:p>
      <w:pPr>
        <w:sectPr>
          <w:pgSz w:w="11900" w:h="16838" w:orient="portrait"/>
          <w:cols w:equalWidth="0" w:num="1">
            <w:col w:w="11240"/>
          </w:cols>
          <w:pgMar w:left="320" w:top="118"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connection with the quarterly report on Form 10-Q of Summit Midstream Partners, LP (the “Registrant”) for the quarterly period ended June 30, 2020, as filed with the Securities and Exchange Commission on the date hereof (the “Report”), the undersigned, Heath Deneke, as President, Chief Executive Officer and Director of Summit Midstream GP, LLC, the general partner of the Registrant, and Marc D. Stratton,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230" w:lineRule="exact"/>
        <w:rPr>
          <w:sz w:val="20"/>
          <w:szCs w:val="20"/>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580" w:right="100" w:hanging="572"/>
        <w:spacing w:after="0" w:line="246"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6749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Heath Deneke</w:t>
      </w:r>
    </w:p>
    <w:p>
      <w:pPr>
        <w:spacing w:after="0" w:line="36" w:lineRule="exact"/>
        <w:rPr>
          <w:sz w:val="20"/>
          <w:szCs w:val="20"/>
          <w:color w:val="auto"/>
        </w:rPr>
      </w:pPr>
    </w:p>
    <w:p>
      <w:pPr>
        <w:ind w:left="720" w:right="4340" w:hanging="719"/>
        <w:spacing w:after="0" w:line="281" w:lineRule="auto"/>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Chief Executive Officer and Director of Summit Midstream GP, LLC (the general partner of Summit Midstream Partners, LP)</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tab/>
        <w:t>August 7, 2020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6749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5674995" cy="8890"/>
                    </a:xfrm>
                    <a:prstGeom prst="rect">
                      <a:avLst/>
                    </a:prstGeom>
                    <a:noFill/>
                  </pic:spPr>
                </pic:pic>
              </a:graphicData>
            </a:graphic>
          </wp:anchor>
        </w:drawing>
      </w:r>
    </w:p>
    <w:p>
      <w:pPr>
        <w:spacing w:after="0" w:line="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Marc D. Stratton</w:t>
      </w:r>
    </w:p>
    <w:p>
      <w:pPr>
        <w:spacing w:after="0" w:line="36" w:lineRule="exact"/>
        <w:rPr>
          <w:sz w:val="20"/>
          <w:szCs w:val="20"/>
          <w:color w:val="auto"/>
        </w:rPr>
      </w:pPr>
    </w:p>
    <w:p>
      <w:pPr>
        <w:ind w:left="720" w:right="3900" w:hanging="719"/>
        <w:spacing w:after="0" w:line="281" w:lineRule="auto"/>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 of Summit Midstream GP, LLC (the general partner of Summit Midstream Partners, LP)</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tab/>
        <w:t>August 7, 2020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32.1-1</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1."/>
      <w:numFmt w:val="decimal"/>
      <w:start w:val="2"/>
    </w:lvl>
    <w:lvl w:ilvl="1">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1)"/>
      <w:numFmt w:val="decimal"/>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7"/>
    </w:lvl>
  </w:abstractNum>
  <w:abstractNum w:abstractNumId="13">
    <w:nsid w:val="1D4ED43B"/>
    <w:multiLevelType w:val="hybridMultilevel"/>
    <w:lvl w:ilvl="0">
      <w:lvlJc w:val="left"/>
      <w:lvlText w:val="(%1)"/>
      <w:numFmt w:val="lowerRoman"/>
      <w:start w:val="9"/>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lowerLetter"/>
      <w:start w:val="2"/>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13"/>
    </w:lvl>
    <w:lvl w:ilvl="1">
      <w:lvlJc w:val="left"/>
      <w:lvlText w:val="•"/>
      <w:numFmt w:val="bullet"/>
      <w:start w:val="1"/>
    </w:lvl>
  </w:abstractNum>
  <w:abstractNum w:abstractNumId="18">
    <w:nsid w:val="4B588F54"/>
    <w:multiLevelType w:val="hybridMultilevel"/>
    <w:lvl w:ilvl="0">
      <w:lvlJc w:val="left"/>
      <w:lvlText w:val="%1."/>
      <w:numFmt w:val="decimal"/>
      <w:start w:val="15"/>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lvl w:ilvl="1">
      <w:lvlJc w:val="left"/>
      <w:lvlText w:val="%2"/>
      <w:numFmt w:val="decimal"/>
      <w:start w:val="104"/>
    </w:lvl>
  </w:abstractNum>
  <w:abstractNum w:abstractNumId="59">
    <w:nsid w:val="4AD084E9"/>
    <w:multiLevelType w:val="hybridMultilevel"/>
    <w:lvl w:ilvl="0">
      <w:lvlJc w:val="left"/>
      <w:lvlText w:val="**"/>
      <w:numFmt w:val="bullet"/>
      <w:start w:val="1"/>
    </w:lvl>
    <w:lvl w:ilvl="1">
      <w:lvlJc w:val="left"/>
      <w:lvlText w:val="%2"/>
      <w:numFmt w:val="decimal"/>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lowerRoman"/>
      <w:start w:val="1"/>
    </w:lvl>
    <w:lvl w:ilvl="1">
      <w:lvlJc w:val="left"/>
      <w:lvlText w:val="•"/>
      <w:numFmt w:val="bullet"/>
      <w:start w:val="1"/>
    </w:lvl>
  </w:abstractNum>
  <w:abstractNum w:abstractNumId="62">
    <w:nsid w:val="5DB70AE5"/>
    <w:multiLevelType w:val="hybridMultilevel"/>
    <w:lvl w:ilvl="0">
      <w:lvlJc w:val="left"/>
      <w:lvlText w:val="•"/>
      <w:numFmt w:val="bullet"/>
      <w:start w:val="1"/>
    </w:lvl>
    <w:lvl w:ilvl="1">
      <w:lvlJc w:val="left"/>
      <w:lvlText w:val="o"/>
      <w:numFmt w:val="bullet"/>
      <w:start w:val="1"/>
    </w:lvl>
  </w:abstractNum>
  <w:abstractNum w:abstractNumId="63">
    <w:nsid w:val="100F8FCA"/>
    <w:multiLevelType w:val="hybridMultilevel"/>
    <w:lvl w:ilvl="0">
      <w:lvlJc w:val="left"/>
      <w:lvlText w:val="o"/>
      <w:numFmt w:val="bullet"/>
      <w:start w:val="1"/>
    </w:lvl>
    <w:lvl w:ilvl="1">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1)"/>
      <w:numFmt w:val="lowerRoman"/>
      <w:start w:val="2"/>
    </w:lvl>
  </w:abstractNum>
  <w:abstractNum w:abstractNumId="66">
    <w:nsid w:val="5F5E7FD0"/>
    <w:multiLevelType w:val="hybridMultilevel"/>
    <w:lvl w:ilvl="0">
      <w:lvlJc w:val="left"/>
      <w:lvlText w:val="(%1)"/>
      <w:numFmt w:val="lowerRoman"/>
      <w:start w:val="2"/>
    </w:lvl>
  </w:abstractNum>
  <w:abstractNum w:abstractNumId="67">
    <w:nsid w:val="98A3148"/>
    <w:multiLevelType w:val="hybridMultilevel"/>
    <w:lvl w:ilvl="0">
      <w:lvlJc w:val="left"/>
      <w:lvlText w:val="%1)"/>
      <w:numFmt w:val="decimal"/>
      <w:start w:val="2"/>
    </w:lvl>
  </w:abstractNum>
  <w:abstractNum w:abstractNumId="68">
    <w:nsid w:val="799D0247"/>
    <w:multiLevelType w:val="hybridMultilevel"/>
    <w:lvl w:ilvl="0">
      <w:lvlJc w:val="left"/>
      <w:lvlText w:val="%1)"/>
      <w:numFmt w:val="decimal"/>
      <w:start w:val="5"/>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2" Type="http://schemas.openxmlformats.org/officeDocument/2006/relationships/image" Target="media/image91.png"/><Relationship Id="rId105" Type="http://schemas.openxmlformats.org/officeDocument/2006/relationships/image" Target="media/image92.png"/><Relationship Id="rId108" Type="http://schemas.openxmlformats.org/officeDocument/2006/relationships/image" Target="media/image93.png"/><Relationship Id="rId111" Type="http://schemas.openxmlformats.org/officeDocument/2006/relationships/image" Target="media/image94.png"/><Relationship Id="rId114" Type="http://schemas.openxmlformats.org/officeDocument/2006/relationships/image" Target="media/image95.png"/><Relationship Id="rId117"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97" Type="http://schemas.openxmlformats.org/officeDocument/2006/relationships/hyperlink" Target="http://www.sec.gov/Archives/edgar/data/1549922/000119312520133180/d921511dex21.htm" TargetMode="External"/><Relationship Id="rId98" Type="http://schemas.openxmlformats.org/officeDocument/2006/relationships/hyperlink" Target="http://www.sec.gov/Archives/edgar/data/1549922/000119312520158609/d933187dex31.htm" TargetMode="External"/><Relationship Id="rId100" Type="http://schemas.openxmlformats.org/officeDocument/2006/relationships/hyperlink" Target="http://www.sec.gov/Archives/edgar/data/1549922/000119312520158609/d933187dex32.htm" TargetMode="External"/><Relationship Id="rId101" Type="http://schemas.openxmlformats.org/officeDocument/2006/relationships/hyperlink" Target="http://www.sec.gov/Archives/edgar/data/1549922/000104746912008450/a2209444zex-3_1.htm" TargetMode="External"/><Relationship Id="rId103" Type="http://schemas.openxmlformats.org/officeDocument/2006/relationships/hyperlink" Target="http://www.sec.gov/Archives/edgar/data/1549922/000104746912008450/a2209444zex-3_4.htm" TargetMode="External"/><Relationship Id="rId104" Type="http://schemas.openxmlformats.org/officeDocument/2006/relationships/hyperlink" Target="http://www.sec.gov/Archives/edgar/data/1549922/000119312520158609/d933187dex101.htm" TargetMode="External"/><Relationship Id="rId106" Type="http://schemas.openxmlformats.org/officeDocument/2006/relationships/hyperlink" Target="http://www.sec.gov/Archives/edgar/data/1549922/000119312520158609/d933187dex102.htm" TargetMode="External"/><Relationship Id="rId107" Type="http://schemas.openxmlformats.org/officeDocument/2006/relationships/hyperlink" Target="http://www.sec.gov/Archives/edgar/data/1549922/000119312520158609/d933187dex103.htm" TargetMode="External"/><Relationship Id="rId109" Type="http://schemas.openxmlformats.org/officeDocument/2006/relationships/hyperlink" Target="http://www.sec.gov/Archives/edgar/data/1549922/000119312520158609/d933187dex104.htm" TargetMode="External"/><Relationship Id="rId110" Type="http://schemas.openxmlformats.org/officeDocument/2006/relationships/hyperlink" Target="http://www.sec.gov/Archives/edgar/data/1549922/000119312520158609/d933187dex105.htm" TargetMode="External"/><Relationship Id="rId112" Type="http://schemas.openxmlformats.org/officeDocument/2006/relationships/hyperlink" Target="http://www.sec.gov/Archives/edgar/data/1549922/000119312520158609/d933187dex106.htm" TargetMode="External"/><Relationship Id="rId113" Type="http://schemas.openxmlformats.org/officeDocument/2006/relationships/hyperlink" Target="http://www.sec.gov/Archives/edgar/data/1549922/000119312520158609/d933187dex107.htm" TargetMode="External"/><Relationship Id="rId115" Type="http://schemas.openxmlformats.org/officeDocument/2006/relationships/hyperlink" Target="http://www.sec.gov/Archives/edgar/data/1549922/000119312520158609/d933187dex108.htm" TargetMode="External"/><Relationship Id="rId116" Type="http://schemas.openxmlformats.org/officeDocument/2006/relationships/hyperlink" Target="http://www.sec.gov/Archives/edgar/data/1549922/000119312520158609/d933187dex109.htm" TargetMode="External"/><Relationship Id="rId118" Type="http://schemas.openxmlformats.org/officeDocument/2006/relationships/hyperlink" Target="http://www.sec.gov/Archives/edgar/data/1549922/000119312520158609/d933187dex1010.htm" TargetMode="External"/><Relationship Id="rId119" Type="http://schemas.openxmlformats.org/officeDocument/2006/relationships/hyperlink" Target="http://www.sec.gov/Archives/edgar/data/1549922/000156459020023634/smlp-ex221_1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2020-08-10T06:26:46Z</dcterms:created>
  <dcterms:modified xsi:type="dcterms:W3CDTF">2020-08-10T06:26:46Z</dcterms:modified>
</cp:coreProperties>
</file>