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5609.xml.htm"/>
      <w:bookmarkStart w:id="1" w:name="kswkform4_17833856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Johnston James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SUMMIT MIDSTREAM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LOUISIANA STREET, 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Summit Midstream Corp</w:t>
              </w:r>
            </w:hyperlink>
            <w:r>
              <w:rPr/>
              <w:t xml:space="preserve"> [ </w:t>
            </w:r>
            <w:r>
              <w:rPr>
                <w:rFonts w:ascii="Times;serif" w:hAnsi="Times;serif"/>
                <w:color w:val="0000FF"/>
                <w:sz w:val="24"/>
                <w:shd w:fill="FFFFFF" w:val="clear"/>
              </w:rPr>
              <w:t>SMC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VP, GC, CCO and Secy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29.72</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75,357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Common Stocks were sold in compliance with a qualified selling plan adopted by the reporting person pursuant to Rule 10b5-1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and has been rounded to the nearest cent. These Common Stocks were sold in multiple transactions at prices ranging from $29.42 to $30.13, inclusive. The reporting person undertakes to provide to Summit Midstream Corporation, any security holder of Summit Midstream Corporation, or the staff of the Securities and Exchange Commission, upon request, full information regarding the number of Common Stocks sold at each separate price within the ranges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David Johnston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3482" TargetMode="External"/><Relationship Id="rId5" Type="http://schemas.openxmlformats.org/officeDocument/2006/relationships/hyperlink" Target="http://www.sec.gov/cgi-bin/browse-edgar?action=getcompany&amp;CIK=00020242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3718</Characters>
  <CharactersWithSpaces>4345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