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8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2025 </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Commission file number: 001-42201</w:t>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Summit Midstream Corporation</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Delaware</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910 Louisiana Street, Suite 4200</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Houston, TX</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99-3056990</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77002</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(832) 413-4770</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827" w:type="dxa"/>
        <w:jc w:val="left"/>
        <w:tblInd w:w="0" w:type="dxa"/>
        <w:tblLayout w:type="fixed"/>
        <w:tblCellMar>
          <w:top w:w="28" w:type="dxa"/>
          <w:left w:w="28" w:type="dxa"/>
          <w:bottom w:w="28" w:type="dxa"/>
          <w:right w:w="28" w:type="dxa"/>
        </w:tblCellMar>
      </w:tblPr>
      <w:tblGrid>
        <w:gridCol w:w="1119"/>
        <w:gridCol w:w="986"/>
        <w:gridCol w:w="1000"/>
        <w:gridCol w:w="484"/>
        <w:gridCol w:w="484"/>
        <w:gridCol w:w="486"/>
        <w:gridCol w:w="509"/>
        <w:gridCol w:w="509"/>
        <w:gridCol w:w="509"/>
        <w:gridCol w:w="509"/>
        <w:gridCol w:w="509"/>
        <w:gridCol w:w="723"/>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8"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SMC</w:t>
            </w:r>
          </w:p>
        </w:tc>
        <w:tc>
          <w:tcPr>
            <w:tcW w:w="3268"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r>
    </w:tbl>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8"/>
        </w:rPr>
        <w: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erif" w:hAnsi="Times New Roman;serif"/>
          <w:b w:val="false"/>
          <w:color w:val="000000"/>
          <w:sz w:val="16"/>
        </w:rPr>
        <w:t>Indicate by check mark whether the registrant is a shell company (as defined in Rule 12b-2 of the Exchange Act).</w:t>
      </w:r>
      <w:r>
        <w:rPr>
          <w:color w:val="000000"/>
        </w:rPr>
        <w:t> ☐ </w:t>
      </w:r>
      <w:r>
        <w:rPr>
          <w:rFonts w:ascii="Times New Roman;serif" w:hAnsi="Times New Roman;serif"/>
          <w:b w:val="false"/>
          <w:color w:val="000000"/>
          <w:sz w:val="18"/>
        </w:rPr>
        <w:t>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5590" w:type="dxa"/>
        <w:jc w:val="left"/>
        <w:tblInd w:w="0" w:type="dxa"/>
        <w:tblLayout w:type="fixed"/>
        <w:tblCellMar>
          <w:top w:w="28" w:type="dxa"/>
          <w:left w:w="28" w:type="dxa"/>
          <w:bottom w:w="28" w:type="dxa"/>
          <w:right w:w="28" w:type="dxa"/>
        </w:tblCellMar>
      </w:tblPr>
      <w:tblGrid>
        <w:gridCol w:w="1333"/>
        <w:gridCol w:w="1176"/>
        <w:gridCol w:w="1195"/>
        <w:gridCol w:w="109"/>
        <w:gridCol w:w="109"/>
        <w:gridCol w:w="109"/>
        <w:gridCol w:w="455"/>
        <w:gridCol w:w="455"/>
        <w:gridCol w:w="649"/>
      </w:tblGrid>
      <w:tr>
        <w:trPr/>
        <w:tc>
          <w:tcPr>
            <w:tcW w:w="133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July 31, 2025</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12,241,864</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6,524,467</w:t>
            </w:r>
          </w:p>
        </w:tc>
      </w:tr>
    </w:tbl>
    <w:p>
      <w:pPr>
        <w:pStyle w:val="TextBody"/>
        <w:bidi w:val="0"/>
        <w:spacing w:before="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7"/>
        <w:gridCol w:w="2457"/>
        <w:gridCol w:w="2496"/>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76f9448ffcb3417982e604af421f894c_10">
              <w:r>
                <w:rPr>
                  <w:rStyle w:val="InternetLink"/>
                  <w:rFonts w:ascii="Times New Roman;serif" w:hAnsi="Times New Roman;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0">
              <w:r>
                <w:rPr>
                  <w:rStyle w:val="InternetLink"/>
                  <w:rFonts w:ascii="Times New Roman;serif" w:hAnsi="Times New Roman;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3">
              <w:r>
                <w:rPr>
                  <w:rStyle w:val="InternetLink"/>
                  <w:rFonts w:ascii="Times New Roman;serif" w:hAnsi="Times New Roman;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3">
              <w:r>
                <w:rPr>
                  <w:rStyle w:val="InternetLink"/>
                  <w:rFonts w:ascii="Times New Roman;serif" w:hAnsi="Times New Roman;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
              <w:r>
                <w:rPr>
                  <w:rStyle w:val="InternetLink"/>
                  <w:rFonts w:ascii="Times New Roman;serif" w:hAnsi="Times New Roman;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
              <w:r>
                <w:rPr>
                  <w:rStyle w:val="InternetLink"/>
                  <w:rFonts w:ascii="Times New Roman;serif" w:hAnsi="Times New Roman;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9">
              <w:r>
                <w:rPr>
                  <w:rStyle w:val="InternetLink"/>
                  <w:rFonts w:ascii="Times New Roman;serif" w:hAnsi="Times New Roman;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9">
              <w:r>
                <w:rPr>
                  <w:rStyle w:val="InternetLink"/>
                  <w:rFonts w:ascii="Times New Roman;serif" w:hAnsi="Times New Roman;serif"/>
                  <w:b w:val="false"/>
                  <w:color w:val="0000FF"/>
                  <w:sz w:val="20"/>
                  <w:u w:val="single"/>
                </w:rPr>
                <w:t>7</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22">
              <w:r>
                <w:rPr>
                  <w:rStyle w:val="InternetLink"/>
                  <w:rFonts w:ascii="Times New Roman;serif" w:hAnsi="Times New Roman;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22">
              <w:r>
                <w:rPr>
                  <w:rStyle w:val="InternetLink"/>
                  <w:rFonts w:ascii="Times New Roman;serif" w:hAnsi="Times New Roman;serif"/>
                  <w:b w:val="false"/>
                  <w:color w:val="0000FF"/>
                  <w:sz w:val="20"/>
                  <w:u w:val="single"/>
                </w:rPr>
                <w:t>8</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25">
              <w:r>
                <w:rPr>
                  <w:rStyle w:val="InternetLink"/>
                  <w:rFonts w:ascii="Times New Roman;serif" w:hAnsi="Times New Roman;serif"/>
                  <w:b w:val="false"/>
                  <w:color w:val="0000FF"/>
                  <w:sz w:val="20"/>
                  <w:u w:val="single"/>
                </w:rPr>
                <w:t>Unaudited Condensed Consolidated Statements of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25">
              <w:r>
                <w:rPr>
                  <w:rStyle w:val="InternetLink"/>
                  <w:rFonts w:ascii="Times New Roman;serif" w:hAnsi="Times New Roman;serif"/>
                  <w:b w:val="false"/>
                  <w:color w:val="0000FF"/>
                  <w:sz w:val="20"/>
                  <w:u w:val="single"/>
                </w:rPr>
                <w:t>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28">
              <w:r>
                <w:rPr>
                  <w:rStyle w:val="InternetLink"/>
                  <w:rFonts w:ascii="Times New Roman;serif" w:hAnsi="Times New Roman;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28">
              <w:r>
                <w:rPr>
                  <w:rStyle w:val="InternetLink"/>
                  <w:rFonts w:ascii="Times New Roman;serif" w:hAnsi="Times New Roman;serif"/>
                  <w:b w:val="false"/>
                  <w:color w:val="0000FF"/>
                  <w:sz w:val="20"/>
                  <w:u w:val="single"/>
                </w:rPr>
                <w:t>10</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31">
              <w:r>
                <w:rPr>
                  <w:rStyle w:val="InternetLink"/>
                  <w:rFonts w:ascii="Times New Roman;serif" w:hAnsi="Times New Roman;serif"/>
                  <w:b w:val="false"/>
                  <w:color w:val="0000FF"/>
                  <w:sz w:val="20"/>
                  <w:u w:val="single"/>
                </w:rPr>
                <w:t>Notes to Unaudited Condensed Consolidated Financial Statements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31">
              <w:r>
                <w:rPr>
                  <w:rStyle w:val="InternetLink"/>
                  <w:rFonts w:ascii="Times New Roman;serif" w:hAnsi="Times New Roman;serif"/>
                  <w:b w:val="false"/>
                  <w:color w:val="0000FF"/>
                  <w:sz w:val="20"/>
                  <w:u w:val="single"/>
                </w:rPr>
                <w:t>11</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91">
              <w:r>
                <w:rPr>
                  <w:rStyle w:val="InternetLink"/>
                  <w:rFonts w:ascii="Times New Roman;serif" w:hAnsi="Times New Roman;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91">
              <w:r>
                <w:rPr>
                  <w:rStyle w:val="InternetLink"/>
                  <w:rFonts w:ascii="Times New Roman;serif" w:hAnsi="Times New Roman;serif"/>
                  <w:b w:val="false"/>
                  <w:color w:val="0000FF"/>
                  <w:sz w:val="20"/>
                  <w:u w:val="single"/>
                </w:rPr>
                <w:t>32</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0">
              <w:r>
                <w:rPr>
                  <w:rStyle w:val="InternetLink"/>
                  <w:rFonts w:ascii="Times New Roman;serif" w:hAnsi="Times New Roman;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0">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60">
              <w:r>
                <w:rPr>
                  <w:rStyle w:val="InternetLink"/>
                  <w:rFonts w:ascii="Times New Roman;serif" w:hAnsi="Times New Roman;serif"/>
                  <w:b w:val="false"/>
                  <w:color w:val="0000FF"/>
                  <w:sz w:val="20"/>
                  <w:u w:val="single"/>
                </w:rPr>
                <w:t>53</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3">
              <w:r>
                <w:rPr>
                  <w:rStyle w:val="InternetLink"/>
                  <w:rFonts w:ascii="Times New Roman;serif" w:hAnsi="Times New Roman;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3">
              <w:r>
                <w:rPr>
                  <w:rStyle w:val="InternetLink"/>
                  <w:rFonts w:ascii="Times New Roman;serif" w:hAnsi="Times New Roman;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63">
              <w:r>
                <w:rPr>
                  <w:rStyle w:val="InternetLink"/>
                  <w:rFonts w:ascii="Times New Roman;serif" w:hAnsi="Times New Roman;serif"/>
                  <w:b w:val="false"/>
                  <w:color w:val="0000FF"/>
                  <w:sz w:val="20"/>
                  <w:u w:val="single"/>
                </w:rPr>
                <w:t>53</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6">
              <w:r>
                <w:rPr>
                  <w:rStyle w:val="InternetLink"/>
                  <w:rFonts w:ascii="Times New Roman;serif" w:hAnsi="Times New Roman;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6">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66">
              <w:r>
                <w:rPr>
                  <w:rStyle w:val="InternetLink"/>
                  <w:rFonts w:ascii="Times New Roman;serif" w:hAnsi="Times New Roman;serif"/>
                  <w:b w:val="false"/>
                  <w:color w:val="0000FF"/>
                  <w:sz w:val="20"/>
                  <w:u w:val="single"/>
                </w:rPr>
                <w:t>54</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9">
              <w:r>
                <w:rPr>
                  <w:rStyle w:val="InternetLink"/>
                  <w:rFonts w:ascii="Times New Roman;serif" w:hAnsi="Times New Roman;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69">
              <w:r>
                <w:rPr>
                  <w:rStyle w:val="InternetLink"/>
                  <w:rFonts w:ascii="Times New Roman;serif" w:hAnsi="Times New Roman;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69">
              <w:r>
                <w:rPr>
                  <w:rStyle w:val="InternetLink"/>
                  <w:rFonts w:ascii="Times New Roman;serif" w:hAnsi="Times New Roman;serif"/>
                  <w:b w:val="false"/>
                  <w:color w:val="0000FF"/>
                  <w:sz w:val="20"/>
                  <w:u w:val="single"/>
                </w:rPr>
                <w:t>54</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72">
              <w:r>
                <w:rPr>
                  <w:rStyle w:val="InternetLink"/>
                  <w:rFonts w:ascii="Times New Roman;serif" w:hAnsi="Times New Roman;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72">
              <w:r>
                <w:rPr>
                  <w:rStyle w:val="InternetLink"/>
                  <w:rFonts w:ascii="Times New Roman;serif" w:hAnsi="Times New Roman;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72">
              <w:r>
                <w:rPr>
                  <w:rStyle w:val="InternetLink"/>
                  <w:rFonts w:ascii="Times New Roman;serif" w:hAnsi="Times New Roman;serif"/>
                  <w:b w:val="false"/>
                  <w:color w:val="0000FF"/>
                  <w:sz w:val="20"/>
                  <w:u w:val="single"/>
                </w:rPr>
                <w:t>54</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75">
              <w:r>
                <w:rPr>
                  <w:rStyle w:val="InternetLink"/>
                  <w:rFonts w:ascii="Times New Roman;serif" w:hAnsi="Times New Roman;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75">
              <w:r>
                <w:rPr>
                  <w:rStyle w:val="InternetLink"/>
                  <w:rFonts w:ascii="Times New Roman;serif" w:hAnsi="Times New Roman;serif"/>
                  <w:b w:val="false"/>
                  <w:color w:val="0000FF"/>
                  <w:sz w:val="20"/>
                  <w:u w:val="single"/>
                </w:rPr>
                <w:t>Other Information</w:t>
              </w:r>
            </w:hyperlink>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75">
              <w:r>
                <w:rPr>
                  <w:rStyle w:val="InternetLink"/>
                  <w:rFonts w:ascii="Times New Roman;serif" w:hAnsi="Times New Roman;serif"/>
                  <w:b w:val="false"/>
                  <w:color w:val="0000FF"/>
                  <w:sz w:val="20"/>
                  <w:u w:val="single"/>
                </w:rPr>
                <w:t>55</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81">
              <w:r>
                <w:rPr>
                  <w:rStyle w:val="InternetLink"/>
                  <w:rFonts w:ascii="Times New Roman;serif" w:hAnsi="Times New Roman;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81">
              <w:r>
                <w:rPr>
                  <w:rStyle w:val="InternetLink"/>
                  <w:rFonts w:ascii="Times New Roman;serif" w:hAnsi="Times New Roman;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81">
              <w:r>
                <w:rPr>
                  <w:rStyle w:val="InternetLink"/>
                  <w:rFonts w:ascii="Times New Roman;serif" w:hAnsi="Times New Roman;serif"/>
                  <w:b w:val="false"/>
                  <w:color w:val="0000FF"/>
                  <w:sz w:val="20"/>
                  <w:u w:val="single"/>
                </w:rPr>
                <w:t>55</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6f9448ffcb3417982e604af421f894c_184">
              <w:r>
                <w:rPr>
                  <w:rStyle w:val="InternetLink"/>
                  <w:rFonts w:ascii="Times New Roman;serif" w:hAnsi="Times New Roman;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f9448ffcb3417982e604af421f894c_184">
              <w:r>
                <w:rPr>
                  <w:rStyle w:val="InternetLink"/>
                  <w:rFonts w:ascii="Times New Roman;serif" w:hAnsi="Times New Roman;serif"/>
                  <w:b w:val="false"/>
                  <w:color w:val="0000FF"/>
                  <w:sz w:val="20"/>
                  <w:u w:val="single"/>
                </w:rPr>
                <w:t>56</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COMMONLY USED OR DEFINED TERMS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45"/>
        <w:gridCol w:w="438"/>
        <w:gridCol w:w="441"/>
        <w:gridCol w:w="2707"/>
        <w:gridCol w:w="2384"/>
        <w:gridCol w:w="3390"/>
      </w:tblGrid>
      <w:tr>
        <w:trPr/>
        <w:tc>
          <w:tcPr>
            <w:tcW w:w="8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2015 Blacktail Release</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2015 rupture of our four-inch produced water gathering pipeline near Williston, North Dakota</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Senior Notes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and Finance Corp.’s 5.75% senior unsecured notes due April 2025, which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were fully repaid on August 16, 2024</w:t>
            </w:r>
          </w:p>
          <w:p>
            <w:pPr>
              <w:pStyle w:val="TableContents"/>
              <w:bidi w:val="0"/>
              <w:spacing w:before="0" w:after="0"/>
              <w:jc w:val="left"/>
              <w:rPr/>
            </w:pPr>
            <w:r>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Secured Notes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and Finance Corp.’s 8.500% senior secured second lien notes due October 2026, which were fully repaid on October 15, 2024</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Unsecured Notes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and Finance Corp.’s 12.00% senior unsecured notes due October 2026, which were fully repaid on June 24, 2024</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Secured Notes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8.625% Senior Secured Second Lien Notes due October 2029</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ABL Agreement</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ABL Facility</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asset-based lending credit facility governed by the ABL Agreement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2029 Secured Notes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$250,000,000 in aggregate principal amount of 2029 Secured Notes issued on January</w:t>
              <w:br/>
              <w:t>10, 2025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ABL Agreement</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Loan and Security Agreement, dated as of July 26, 2024, among Summit Holdings, as borrower, SMLP and certain subsidiaries from time to time party thereto, as guarantors, Bank of America, N.A., as agent, and Bank of America, N.A., Royal Bank of Canada, Regions Capital Markets, TD Securities (USA) LLC, JPMorgan Chase Bank, N.A, Citizens Bank, N.A., and Truist Bank, as joint lead arrangers and joint bookrunners</w:t>
            </w:r>
          </w:p>
          <w:p>
            <w:pPr>
              <w:pStyle w:val="TableContents"/>
              <w:bidi w:val="0"/>
              <w:spacing w:before="0" w:after="0"/>
              <w:jc w:val="left"/>
              <w:rPr/>
            </w:pPr>
            <w:r>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ABL Facility </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asset-based lending credit facility governed by the Amended and Restated ABL Agreement</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Bcf/d</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equivalent of one billion cubic feet per day; generally calculated when liquids are converted into natural gas; determined using a ratio of six thousand cubic feet of natural gas to one barrel of liquids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of Summit Midstream Corporation</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of the Company, par value $0.01 per share</w:t>
            </w:r>
          </w:p>
          <w:p>
            <w:pPr>
              <w:pStyle w:val="TableContents"/>
              <w:bidi w:val="0"/>
              <w:spacing w:before="0" w:after="0"/>
              <w:jc w:val="left"/>
              <w:rPr/>
            </w:pPr>
            <w:r>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of the Company, par value $0.01 per share</w:t>
            </w:r>
          </w:p>
          <w:p>
            <w:pPr>
              <w:pStyle w:val="TableContents"/>
              <w:bidi w:val="0"/>
              <w:spacing w:before="0" w:after="0"/>
              <w:jc w:val="left"/>
              <w:rPr/>
            </w:pPr>
            <w:r>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condensate</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natural gas liquid with a low vapor pressure, mainly composed of propane, butane, pentane and heavier hydrocarbon fractions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66"/>
        <w:gridCol w:w="498"/>
        <w:gridCol w:w="499"/>
        <w:gridCol w:w="2653"/>
        <w:gridCol w:w="2474"/>
        <w:gridCol w:w="3515"/>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Reorganization</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August 1, 2024 consummation of a transaction that resulted in SMLP becoming a wholly owned subsidiary of a newly formed Delaware corporation, Summit Midstream Corporation (taxed as a C-corporation)</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DJ Basin</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Denver-Julesburg Basin</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DOJ</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Justice</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Double E</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 E Pipeline,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 E Pipeline</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135 mile, 1.5 Bcf/d, FERC-regulated interstate natural gas transmission pipeline that commenced operations in November 2021 and provides transportation service from multiple receipt points in the Delaware Basin to various delivery points in and around the Waha hub in Texas </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Protection Agency</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or loss per share</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FERC</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Energy Regulatory Commission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Corp.</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Finance Corp.</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of America</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GP, LLC</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hub</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geographic location of a storage facility and multiple pipeline interconnections</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Initial 2029 Secured Notes</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$575,000,000 in aggregate principal amount of 2029 Secured Notes issued on July 26,</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2024</w:t>
            </w:r>
          </w:p>
          <w:p>
            <w:pPr>
              <w:pStyle w:val="TableContents"/>
              <w:bidi w:val="0"/>
              <w:spacing w:before="0" w:after="0"/>
              <w:jc w:val="left"/>
              <w:rPr/>
            </w:pPr>
            <w:r>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Intercreditor Agreement</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Holdings and the other grantors referred to therein as reaffirmed and modified by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Notice of Reaffirmation</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Mbbl/d</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thousand barrels per day</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Meadowlark Midstream</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Meadowlark Midstream Company,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million British thermal units</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MMcf/d</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million cubic feet per day</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Moonrise Midstream, LLC</w:t>
            </w:r>
          </w:p>
          <w:p>
            <w:pPr>
              <w:pStyle w:val="TableContents"/>
              <w:bidi w:val="0"/>
              <w:spacing w:before="0" w:after="0"/>
              <w:jc w:val="left"/>
              <w:rPr/>
            </w:pPr>
            <w:r>
              <w:rPr/>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8"/>
        <w:gridCol w:w="502"/>
        <w:gridCol w:w="506"/>
        <w:gridCol w:w="2484"/>
        <w:gridCol w:w="2484"/>
        <w:gridCol w:w="3531"/>
      </w:tblGrid>
      <w:tr>
        <w:trPr/>
        <w:tc>
          <w:tcPr>
            <w:tcW w:w="6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Acquisition</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consummation of the transaction contemplated by the Moonrise Acquisition Agreement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Acquisition Agreement</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Membership Interest Purchase Agreement, dated as of March 10, 2025, by and among the Company, Summit Holdings, Fundare Resources Company HoldCo, LLC, and solely for</w:t>
              <w:br/>
              <w:t>purposes of Section 9.19 thereto, Fundare Resources Company, LLC, pursuant to which</w:t>
              <w:br/>
              <w:t>Fundare Resources Company HoldCo, LLC contributed all of its equity interests in</w:t>
              <w:br/>
              <w:t>Moonrise to Summit Holdings in exchange for total consideration equal to $90.0 million</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Mountaineer Midstream</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Mountaineer Midstream Company, LLC</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Mountaineer Transaction</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the Mountaineer Midstream system to Antero Midstream LLC for a cash sale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of $70 million, subject to customary post-closing adjustments</w:t>
            </w:r>
          </w:p>
          <w:p>
            <w:pPr>
              <w:pStyle w:val="TableContents"/>
              <w:bidi w:val="0"/>
              <w:spacing w:before="0" w:after="0"/>
              <w:jc w:val="left"/>
              <w:rPr/>
            </w:pPr>
            <w:r>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MVC</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minimum volume commitment</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NGLs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Notice of Reaffirmation</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Notice and Reaffirmation of Intercreditor Agreement, dated as of July 26, 2024, by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among Bank of America, N.A., as first lien representative and collateral agent for the initial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lien claimholders, Regions Bank, as second lien representative and collateral agent for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second lien claimholders, acknowledged and agreed to by Summit Holdings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other grantors referred to therein</w:t>
            </w:r>
          </w:p>
          <w:p>
            <w:pPr>
              <w:pStyle w:val="TableContents"/>
              <w:bidi w:val="0"/>
              <w:spacing w:before="0" w:after="0"/>
              <w:jc w:val="left"/>
              <w:rPr/>
            </w:pPr>
            <w:r>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NYSE</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OCC</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 Condensate Company, L.L.C.</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OGC</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 Gathering Company, L.L.C.</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Ohio Gathering</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 Gathering Company, L.L.C. and Ohio Condensate Company, L.L.C.</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Partnership Common Units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units representing limited partner interests of SMLP</w:t>
            </w:r>
          </w:p>
          <w:p>
            <w:pPr>
              <w:pStyle w:val="TableContents"/>
              <w:bidi w:val="0"/>
              <w:spacing w:before="0" w:after="0"/>
              <w:jc w:val="left"/>
              <w:rPr/>
            </w:pPr>
            <w:r>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play</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proven geological formation that contains commercial amounts of hydrocarbons</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Permian Holdco</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Summit Permian Transmission Holdco, LLC</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Permian Term Loan Facility</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Permian Transmission Credit Facilities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credit facilities governed by the Credit Agreement, dated as of March 8, 2021, among Summit Permian Transmission, as borrower, MUFG Bank Ltd., as administrative agent, Mizuho Bank (USA), as collateral agent, ING Capital LLC, Mizuho Bank, Ltd. and MUFG Union Bank, N.A., as L/C issuers, coordinating lead arrangers and joint bookrunners, and the lenders from time to time party thereto</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produced water</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from underground geologic formations that is a by-product of natural gas and crude oil production</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42"/>
        <w:gridCol w:w="462"/>
        <w:gridCol w:w="467"/>
        <w:gridCol w:w="2736"/>
        <w:gridCol w:w="2400"/>
        <w:gridCol w:w="3398"/>
      </w:tblGrid>
      <w:tr>
        <w:trPr/>
        <w:tc>
          <w:tcPr>
            <w:tcW w:w="74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stock-based and noncash compensation, (vii) impairments and (viii) other noncash expenses or losses, less other noncash income or gains</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Certificate of Designation</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Certificate of Designation of Series A Floating Rate Cumulative Redeemable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Perpetual Preferred Stock of the Company</w:t>
            </w:r>
          </w:p>
          <w:p>
            <w:pPr>
              <w:pStyle w:val="TableContents"/>
              <w:bidi w:val="0"/>
              <w:spacing w:before="0" w:after="0"/>
              <w:jc w:val="left"/>
              <w:rPr/>
            </w:pPr>
            <w:r>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Fixed-to-Floating Rate Cumulative Redeemable Perpetual Preferred Stock issued</w:t>
              <w:br/>
              <w:t>by the Company</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Units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Fixed-to-Floating Rate Cumulative Redeemable Perpetual Preferred Units issued by SMLP</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shortfall payment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payment received from a counterparty when its volume throughput does not meet its MVC for the applicable period</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SMC LTIP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 2024 Long-Term Incentive Plan</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SMLP</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Partners, LP</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SMLP LTIP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SMLP 2022 Long-Term Incentive Plan</w:t>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Subsidiary Series A Preferred Units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Fixed Rate Cumulative Redeemable Preferred Units issued by Permian Holdco</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Holdings, LLC</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Investments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Partners, LLC</w:t>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Summit Permian Transmission</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Permian Transmission, LLC</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Utica</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Utica, LLC</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Midstream Operating, LLC</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Acquisition</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consummation of the transaction contemplated by the Tall Oak Business Contribution Agreement</w:t>
            </w:r>
          </w:p>
          <w:p>
            <w:pPr>
              <w:pStyle w:val="TableContents"/>
              <w:bidi w:val="0"/>
              <w:spacing w:before="0" w:after="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Business Contribution Agreement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Business Contribution Agreement, dated as of October 1, 2024, by and among the Company, SMLP, and Tall Oak Parent, pursuant to which Tall Oak Parent contributed all of its equity interests in Tall Oak to SMLP in exchange for total consideration equal to $425.0 million</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Parent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Midstream Holdings, LLC</w:t>
            </w:r>
          </w:p>
          <w:p>
            <w:pPr>
              <w:pStyle w:val="TableContents"/>
              <w:bidi w:val="0"/>
              <w:spacing w:before="0" w:after="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 and its subsidiaries</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3"/>
        <w:gridCol w:w="495"/>
        <w:gridCol w:w="496"/>
        <w:gridCol w:w="2670"/>
        <w:gridCol w:w="2419"/>
        <w:gridCol w:w="3432"/>
      </w:tblGrid>
      <w:tr>
        <w:trPr/>
        <w:tc>
          <w:tcPr>
            <w:tcW w:w="6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throughput volume</w:t>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volume of natural gas, crude oil or produced water gathered, transported or passing through a pipeline, plant or other facility during a particular period; also referred to as volume throughput</w:t>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unconventional resource basin</w:t>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Utica Sale</w:t>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Summit Utica to a subsidiary of MPLX LP for a cash sale price of $625.0 million,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customary post-closing adjustments</w:t>
            </w:r>
          </w:p>
          <w:p>
            <w:pPr>
              <w:pStyle w:val="TableContents"/>
              <w:bidi w:val="0"/>
              <w:spacing w:before="0" w:after="0"/>
              <w:jc w:val="left"/>
              <w:rPr/>
            </w:pPr>
            <w:r>
              <w:rPr/>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wellhead</w:t>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equipment at the surface of a well, used to control the well’s pressure; also, the point at which the hydrocarbons and water exit the ground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793"/>
        <w:gridCol w:w="2306"/>
        <w:gridCol w:w="2335"/>
        <w:gridCol w:w="199"/>
        <w:gridCol w:w="886"/>
        <w:gridCol w:w="110"/>
        <w:gridCol w:w="110"/>
        <w:gridCol w:w="110"/>
        <w:gridCol w:w="110"/>
        <w:gridCol w:w="199"/>
        <w:gridCol w:w="886"/>
        <w:gridCol w:w="161"/>
      </w:tblGrid>
      <w:tr>
        <w:trPr/>
        <w:tc>
          <w:tcPr>
            <w:tcW w:w="2793"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b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br/>
              <w:t>2024</w:t>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 except share amounts)</w:t>
            </w:r>
          </w:p>
        </w:tc>
      </w:tr>
      <w:tr>
        <w:trPr/>
        <w:tc>
          <w:tcPr>
            <w:tcW w:w="7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ASSETS</w:t>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77,058 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116,071 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1,853,154 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1,785,029 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160,049 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154,279 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equity method investee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268,311 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269,561 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2,423,043 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2,359,484 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EQUITY</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 accounts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 valorem taxes payable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 and employee benefits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interest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environmental remediation</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settlement payable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long-term debt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157,386 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174,801 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debt,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1,058,663 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976,995 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deferred revenue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accrued environmental remediation</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1,327,057 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1,261,413 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17"/>
              </w:rPr>
              <w:t>Commitments and contingencies (See Note</w:t>
            </w:r>
            <w:r>
              <w:rPr>
                <w:color w:val="000000"/>
              </w:rPr>
              <w:t xml:space="preserve"> </w:t>
            </w:r>
            <w:r>
              <w:rPr>
                <w:rFonts w:ascii="Times New Roman;serif" w:hAnsi="Times New Roman;serif"/>
                <w:b w:val="false"/>
                <w:color w:val="000000"/>
                <w:sz w:val="17"/>
              </w:rPr>
              <w:t>9)</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Mezzanine Equity</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Subsidiary Series A Preferred Units (93,039 issued and outstanding as of June 30, 2025 and December 31, 2024)</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136,960 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Equity</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A Preferred Stock (65,508 authorized, issued and outstanding as of June 30, 2025 and December 31, 2024)</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110,508 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110,230 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$0.01 par value (42,000,000 authorized as of June 30, 2025 and December 31, 2024; 12,241,864 and 10,659,220 issued and outstanding as of June 30, 2025 and December 31, 2024, respectively)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$0.01 par value (7,471,008 shares authorized as of June 30, 2025 and December 31, 2024; 6,524,467 and 7,471,008 issued and outstanding as of June 30, 2025 and December 31, 2024, respectively)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634,508 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540,714 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(193,248)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(183,333)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Company Stockholders’ equity</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551,955 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467,792 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407,071 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497,333 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Equity</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959,026 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965,125 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EQUITY</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2,423,043 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2,359,484 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821"/>
        <w:gridCol w:w="1455"/>
        <w:gridCol w:w="1465"/>
        <w:gridCol w:w="211"/>
        <w:gridCol w:w="721"/>
        <w:gridCol w:w="109"/>
        <w:gridCol w:w="109"/>
        <w:gridCol w:w="109"/>
        <w:gridCol w:w="109"/>
        <w:gridCol w:w="211"/>
        <w:gridCol w:w="783"/>
        <w:gridCol w:w="109"/>
        <w:gridCol w:w="109"/>
        <w:gridCol w:w="109"/>
        <w:gridCol w:w="109"/>
        <w:gridCol w:w="211"/>
        <w:gridCol w:w="826"/>
        <w:gridCol w:w="109"/>
        <w:gridCol w:w="109"/>
        <w:gridCol w:w="109"/>
        <w:gridCol w:w="109"/>
        <w:gridCol w:w="211"/>
        <w:gridCol w:w="826"/>
        <w:gridCol w:w="156"/>
      </w:tblGrid>
      <w:tr>
        <w:trPr/>
        <w:tc>
          <w:tcPr>
            <w:tcW w:w="182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Subsidiary Series A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Series A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loss attributable to noncontrolling interest in SMLP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Summit Midstream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EQUITY</w:t>
      </w:r>
    </w:p>
    <w:tbl>
      <w:tblPr>
        <w:tblW w:w="11298" w:type="dxa"/>
        <w:jc w:val="center"/>
        <w:tblInd w:w="0" w:type="dxa"/>
        <w:tblLayout w:type="fixed"/>
        <w:tblCellMar>
          <w:top w:w="28" w:type="dxa"/>
          <w:left w:w="28" w:type="dxa"/>
          <w:bottom w:w="28" w:type="dxa"/>
          <w:right w:w="28" w:type="dxa"/>
        </w:tblCellMar>
      </w:tblPr>
      <w:tblGrid>
        <w:gridCol w:w="576"/>
        <w:gridCol w:w="177"/>
        <w:gridCol w:w="178"/>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361"/>
        <w:gridCol w:w="109"/>
        <w:gridCol w:w="109"/>
        <w:gridCol w:w="109"/>
        <w:gridCol w:w="109"/>
        <w:gridCol w:w="198"/>
        <w:gridCol w:w="313"/>
        <w:gridCol w:w="120"/>
        <w:gridCol w:w="109"/>
        <w:gridCol w:w="109"/>
        <w:gridCol w:w="109"/>
        <w:gridCol w:w="181"/>
        <w:gridCol w:w="616"/>
        <w:gridCol w:w="109"/>
        <w:gridCol w:w="109"/>
        <w:gridCol w:w="109"/>
        <w:gridCol w:w="109"/>
        <w:gridCol w:w="181"/>
        <w:gridCol w:w="631"/>
        <w:gridCol w:w="109"/>
        <w:gridCol w:w="109"/>
        <w:gridCol w:w="109"/>
        <w:gridCol w:w="109"/>
        <w:gridCol w:w="212"/>
        <w:gridCol w:w="724"/>
        <w:gridCol w:w="130"/>
        <w:gridCol w:w="109"/>
        <w:gridCol w:w="109"/>
        <w:gridCol w:w="109"/>
        <w:gridCol w:w="181"/>
        <w:gridCol w:w="61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Partners’ Capital </w:t>
              <w:b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br/>
              <w:t>(After Corporate Reorganization)</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Summit Midstream Corporation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7"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497,333 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Moonrise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Common Stock and Partnership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impact of Up-C 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Equity shift (See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(86,526)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409,818 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Equity shift (See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407,071 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11238" w:type="dxa"/>
        <w:jc w:val="center"/>
        <w:tblInd w:w="0" w:type="dxa"/>
        <w:tblLayout w:type="fixed"/>
        <w:tblCellMar>
          <w:top w:w="28" w:type="dxa"/>
          <w:left w:w="28" w:type="dxa"/>
          <w:bottom w:w="28" w:type="dxa"/>
          <w:right w:w="28" w:type="dxa"/>
        </w:tblCellMar>
      </w:tblPr>
      <w:tblGrid>
        <w:gridCol w:w="500"/>
        <w:gridCol w:w="215"/>
        <w:gridCol w:w="216"/>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95"/>
        <w:gridCol w:w="438"/>
        <w:gridCol w:w="118"/>
        <w:gridCol w:w="109"/>
        <w:gridCol w:w="109"/>
        <w:gridCol w:w="109"/>
        <w:gridCol w:w="181"/>
        <w:gridCol w:w="406"/>
        <w:gridCol w:w="109"/>
        <w:gridCol w:w="109"/>
        <w:gridCol w:w="109"/>
        <w:gridCol w:w="109"/>
        <w:gridCol w:w="277"/>
        <w:gridCol w:w="621"/>
        <w:gridCol w:w="168"/>
        <w:gridCol w:w="109"/>
        <w:gridCol w:w="109"/>
        <w:gridCol w:w="109"/>
        <w:gridCol w:w="181"/>
        <w:gridCol w:w="61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Partners’ Capital </w:t>
              <w:b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br/>
              <w:t>(After Corporate Reorganization)</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Summit Midstream Corporation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7"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Partners’ capital,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718,563 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Partners’ capital,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748,501 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848,614 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Partners’ capital,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823,052 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CASH FLOWS</w:t>
      </w:r>
    </w:p>
    <w:tbl>
      <w:tblPr>
        <w:tblW w:w="7479" w:type="dxa"/>
        <w:jc w:val="left"/>
        <w:tblInd w:w="0" w:type="dxa"/>
        <w:tblLayout w:type="fixed"/>
        <w:tblCellMar>
          <w:top w:w="28" w:type="dxa"/>
          <w:left w:w="28" w:type="dxa"/>
          <w:bottom w:w="28" w:type="dxa"/>
          <w:right w:w="28" w:type="dxa"/>
        </w:tblCellMar>
      </w:tblPr>
      <w:tblGrid>
        <w:gridCol w:w="1919"/>
        <w:gridCol w:w="1689"/>
        <w:gridCol w:w="1702"/>
        <w:gridCol w:w="181"/>
        <w:gridCol w:w="571"/>
        <w:gridCol w:w="109"/>
        <w:gridCol w:w="109"/>
        <w:gridCol w:w="109"/>
        <w:gridCol w:w="109"/>
        <w:gridCol w:w="181"/>
        <w:gridCol w:w="646"/>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2024</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(In thousands)</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Deferred income taxes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lease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debt issuance costs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from equity method investees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from equity method investees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income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fair value of earn-out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Loss on early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(Gain) loss on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(84,010)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sale of equity method investment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Unrealized (gain) loss on interest rate swaps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Long-lived asset impairment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Trade 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Ad valorem taxes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environmental remediation,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consideration paid for the acquisition of Moonrise,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in Double E equity method investee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Utica Sale (excluding Ohio Gathering)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Ohio Gathering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332,734 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Mountaineer Transaction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asset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672,038 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Additional 2029 Secured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Borrowings on Amended and Restated ABL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ABL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(313,000)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Permian Transmission Term Loan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Redemption of 2026 Unsecured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(209,510)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- 2026 Secured Notes (Excess Cash Flow Offer)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- 2026 Secured Notes (Asset Sale Offer)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on Series A Preferred Shareholders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on Subsidiary Series A Preferred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Debt extinguishment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(559,440)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143,571 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end of period</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160,216 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BUSINESS OPERATIONS, CORPORATE REORGANIZATION AND PRESENTATION AND CONSOLIDATION</w:t>
      </w:r>
    </w:p>
    <w:p>
      <w:pPr>
        <w:pStyle w:val="TextBody"/>
        <w:bidi w:val="0"/>
        <w:spacing w:lineRule="auto" w:line="288" w:before="120" w:after="283"/>
        <w:jc w:val="left"/>
        <w:rPr/>
      </w:pPr>
      <w:r>
        <w:rPr>
          <w:rFonts w:ascii="Times New Roman;serif" w:hAnsi="Times New Roman;serif"/>
          <w:b/>
          <w:i/>
          <w:color w:val="000000"/>
          <w:sz w:val="20"/>
        </w:rPr>
        <w:t>Organization.</w:t>
      </w:r>
      <w:r>
        <w:rPr>
          <w:color w:val="000000"/>
        </w:rPr>
        <w:t> </w:t>
      </w:r>
      <w:r>
        <w:rPr>
          <w:rFonts w:ascii="Times New Roman;serif" w:hAnsi="Times New Roman;serif"/>
          <w:b w:val="false"/>
          <w:color w:val="000000"/>
          <w:sz w:val="20"/>
        </w:rPr>
        <w:t>Summit Midstream Corporation (including its subsidiaries, collectively the “Company”) was incorporated under the laws of the State of Delaware on May 14, 2024 for the purpose of effecting the reorganization (the “Corporate Reorganization”) of Summit Midstream Partners, LP, a Delaware master limited partnership (“SMLP”), in which the Company was incorporated to serve as the new parent holding company of SMLP. The Company’s common stock, par value $0.01 per share (“common stock”), is listed on the New York Stock Exchange (“NYSE”) under the ticker symbol “SMC.” SMLP was formed in May 2012, and prior to August 1, 2024, SMLP’s common units were listed on the NYSE under the ticker symbol “SMLP.” Upon completion of the Tall Oak Acquisition (as defined herein) on December 2, 2024, ownership of SMLP shifted to an Up</w:t>
        <w:noBreakHyphen/>
        <w:t>C tax structure, with the Company owning SMLP alongside holders of a noncontrolling limited partnership interest.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a value-oriented company focused on developing, owning and operating midstream energy infrastructure assets that are strategically located in the core producing areas of unconventional resource basins, primarily shale formations, in the continental United States. The Company’s business activities are primarily conducted through various operating subsidiaries, each of which is owned or controlled by its subsidiary holding company, Summit Midstream Holdings, LLC, a Delaware limited liability company (“Summit Holdings”).</w:t>
      </w:r>
    </w:p>
    <w:p>
      <w:pPr>
        <w:pStyle w:val="TextBody"/>
        <w:bidi w:val="0"/>
        <w:spacing w:lineRule="auto" w:line="288" w:before="120" w:after="283"/>
        <w:jc w:val="left"/>
        <w:rPr/>
      </w:pPr>
      <w:r>
        <w:rPr>
          <w:rFonts w:ascii="Times New Roman;serif" w:hAnsi="Times New Roman;serif"/>
          <w:b/>
          <w:i/>
          <w:color w:val="000000"/>
          <w:sz w:val="20"/>
        </w:rPr>
        <w:t>Business Operations.</w:t>
      </w:r>
      <w:r>
        <w:rPr>
          <w:color w:val="000000"/>
        </w:rPr>
        <w:t> </w:t>
      </w:r>
      <w:r>
        <w:rPr>
          <w:rFonts w:ascii="Times New Roman;serif" w:hAnsi="Times New Roman;serif"/>
          <w:b w:val="false"/>
          <w:color w:val="000000"/>
          <w:sz w:val="20"/>
        </w:rPr>
        <w:t>The Company provides natural gas gathering, compression, treating and processing services as well as crude oil and produced water 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w:t>
      </w:r>
    </w:p>
    <w:p>
      <w:pPr>
        <w:pStyle w:val="TextBody"/>
        <w:bidi w:val="0"/>
        <w:spacing w:lineRule="auto" w:line="288" w:before="120" w:after="283"/>
        <w:jc w:val="left"/>
        <w:rPr/>
      </w:pPr>
      <w:r>
        <w:rPr>
          <w:rFonts w:ascii="Times New Roman;serif" w:hAnsi="Times New Roman;serif"/>
          <w:b/>
          <w:i/>
          <w:color w:val="000000"/>
          <w:sz w:val="20"/>
        </w:rPr>
        <w:t>Corporate Reorganization</w:t>
      </w:r>
      <w:r>
        <w:rPr>
          <w:rFonts w:ascii="Times New Roman;serif" w:hAnsi="Times New Roman;serif"/>
          <w:b/>
          <w:color w:val="000000"/>
          <w:sz w:val="20"/>
        </w:rPr>
        <w:t xml:space="preserve">. </w:t>
      </w:r>
      <w:r>
        <w:rPr>
          <w:rFonts w:ascii="Times New Roman;serif" w:hAnsi="Times New Roman;serif"/>
          <w:b w:val="false"/>
          <w:color w:val="000000"/>
          <w:sz w:val="20"/>
        </w:rPr>
        <w:t xml:space="preserve">In connection with the Corporate Reorganization, SMLP entered into an Agreement and Plan of Merger (the “Merger Agreement”), by and among SMLP, the Company, Summit SMC NewCo, LLC (“Merger Sub”), a wholly owned subsidiary of the Company, and the General Partner. Pursuant to the Merger Agreement, Merger Sub merged with and into SMLP (the “Merger”), with SMLP continuing as the surviving entity and a wholly owned subsidiary of the Company, with (i) each then outstanding common unit representing limited partner interests in SMLP automatically converting into the right to receive one share of the Company’s common stock and (ii) each then outstanding Series A Preferred Unit automatically converting into the right to receive one share of Series A Preferred Stock. The Merger was accounted for as a common-control transaction between SMLP and Summit Midstream Corporation as a result of SMLP’s unitholders controlling both SMLP and Summit Midstream Corporation before and after the Merger. Upon consummation of the Corporate Reorganization, Summit Midstream Corporation recognized (i) income tax expense in its consolidated statements of operations for temporary differences that existed as of the date of the Corporate Reorganization, (ii) a tax benefit to equity due to changes in tax bases of assets and liabilities and (iii) a net deferred tax liability in its consolidated balance sheets. Upon completion of the Merger, SMLP’s common limited partner capital accounts were eliminated and replaced with shares of common stock, paid in capital, and retained deficit. Additionally, the Series A Preferred Units were exchanged for an equivalent number of shares of Series A Preferred Stock, with no substantive changes in contractual terms or investor cash flows. </w:t>
      </w:r>
    </w:p>
    <w:p>
      <w:pPr>
        <w:pStyle w:val="TextBody"/>
        <w:bidi w:val="0"/>
        <w:spacing w:lineRule="auto" w:line="288" w:before="120" w:after="283"/>
        <w:jc w:val="left"/>
        <w:rPr/>
      </w:pPr>
      <w:r>
        <w:rPr>
          <w:rFonts w:ascii="Times New Roman;serif" w:hAnsi="Times New Roman;serif"/>
          <w:b w:val="false"/>
          <w:color w:val="000000"/>
          <w:sz w:val="20"/>
        </w:rPr>
        <w:t>As a result of the Corporate Reorganization, periods prior to August 1, 2024 reflect Summit Midstream as a limited partnership, not a corporation. References to common units for periods prior to the Corporate Reorganization refer to common units of SMLP, and references to common stock for periods following the Corporate Reorganization refer to shares of common stock of the Company. The primary financial impacts of the Corporate Reorganization to the consolidated financial statements were (i) reclassification of the partnership capital accounts to equity accounts reflective of a corporation and (ii) income tax effects. Subsequent to the Corporate Reorganization, on December 2, 2024, the Company completed the Tall Oak Acquisition. As a result of the Tall Oak Acquisition, SMLP is treated as a partnership for U.S. federal income tax purposes and is now jointly owned by the Company and Tall Oak Parent, each with economic voting rights, and Tall Oak Parent now owns exchangeable non-economic Class B Common Stock with Company voting rights, resulting in an Up-C tax structure.</w:t>
      </w:r>
      <w:r>
        <w:rPr>
          <w:color w:val="000000"/>
        </w:rPr>
        <w:t xml:space="preserve"> </w:t>
      </w:r>
      <w:r>
        <w:rPr>
          <w:rFonts w:ascii="Times New Roman;serif" w:hAnsi="Times New Roman;serif"/>
          <w:b w:val="false"/>
          <w:color w:val="000000"/>
          <w:sz w:val="20"/>
        </w:rPr>
        <w:t>The Company consolidates SMLP and presents Tall Oak Parent’s ownership of SMLP as a noncontrolling interest. See Note 3 - Acquisitions for additional information.</w:t>
      </w:r>
    </w:p>
    <w:p>
      <w:pPr>
        <w:pStyle w:val="TextBody"/>
        <w:bidi w:val="0"/>
        <w:spacing w:lineRule="auto" w:line="288" w:before="120" w:after="283"/>
        <w:jc w:val="left"/>
        <w:rPr/>
      </w:pPr>
      <w:r>
        <w:rPr>
          <w:rFonts w:ascii="Times New Roman;serif" w:hAnsi="Times New Roman;serif"/>
          <w:b/>
          <w:i/>
          <w:color w:val="000000"/>
          <w:sz w:val="20"/>
        </w:rPr>
        <w:t>Presentation and Consolidation.</w:t>
      </w:r>
      <w:r>
        <w:rPr>
          <w:color w:val="000000"/>
        </w:rPr>
        <w:t> </w:t>
      </w:r>
      <w:r>
        <w:rPr>
          <w:rFonts w:ascii="Times New Roman;serif" w:hAnsi="Times New Roman;serif"/>
          <w:b w:val="false"/>
          <w:color w:val="000000"/>
          <w:sz w:val="20"/>
        </w:rPr>
        <w:t xml:space="preserve">The Company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statements and notes thereto should be read in conjunction with the consolidated financial statements and related notes that are included in the Company’s Annual Report on Form 10-K for the year ended December 31, 2024 (the “2024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assets, liabilities and results of operations of the Company.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RECENTLY ISSUED ACCOUNTING STANDARDS APPLICABLE TO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the Company’s significant accounting policies since December 31, 2024.</w:t>
      </w:r>
    </w:p>
    <w:p>
      <w:pPr>
        <w:pStyle w:val="TextBody"/>
        <w:bidi w:val="0"/>
        <w:spacing w:lineRule="auto" w:line="288" w:before="120" w:after="120"/>
        <w:jc w:val="left"/>
        <w:rPr/>
      </w:pPr>
      <w:r>
        <w:rPr>
          <w:rFonts w:ascii="Times New Roman;serif" w:hAnsi="Times New Roman;serif"/>
          <w:b/>
          <w:i/>
          <w:color w:val="000000"/>
          <w:sz w:val="20"/>
        </w:rPr>
        <w:t xml:space="preserve">New accounting standards not yet implemented. </w:t>
      </w:r>
      <w:r>
        <w:rPr>
          <w:rFonts w:ascii="Times New Roman;serif" w:hAnsi="Times New Roman;serif"/>
          <w:b w:val="false"/>
          <w:color w:val="000000"/>
          <w:sz w:val="20"/>
        </w:rPr>
        <w:t>ASU 2023-09, Income Taxes (Topic 740): Improvements to Income Tax Disclosures (“ASU 2023-09”). ASU 2023-09 requires additional transparency for income tax disclosures, including the income tax rate reconciliation table and cash taxes paid both in the United States and foreign jurisdictions. This standard is effective for annual periods beginning after December 15, 2024. The Company is currently assessing the impact this standard will have on our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ASU 2024-03, Income Statement - Reporting Comprehensive Income - Expense Disaggregation Disclosures (Subtopic 220-40): Disaggregation of Income Statement Expenses (“ASU 2024-03”). ASU 2024-03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assessing the impact this standard will have on our disclosures within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ACQUISITIONS AND DIVESTITURES</w:t>
      </w:r>
    </w:p>
    <w:p>
      <w:pPr>
        <w:pStyle w:val="TextBody"/>
        <w:bidi w:val="0"/>
        <w:spacing w:lineRule="auto" w:line="288" w:before="120" w:after="120"/>
        <w:jc w:val="left"/>
        <w:rPr/>
      </w:pPr>
      <w:r>
        <w:rPr>
          <w:rFonts w:ascii="Times New Roman;serif" w:hAnsi="Times New Roman;serif"/>
          <w:b/>
          <w:i/>
          <w:color w:val="000000"/>
          <w:sz w:val="20"/>
        </w:rPr>
        <w:t xml:space="preserve">Moonrise Acquisition. </w:t>
      </w:r>
      <w:r>
        <w:rPr>
          <w:rFonts w:ascii="Times New Roman;serif" w:hAnsi="Times New Roman;serif"/>
          <w:b w:val="false"/>
          <w:color w:val="000000"/>
          <w:sz w:val="20"/>
        </w:rPr>
        <w:t>On March 10, 2025, the Company completed the transaction contemplated in the Membership Interest Purchase Agreement, dated as of March 10, 2025, by and among the Company,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(“Moonrise”), to Summit Holdings in exchange for total consideration equal to approximately $90.0 million (the “Moonrise Acquisition”). Total consideration consisted of (i) a $70.0 million cash payment and (ii) the issuance of 462,265 shares of common stock of the Company.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certain assets and liabilities, including property, plant and equipment and other intangible assets required the use of significant judgements and estimates. As a result, the provisional measurements below are preliminary and subject to change during the measurement period and such changes could be material. The Company continues to assess the fair values of the assets acquired and liabilities assumed.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preliminary fair value of the assets acquired and liabilities assumed as of the acquisition date. Certain data and assessments necessary to complete the purchase price allocation are still under evaluation, including, but not limited to,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7712" w:type="dxa"/>
        <w:jc w:val="left"/>
        <w:tblInd w:w="0" w:type="dxa"/>
        <w:tblLayout w:type="fixed"/>
        <w:tblCellMar>
          <w:top w:w="28" w:type="dxa"/>
          <w:left w:w="28" w:type="dxa"/>
          <w:bottom w:w="28" w:type="dxa"/>
          <w:right w:w="28" w:type="dxa"/>
        </w:tblCellMar>
      </w:tblPr>
      <w:tblGrid>
        <w:gridCol w:w="2281"/>
        <w:gridCol w:w="2003"/>
        <w:gridCol w:w="2015"/>
        <w:gridCol w:w="109"/>
        <w:gridCol w:w="109"/>
        <w:gridCol w:w="109"/>
        <w:gridCol w:w="211"/>
        <w:gridCol w:w="721"/>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Preliminary Purchase Price Allocation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consideration paid for Moonrise </w:t>
            </w:r>
            <w:r>
              <w:rPr>
                <w:rFonts w:ascii="Times New Roman;serif" w:hAnsi="Times New Roman;serif"/>
                <w:b/>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Recognized amounts of identifiable assets acquired and liabilities assumed: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 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Purchase price consideration includes $17.9 million of equity consideration (462,265 shares valued at $38.71 per share on March 10, 2025) as well as $1.9 million of cash acquired.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assets acquired and liabilities assumed were recorded at their preliminary estimated fair values at the date of the acquisition. Acquired working capital amounts are expected to approximate fair value due to their short-term nature. The valuation of certain assets, including property, are based on preliminary appraisals.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 for industry peers.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acquired consist of rights-of-way with a weighted average amortization period of approximately 30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the Moonrise Acquisition, during the second quarter of 2025, the Company integrated the Moonrise assets within its Niobrara G&amp;P system. As a result of the integration, it is impracticable to disclose the amounts of revenues and earnings that the Moonrise Acquisition contributed to the Company’s condensed consolidated statements of operations during the reporting period. </w:t>
      </w:r>
    </w:p>
    <w:p>
      <w:pPr>
        <w:pStyle w:val="TextBody"/>
        <w:bidi w:val="0"/>
        <w:spacing w:lineRule="auto" w:line="288" w:before="120" w:after="120"/>
        <w:jc w:val="left"/>
        <w:rPr/>
      </w:pPr>
      <w:r>
        <w:rPr>
          <w:rFonts w:ascii="Times New Roman;serif" w:hAnsi="Times New Roman;serif"/>
          <w:b/>
          <w:i/>
          <w:color w:val="000000"/>
          <w:sz w:val="20"/>
        </w:rPr>
        <w:t>Tall Oak Business Contribution Agreement.</w:t>
      </w:r>
      <w:r>
        <w:rPr>
          <w:color w:val="000000"/>
        </w:rPr>
        <w:t xml:space="preserve"> </w:t>
      </w:r>
      <w:r>
        <w:rPr>
          <w:rFonts w:ascii="Times New Roman;serif" w:hAnsi="Times New Roman;serif"/>
          <w:b w:val="false"/>
          <w:color w:val="000000"/>
          <w:sz w:val="20"/>
        </w:rPr>
        <w:t xml:space="preserve">On December 2, 2024, the Company completed the transaction contemplated in the Business Contribution Agreement (the “Tall Oak Business Contribution Agreement”), by and among the Company, SMLP, and Tall Oak Midstream Holdings, LLC, a Delaware limited liability company (“Tall Oak Parent”), pursuant to which Tall Oak Parent contributed all of its equity interests in Tall Oak Midstream Operating, LLC, a Delaware limited liability company (“Tall Oak”), to the Company in exchange for an aggregate amount equal to (i) $425.0 million, consisting of (a) $155.0 million in cash consideration, subject to certain adjustments contemplated by the Tall Oak Business Contribution Agreement, and (b) 7,471,008 shares of Class B Common Stock and 7,471,008 Partnership Common Units, plus (ii) potential cumulative earn-out payments continuing through March 31, 2026, not to exceed $25.0 million in the aggregate, that Tall Oak Parent may become entitled to receive pursuant to the Tall Oak Business Contribution Agreement, subject to Tall Oak and its customers meeting certain development requirements (the “Tall Oak Acquisition”).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paid $0.8 million to Tall Oak Midstream Management, LLC for transition services in connection with the Tall Oak acquisition, which is recorded within general and administrative expense on the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 material changes were made subsequent to the provisional purchase accounting measurements initially recorded in December 2024 for the Tall Oak Acquisition. The provisional measurements are subject to change during the measurement period and such changes could be material. The Company continues to assess the fair values of the assets acquired and liabilities assumed. Certain data and assessments necessary to complete the purchase price allocation are still under evaluation, including, but not limited to,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p>
      <w:pPr>
        <w:pStyle w:val="TextBody"/>
        <w:bidi w:val="0"/>
        <w:spacing w:lineRule="auto" w:line="288" w:before="120" w:after="283"/>
        <w:jc w:val="left"/>
        <w:rPr/>
      </w:pPr>
      <w:r>
        <w:rPr>
          <w:rFonts w:ascii="Times New Roman;serif" w:hAnsi="Times New Roman;serif"/>
          <w:b/>
          <w:i/>
          <w:color w:val="000000"/>
          <w:sz w:val="20"/>
        </w:rPr>
        <w:t xml:space="preserve">Pro Forma Information (Unaudited). </w:t>
      </w:r>
      <w:r>
        <w:rPr>
          <w:rFonts w:ascii="Times New Roman;serif" w:hAnsi="Times New Roman;serif"/>
          <w:b w:val="false"/>
          <w:color w:val="000000"/>
          <w:sz w:val="20"/>
        </w:rPr>
        <w:t xml:space="preserve">The following table summarizes the unaudited pro forma condensed financial information of the Company as if the Moonrise Acquisition and Tall Oak Acquisition had occurred on January 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4193" w:type="dxa"/>
        <w:jc w:val="left"/>
        <w:tblInd w:w="0" w:type="dxa"/>
        <w:tblLayout w:type="fixed"/>
        <w:tblCellMar>
          <w:top w:w="28" w:type="dxa"/>
          <w:left w:w="28" w:type="dxa"/>
          <w:bottom w:w="28" w:type="dxa"/>
          <w:right w:w="28" w:type="dxa"/>
        </w:tblCellMar>
      </w:tblPr>
      <w:tblGrid>
        <w:gridCol w:w="554"/>
        <w:gridCol w:w="486"/>
        <w:gridCol w:w="489"/>
        <w:gridCol w:w="211"/>
        <w:gridCol w:w="826"/>
        <w:gridCol w:w="109"/>
        <w:gridCol w:w="109"/>
        <w:gridCol w:w="109"/>
        <w:gridCol w:w="109"/>
        <w:gridCol w:w="211"/>
        <w:gridCol w:w="82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information is for information purposes only and is not necessarily indicative of the operating results that would have occurred had the Moonrise Acquisition and Tall Oak Acquisition been completed at January 1, 2024, nor is it necessarily indicative of future operating results. </w:t>
      </w:r>
    </w:p>
    <w:p>
      <w:pPr>
        <w:pStyle w:val="TextBody"/>
        <w:bidi w:val="0"/>
        <w:spacing w:lineRule="auto" w:line="288" w:before="120" w:after="120"/>
        <w:jc w:val="left"/>
        <w:rPr/>
      </w:pPr>
      <w:r>
        <w:rPr>
          <w:rFonts w:ascii="Times New Roman;serif" w:hAnsi="Times New Roman;serif"/>
          <w:b/>
          <w:i/>
          <w:color w:val="000000"/>
          <w:sz w:val="20"/>
        </w:rPr>
        <w:t>Summit Utica Sale.</w:t>
      </w:r>
      <w:r>
        <w:rPr>
          <w:color w:val="000000"/>
        </w:rPr>
        <w:t xml:space="preserve"> </w:t>
      </w:r>
      <w:r>
        <w:rPr>
          <w:rFonts w:ascii="Times New Roman;serif" w:hAnsi="Times New Roman;serif"/>
          <w:b w:val="false"/>
          <w:color w:val="000000"/>
          <w:sz w:val="20"/>
        </w:rPr>
        <w:t xml:space="preserve">On March 22, 2024, SMLP completed the disposition of Summit Utica to a subsidiary of MPLX LP for a cash sale price of $625.0 million, subject to customary post-closing adjustments (the “Utica Sale”). Summit Utica was the owner of (i) approximately 36% of the issued and outstanding equity interests in OGC, (ii) approximately 38% of the issued and outstanding equity interests in OCC and (iii) midstream assets located in the Utica Shale. Ohio Gathering was the owner of a natural gas gathering system and condensate stabilization facility located in Belmont and Monroe counties in the Utica Shale in southeastern Ohio.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quarterly period ended March 31, 2024, SMLP recognized a total gain on the disposition of Summit Utica of $212.5 million based on total cash proceeds received of $625.0 million and net assets sold of $412.5 million. A portion of the cash proceeds was used to reduce amounts outstanding under the ABL Facility and pay the costs and expenses in connection with the Asset Sale Offer (as defined below; see Note 8 - Debt, for additional information) and are subject to final working capital adjustments.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$625.0 million sale price did not discretely list values for OGC, OCC or SMLP’s midstream assets located in the Utica Shale. Using fair value methods allowed by GAAP, SMLP derived a preliminary fair value estimate for the disposed assets and then determined the appropriate gain recognition amount for each disposal to include in its consolidated financial statements. The fair values were determined utilizing a discounted cash flow technique based on estimated revenues, costs, capital expenditures and an appropriate discount rate. Given the unobservable nature of the inputs, the fair value measurement is deemed to use Level 3 inputs. Based on these fair values, as of June 30, 2024, SMLP recognized a gain on the disposition of the Utica midstream business of $85.6 million, which is recorded within gain on sale of business in the Company’s consolidated statements of operations, and a gain of $126.3 million related to the disposition of Ohio Gathering, which is recorded within gain on sale of Ohio Gathering in the Company’s consolidated statements of operations. </w:t>
      </w:r>
    </w:p>
    <w:p>
      <w:pPr>
        <w:pStyle w:val="TextBody"/>
        <w:bidi w:val="0"/>
        <w:spacing w:lineRule="auto" w:line="288" w:before="120" w:after="120"/>
        <w:jc w:val="left"/>
        <w:rPr/>
      </w:pPr>
      <w:r>
        <w:rPr>
          <w:rFonts w:ascii="Times New Roman;serif" w:hAnsi="Times New Roman;serif"/>
          <w:b/>
          <w:i/>
          <w:color w:val="000000"/>
          <w:sz w:val="20"/>
        </w:rPr>
        <w:t>Mountaineer Midstream System.</w:t>
      </w:r>
      <w:r>
        <w:rPr>
          <w:color w:val="000000"/>
        </w:rPr>
        <w:t xml:space="preserve"> </w:t>
      </w:r>
      <w:r>
        <w:rPr>
          <w:rFonts w:ascii="Times New Roman;serif" w:hAnsi="Times New Roman;serif"/>
          <w:b w:val="false"/>
          <w:color w:val="000000"/>
          <w:sz w:val="20"/>
        </w:rPr>
        <w:t>On May 1, 2024, SMLP completed the sale of its Mountaineer Midstream system, to Antero Midstream LLC for a cash sale price of $70.0 million (the “Mountaineer Transaction”). Mountaineer Midstream was the owner of midstream assets located in the Marcellus Shale. Prior to closing the Mountaineer Transaction, SMLP sold related compression assets located in the Marcellus Shale to a compression service provider for cash consideration of approximately $5 million in April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2024, SMLP recognized an impairment of $68.0 million in connection with the Mountaineer Transaction and the sale of compression assets based on their estimated fair value and net assets sold of approximately $143.0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estimated revenue, as of June 30, 2025, expected to be recognized during the remainder of 2025 and over the remaining contract period related to performance obligations that are unsatisfied and are comprised of estimated MVC shortfall payments.</w:t>
      </w:r>
    </w:p>
    <w:tbl>
      <w:tblPr>
        <w:tblW w:w="10171" w:type="dxa"/>
        <w:jc w:val="left"/>
        <w:tblInd w:w="0" w:type="dxa"/>
        <w:tblLayout w:type="fixed"/>
        <w:tblCellMar>
          <w:top w:w="28" w:type="dxa"/>
          <w:left w:w="28" w:type="dxa"/>
          <w:bottom w:w="28" w:type="dxa"/>
          <w:right w:w="28" w:type="dxa"/>
        </w:tblCellMar>
      </w:tblPr>
      <w:tblGrid>
        <w:gridCol w:w="1058"/>
        <w:gridCol w:w="930"/>
        <w:gridCol w:w="9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54"/>
        <w:gridCol w:w="490"/>
        <w:gridCol w:w="187"/>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Revenue by category.</w:t>
      </w:r>
      <w:r>
        <w:rPr>
          <w:color w:val="000000"/>
        </w:rPr>
        <w:t> </w:t>
      </w:r>
      <w:r>
        <w:rPr>
          <w:rFonts w:ascii="Times New Roman;serif" w:hAnsi="Times New Roman;serif"/>
          <w:b w:val="false"/>
          <w:color w:val="000000"/>
          <w:sz w:val="20"/>
        </w:rPr>
        <w:t>In the following tables, revenue is disaggregated by geographic area and major products and services. For more detailed information about reportable segments, see Note 16 – 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2"/>
        <w:gridCol w:w="626"/>
        <w:gridCol w:w="629"/>
        <w:gridCol w:w="426"/>
        <w:gridCol w:w="1668"/>
        <w:gridCol w:w="220"/>
        <w:gridCol w:w="109"/>
        <w:gridCol w:w="109"/>
        <w:gridCol w:w="109"/>
        <w:gridCol w:w="521"/>
        <w:gridCol w:w="1782"/>
        <w:gridCol w:w="269"/>
        <w:gridCol w:w="109"/>
        <w:gridCol w:w="109"/>
        <w:gridCol w:w="109"/>
        <w:gridCol w:w="238"/>
        <w:gridCol w:w="815"/>
        <w:gridCol w:w="123"/>
        <w:gridCol w:w="109"/>
        <w:gridCol w:w="109"/>
        <w:gridCol w:w="109"/>
        <w:gridCol w:w="211"/>
        <w:gridCol w:w="826"/>
        <w:gridCol w:w="158"/>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97,051 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PROPERTY, PLANT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Details on the Company’s property, plant and equipment follow.</w:t>
      </w:r>
    </w:p>
    <w:tbl>
      <w:tblPr>
        <w:tblW w:w="7893" w:type="dxa"/>
        <w:jc w:val="left"/>
        <w:tblInd w:w="0" w:type="dxa"/>
        <w:tblLayout w:type="fixed"/>
        <w:tblCellMar>
          <w:top w:w="28" w:type="dxa"/>
          <w:left w:w="28" w:type="dxa"/>
          <w:bottom w:w="28" w:type="dxa"/>
          <w:right w:w="28" w:type="dxa"/>
        </w:tblCellMar>
      </w:tblPr>
      <w:tblGrid>
        <w:gridCol w:w="1712"/>
        <w:gridCol w:w="1502"/>
        <w:gridCol w:w="1511"/>
        <w:gridCol w:w="211"/>
        <w:gridCol w:w="976"/>
        <w:gridCol w:w="109"/>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and processing systems and related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2,372,881 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line fill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2,509,611 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1,785,029 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capitalized interest for the Company follow.</w:t>
      </w:r>
    </w:p>
    <w:tbl>
      <w:tblPr>
        <w:tblW w:w="7065"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EQUITY METHOD INVESTMENTS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has an equity method investment in Double E, the balance of which is included in the Investment in equity method investees caption on the unaudited condensed consolidated balance sheets. On March 22, 2024, in connection with the Utica Sale, the Company sold its investment in Ohio Gathering and recognized $126.3 million gain, which is recorded within Gain on sale of equity method investment within the unaudited condensed consolidated statements of operations. See Note 3 - Acquisitions and Divestitures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DEFERRED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balances in deferred revenue as of June 30, 2025 and December 31, 2024 are primarily related to contributions in aid of construction which will be recognized as revenue over the life of the contract. An update of current deferred revenue follows.</w:t>
      </w:r>
    </w:p>
    <w:tbl>
      <w:tblPr>
        <w:tblW w:w="5174" w:type="dxa"/>
        <w:jc w:val="left"/>
        <w:tblInd w:w="0" w:type="dxa"/>
        <w:tblLayout w:type="fixed"/>
        <w:tblCellMar>
          <w:top w:w="28" w:type="dxa"/>
          <w:left w:w="28" w:type="dxa"/>
          <w:bottom w:w="28" w:type="dxa"/>
          <w:right w:w="28" w:type="dxa"/>
        </w:tblCellMar>
      </w:tblPr>
      <w:tblGrid>
        <w:gridCol w:w="1442"/>
        <w:gridCol w:w="1271"/>
        <w:gridCol w:w="1276"/>
        <w:gridCol w:w="255"/>
        <w:gridCol w:w="744"/>
        <w:gridCol w:w="186"/>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deferred revenue, December 31, 2024</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additions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revenue recognized and 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deferred revenue, June 30, 2025</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of noncurrent deferred revenue follows.</w:t>
      </w:r>
    </w:p>
    <w:tbl>
      <w:tblPr>
        <w:tblW w:w="6030" w:type="dxa"/>
        <w:jc w:val="left"/>
        <w:tblInd w:w="0" w:type="dxa"/>
        <w:tblLayout w:type="fixed"/>
        <w:tblCellMar>
          <w:top w:w="28" w:type="dxa"/>
          <w:left w:w="28" w:type="dxa"/>
          <w:bottom w:w="28" w:type="dxa"/>
          <w:right w:w="28" w:type="dxa"/>
        </w:tblCellMar>
      </w:tblPr>
      <w:tblGrid>
        <w:gridCol w:w="1755"/>
        <w:gridCol w:w="1543"/>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deferred revenue, December 31, 2024</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deferred revenue, June 30, 2025</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Debt for the Company as of June 30, 2025 and December 31, 2024, follows:</w:t>
      </w:r>
    </w:p>
    <w:tbl>
      <w:tblPr>
        <w:tblW w:w="10205" w:type="dxa"/>
        <w:jc w:val="left"/>
        <w:tblInd w:w="0" w:type="dxa"/>
        <w:tblLayout w:type="fixed"/>
        <w:tblCellMar>
          <w:top w:w="28" w:type="dxa"/>
          <w:left w:w="28" w:type="dxa"/>
          <w:bottom w:w="28" w:type="dxa"/>
          <w:right w:w="28" w:type="dxa"/>
        </w:tblCellMar>
      </w:tblPr>
      <w:tblGrid>
        <w:gridCol w:w="2683"/>
        <w:gridCol w:w="2231"/>
        <w:gridCol w:w="2246"/>
        <w:gridCol w:w="211"/>
        <w:gridCol w:w="976"/>
        <w:gridCol w:w="109"/>
        <w:gridCol w:w="109"/>
        <w:gridCol w:w="109"/>
        <w:gridCol w:w="109"/>
        <w:gridCol w:w="251"/>
        <w:gridCol w:w="985"/>
        <w:gridCol w:w="186"/>
      </w:tblGrid>
      <w:tr>
        <w:trPr/>
        <w:tc>
          <w:tcPr>
            <w:tcW w:w="2683"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Amended and Restated ABL Facility</w:t>
            </w:r>
            <w:r>
              <w:rPr>
                <w:rFonts w:ascii="Times New Roman;serif" w:hAnsi="Times New Roman;serif"/>
                <w:b w:val="false"/>
                <w:color w:val="000000"/>
                <w:sz w:val="20"/>
              </w:rPr>
              <w:t>: Summit Holdings’ asset based credit facility due July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Permian Transmission Term Loan</w:t>
            </w:r>
            <w:r>
              <w:rPr>
                <w:rFonts w:ascii="Times New Roman;serif" w:hAnsi="Times New Roman;serif"/>
                <w:b w:val="false"/>
                <w:color w:val="000000"/>
                <w:sz w:val="20"/>
              </w:rPr>
              <w:t>: Summit Permian Transmission’s variable rate senior secured term loan due January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2029 Secured Notes</w:t>
            </w:r>
            <w:r>
              <w:rPr>
                <w:rFonts w:ascii="Times New Roman;serif" w:hAnsi="Times New Roman;serif"/>
                <w:b w:val="false"/>
                <w:color w:val="000000"/>
                <w:sz w:val="20"/>
              </w:rPr>
              <w:t>: 8.625% senior secured second lien notes due October 2029</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premium and debt issuance costs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debt discount, premium and debt issuance costs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Permian Transmission 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976,995 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Amended and Restated ABL Facility.</w:t>
      </w:r>
      <w:r>
        <w:rPr>
          <w:color w:val="000000"/>
        </w:rPr>
        <w:t xml:space="preserve"> </w:t>
      </w:r>
      <w:r>
        <w:rPr>
          <w:rFonts w:ascii="Times New Roman;serif" w:hAnsi="Times New Roman;serif"/>
          <w:b w:val="false"/>
          <w:color w:val="000000"/>
          <w:sz w:val="20"/>
        </w:rPr>
        <w:t xml:space="preserve">Concurrently with the issuance of the 2029 Secured Notes, as discussed below, on July 26, 2024, Summit Holdings, as borrower, amended and restated its existing first-lien, senior secured credit agreement pursuant to the Amended and Restated ABL Agreement, consisting of a $500.0 million asset-based revolving credit facility (the “Amended and Restated ABL Facility”), subject to a borrowing base comprised of a percentage of eligible accounts receivable of Summit Holdings and certain of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June 30, 2025, the most recent borrowing base determination of eligible assets totaled $528.6 million, an amount greater than the $500.0 million of aggregate lending commitments.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(such date, the “Amended and Restated ABL Termination Date”). As of June 30, 2025, the Amended and Restated ABL Facility will mature on July 26, 2029.</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Amended and Restated ABL Facility bear interest, at the election of Summit Holdings, at a SOFR-based rate or a base rate, in each case, plus an applicable borrowing margin based on our Total Net Leverage Ratio (as defined in the Amended and Restated ABL Agreement consistent with the Amended and Restated ABL Facility). The applicable margin for base rate loans varies from 1.50% to 2.25% and the applicable margin for SOFR-based loans varies from 2.50% to 3.25%, in each case, depending on our Total Net Leverage Ratio (as defined in the Amended and Restated ABL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(together with certain Secured Bank Product Obligations (as defined in the Amended and Restated ABL Agreement)) is jointly and severally guaranteed, on a senior first-priority secured basis (subject to permitted liens), by SMLP, Summit Holdings and each of the Amended and Restated ABL Facility Subsidiary Guarantors.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restricts, among other things, Summit Holdings’ and its Restricted Subsidiaries’ (as defined in the Amended and Restated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June 30, 2025, the First Lien Net Leverage Ratio (as defined in the Amended and Restated ABL Agreement) was 0.53:1.00 and the Interest Coverage Ratio was 2.76:1.00. As of June 30, 2025, the Company was in compliance with the financial covenants of the Amended and Restated ABL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(as defined in the Amended and Restated ABL Agreement) under the Amended and Restated ABL Facility will terminate.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SMLP, (iii) Closing Date Gathering Station Real Property and Closing Date Pipeline Systems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applicable margin under the adjusted SOFR borrowings was 2.750%, the interest rate was 7.18%, and the total available borrowing capacity totaled $359.2 million, after giving effect to the issuance of $0.8 million in outstanding but undrawn irrevocable standby letters of credit.</w:t>
      </w:r>
    </w:p>
    <w:p>
      <w:pPr>
        <w:pStyle w:val="TextBody"/>
        <w:bidi w:val="0"/>
        <w:spacing w:lineRule="auto" w:line="288" w:before="120" w:after="283"/>
        <w:jc w:val="left"/>
        <w:rPr/>
      </w:pPr>
      <w:r>
        <w:rPr>
          <w:rFonts w:ascii="Times New Roman;serif" w:hAnsi="Times New Roman;serif"/>
          <w:b/>
          <w:i/>
          <w:color w:val="000000"/>
          <w:sz w:val="20"/>
        </w:rPr>
        <w:t>Intercreditor Agreement.</w:t>
      </w:r>
      <w:r>
        <w:rPr>
          <w:color w:val="000000"/>
        </w:rPr>
        <w:t xml:space="preserve"> </w:t>
      </w:r>
      <w:r>
        <w:rPr>
          <w:rFonts w:ascii="Times New Roman;serif" w:hAnsi="Times New Roman;serif"/>
          <w:b w:val="false"/>
          <w:color w:val="000000"/>
          <w:sz w:val="20"/>
        </w:rPr>
        <w:t>On November 2, 2021, Summit Holdings and the other guarantors party thereto entered into an Intercreditor Agreement (as modified by the Notice of Reaffirmation (as defined below), the “Intercreditor Agreement”) with Bank of America, N.A., as first lien representative and collateral agent for the initial first lien claimholders, and Regions Bank, as initial second lien representative for the initial second lien claimholders and collateral agent for the initial second lien claimholders, which was reaffirmed by Bank of America, N.A., in connection with its entry into the Amended and Restated ABL Facility, and which Regions Bank joined as an additional second lien representative for the additional second lien claimholders and additional second lien collateral agent for the additional second lien claimholders, in each case, pursuant to that certain Notice and Reaffirmation of Intercreditor Agreement (the “Notice of Reaffirmation”), dated as of July 26, 2024, substantially concurrently with the entry into the Amended and Restated ABL Facility. The Intercreditor Agreement establishes (i) a first-priority lien (subject to permitted liens) status for the liens on the collateral securing the ABL Facility (and will apply to the Amended and Restated ABL Facility) and any additional first-lien indebtedness and (ii) a junior priority lien (subject to permitted liens) status for the liens on the collateral securing the 2029 Secured Notes.</w:t>
      </w:r>
    </w:p>
    <w:p>
      <w:pPr>
        <w:pStyle w:val="TextBody"/>
        <w:bidi w:val="0"/>
        <w:spacing w:lineRule="auto" w:line="288" w:before="120" w:after="283"/>
        <w:jc w:val="left"/>
        <w:rPr/>
      </w:pPr>
      <w:r>
        <w:rPr>
          <w:rFonts w:ascii="Times New Roman;serif" w:hAnsi="Times New Roman;serif"/>
          <w:b/>
          <w:i/>
          <w:color w:val="000000"/>
          <w:sz w:val="20"/>
        </w:rPr>
        <w:t>Permian Transmission Credit Facilities.</w:t>
      </w:r>
      <w:r>
        <w:rPr>
          <w:color w:val="000000"/>
        </w:rPr>
        <w:t xml:space="preserve"> </w:t>
      </w:r>
      <w:r>
        <w:rPr>
          <w:rFonts w:ascii="Times New Roman;serif" w:hAnsi="Times New Roman;serif"/>
          <w:b w:val="false"/>
          <w:color w:val="000000"/>
          <w:sz w:val="20"/>
        </w:rPr>
        <w:t>On March 8, 2021, SMLP’s unrestricted subsidiary, Summit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applicable margin under adjusted term SOFR borrowings was 2.475%, the average interest rate was 6.80% and the unused portion of the Permian Transmission Credit Facilities totaled $4.5 million, subject to a commitment fee of 0.7% after giving effect to the issuance of $10.5 million in outstanding but undrawn irrevocable standby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Summit Permian Transmission entered into interest rate hedges with notional amounts representing approximately 90% of the Permian Term Loan Facility at a fixed SOFR rate of 1.23%. As of June 30, 2025, the Company was in compliance with the financial covenants of the Permian Transmission Credit Facilities. </w:t>
      </w:r>
    </w:p>
    <w:p>
      <w:pPr>
        <w:pStyle w:val="TextBody"/>
        <w:bidi w:val="0"/>
        <w:spacing w:lineRule="auto" w:line="288" w:before="120" w:after="283"/>
        <w:jc w:val="left"/>
        <w:rPr/>
      </w:pPr>
      <w:r>
        <w:rPr>
          <w:rFonts w:ascii="Times New Roman;serif" w:hAnsi="Times New Roman;serif"/>
          <w:b/>
          <w:i/>
          <w:color w:val="000000"/>
          <w:sz w:val="20"/>
        </w:rPr>
        <w:t xml:space="preserve">Permian Transmission Term Loan. </w:t>
      </w:r>
      <w:r>
        <w:rPr>
          <w:rFonts w:ascii="Times New Roman;serif" w:hAnsi="Times New Roman;serif"/>
          <w:b w:val="false"/>
          <w:color w:val="000000"/>
          <w:sz w:val="20"/>
        </w:rPr>
        <w:t xml:space="preserve">In accordance with the terms of the Permian Transmission Credit Facilities, in January 2022, the Permian Term Loan Facility was converted into a Term Loan (the “Permian Transmission Term Loan”). The Permian Transmission Term Loan is due January 2028. As of June 30, 2025, the applicable margin under adjusted term SOFR borrowings was 2.475% and the average interest rate was 6.80%. As of June 30, 2025, the Company was in compliance with the financial covenants of the Permian Transmission Term Loan.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terms of the Permian Transmission Term Loan, Summit Permian Transmission is required to make mandatory principal repayments. Below is a summary of the remaining mandatory principal repayments as of June 30, 2025: </w:t>
      </w:r>
    </w:p>
    <w:tbl>
      <w:tblPr>
        <w:tblW w:w="10205" w:type="dxa"/>
        <w:jc w:val="left"/>
        <w:tblInd w:w="0" w:type="dxa"/>
        <w:tblLayout w:type="fixed"/>
        <w:tblCellMar>
          <w:top w:w="28" w:type="dxa"/>
          <w:left w:w="28" w:type="dxa"/>
          <w:bottom w:w="28" w:type="dxa"/>
          <w:right w:w="28" w:type="dxa"/>
        </w:tblCellMar>
      </w:tblPr>
      <w:tblGrid>
        <w:gridCol w:w="846"/>
        <w:gridCol w:w="713"/>
        <w:gridCol w:w="707"/>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5"/>
      </w:tblGrid>
      <w:tr>
        <w:trPr/>
        <w:tc>
          <w:tcPr>
            <w:tcW w:w="8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color w:val="000000"/>
          <w:sz w:val="20"/>
        </w:rPr>
        <w:t xml:space="preserve">2029 Secured Notes. </w:t>
      </w:r>
      <w:r>
        <w:rPr>
          <w:rFonts w:ascii="Times New Roman;serif" w:hAnsi="Times New Roman;serif"/>
          <w:b w:val="false"/>
          <w:color w:val="000000"/>
          <w:sz w:val="20"/>
        </w:rPr>
        <w:t xml:space="preserve">On July 26, 2024, Summit Holdings issued $575.0 million aggregate principal amount of 8.625% Senior Secured Second Lien Notes due 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at a price of 103.375% of their face value, as additional notes under the same indenture pursuant to which, on July 26, 2024, Summit Holdings issued $575.0 million in aggregate principal amount of 2029 Secured Notes. As of June 30, 2025, $825.0 million of the 2029 Secured Notes were outstanding. The 2029 Secured Notes mature on October 31, 2029 and have interest payable semi-annually in arrears on each February 15 and August 15.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any time prior to July 31, 2026, Summit Holdings may on any one or more occasions redeem up to 40% of the aggregate principal amount of the 2029 Secured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Secured Notes, in whole or in part, at a price equal to 100% of their principal amount, plus a make-whole premium, together with accrued and unpaid interest to, but not including, the redemption date. Thereafter,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tbl>
      <w:tblPr>
        <w:tblW w:w="473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13"/>
        <w:gridCol w:w="413"/>
        <w:gridCol w:w="9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Redemption Price</w:t>
            </w:r>
          </w:p>
        </w:tc>
      </w:tr>
      <w:tr>
        <w:trPr/>
        <w:tc>
          <w:tcPr>
            <w:tcW w:w="25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2026 to July 30, 2027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104.313 </w:t>
            </w:r>
          </w:p>
        </w:tc>
        <w:tc>
          <w:tcPr>
            <w:tcW w:w="9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2027 to July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102.156 </w:t>
            </w:r>
          </w:p>
        </w:tc>
        <w:tc>
          <w:tcPr>
            <w:tcW w:w="9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2028 and 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8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was in compliance with the financial covenants of the indenture governing the 2029 Secured Notes.</w:t>
      </w:r>
    </w:p>
    <w:p>
      <w:pPr>
        <w:pStyle w:val="TextBody"/>
        <w:bidi w:val="0"/>
        <w:spacing w:lineRule="auto" w:line="288" w:before="120" w:after="283"/>
        <w:jc w:val="left"/>
        <w:rPr/>
      </w:pPr>
      <w:r>
        <w:rPr>
          <w:rFonts w:ascii="Times New Roman;serif" w:hAnsi="Times New Roman;serif"/>
          <w:b/>
          <w:i/>
          <w:color w:val="000000"/>
          <w:sz w:val="20"/>
        </w:rPr>
        <w:t xml:space="preserve">2026 Secured Notes. </w:t>
      </w:r>
      <w:r>
        <w:rPr>
          <w:rFonts w:ascii="Times New Roman;serif" w:hAnsi="Times New Roman;serif"/>
          <w:b w:val="false"/>
          <w:color w:val="000000"/>
          <w:sz w:val="20"/>
        </w:rPr>
        <w:t xml:space="preserve">In 2021, Summit Holdings and Finance Corp. issued $700.0 million of 8.500% Senior Secured Second Lien Notes due 2026 to eligible purchasers pursuant to Rule 144A and Regulation S of the Securities Act, at a price of 98.5% of their face value. Additionally, in November 2022, in connection with the 2022 DJ Acquisitions, Summit Holdings and Finance Corp. issued an additional $85.0 million of 2026 Secured Notes at a price of 99.26% of their face value. The Company paid interest on the 2026 Secured Notes semi-annually on April 15 and October 15 of each year. </w:t>
      </w:r>
    </w:p>
    <w:p>
      <w:pPr>
        <w:pStyle w:val="TextBody"/>
        <w:bidi w:val="0"/>
        <w:spacing w:lineRule="auto" w:line="288" w:before="120" w:after="283"/>
        <w:jc w:val="left"/>
        <w:rPr/>
      </w:pPr>
      <w:r>
        <w:rPr>
          <w:rFonts w:ascii="Times New Roman;serif" w:hAnsi="Times New Roman;serif"/>
          <w:b w:val="false"/>
          <w:i/>
          <w:color w:val="000000"/>
          <w:sz w:val="20"/>
        </w:rPr>
        <w:t xml:space="preserve">2026 Secured Notes Tender Offers and Redemption. </w:t>
      </w:r>
      <w:r>
        <w:rPr>
          <w:rFonts w:ascii="Times New Roman;serif" w:hAnsi="Times New Roman;serif"/>
          <w:b w:val="false"/>
          <w:color w:val="000000"/>
          <w:sz w:val="20"/>
        </w:rPr>
        <w:t>On March 27, 2024, Summit Holdings and Finance Corp. commenced a cash tender offer to purchase up to $19.3 million of the outstanding 2026 Secured Notes (the “Excess Cash Flow Offer”). The Excess Cash Flow Offer expired on April 24, 2024 with $13.6 million of the 2026 Secured Notes tendered and validly accepted and fully discharged.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7, 2024, Summit Holdings and Finance Corp. commenced a cash tender offer to purchase up to $215.0 million of the outstanding 2026 Secured Notes (the “Asset Sale Offer”). The Asset Sale Offer expired on June 5, 2024 with $6.9 million of the 2026 Secured Notes tendered and validly accepted and fully discharged.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26, 2024, concurrently with closing the offering of 2029 Secured Notes, Summit Holdings and Finance Corp. consummated a cash tender offer to purchase any and all of the outstanding 2026 Secured Notes (the “2026 Secured Notes Tender Offer”). Summit Holdings and Finance Corp. accepted for payment and made payment for $649.8 million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of the 2026 Secured Notes validly tendered in the 2026 Secured Notes Tender Offer. 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was October 15, 2024). On July 26, 2024, concurrently with delivery of the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w:t>
      </w:r>
    </w:p>
    <w:p>
      <w:pPr>
        <w:pStyle w:val="TextBody"/>
        <w:bidi w:val="0"/>
        <w:spacing w:lineRule="auto" w:line="288" w:before="120" w:after="283"/>
        <w:jc w:val="left"/>
        <w:rPr/>
      </w:pPr>
      <w:r>
        <w:rPr>
          <w:rFonts w:ascii="Times New Roman;serif" w:hAnsi="Times New Roman;serif"/>
          <w:b/>
          <w:i/>
          <w:color w:val="000000"/>
          <w:sz w:val="20"/>
        </w:rPr>
        <w:t xml:space="preserve">2026 Unsecured Notes. </w:t>
      </w:r>
      <w:r>
        <w:rPr>
          <w:rFonts w:ascii="Times New Roman;serif" w:hAnsi="Times New Roman;serif"/>
          <w:b w:val="false"/>
          <w:color w:val="000000"/>
          <w:sz w:val="20"/>
        </w:rPr>
        <w:t xml:space="preserve">In November 2023, Summit Holdings and Finance Corp. issued a total of $209.5 million aggregate principal amount of 2026 Unsecured Notes in exchange for $180.0 million aggregate principal amount of the 2025 Senior Notes and $29.5 million in cash. The cash raised was used to repurchase $29.7 million aggregate principal amount of the remaining 2025 Senior Notes that were not exchanged. SMLP paid interest on the 2026 Unsecured Notes semi-annually in cash in arrears on April 15 and October 15 of each year.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7, 2024, Summit Holdings and Finance Corp. delivered a redemption notice with respect to all $209.5 million of the outstanding 2026 Unsecured Notes. On June 24, 2024, the 2026 Unsecured Notes were fully repaid and discharged.</w:t>
      </w:r>
    </w:p>
    <w:p>
      <w:pPr>
        <w:pStyle w:val="TextBody"/>
        <w:bidi w:val="0"/>
        <w:spacing w:lineRule="auto" w:line="288" w:before="120" w:after="283"/>
        <w:jc w:val="left"/>
        <w:rPr/>
      </w:pPr>
      <w:r>
        <w:rPr>
          <w:rFonts w:ascii="Times New Roman;serif" w:hAnsi="Times New Roman;serif"/>
          <w:b/>
          <w:i/>
          <w:color w:val="000000"/>
          <w:sz w:val="20"/>
        </w:rPr>
        <w:t>2025 Senior Notes.</w:t>
      </w:r>
      <w:r>
        <w:rPr>
          <w:color w:val="000000"/>
        </w:rPr>
        <w:t> </w:t>
      </w:r>
      <w:r>
        <w:rPr>
          <w:rFonts w:ascii="Times New Roman;serif" w:hAnsi="Times New Roman;serif"/>
          <w:b w:val="false"/>
          <w:color w:val="000000"/>
          <w:sz w:val="20"/>
        </w:rPr>
        <w:t>In February 2017, Summit Holdings and Finance Corp. issued the 2025 Senior Notes. SMLP paid interest on the 2025 Senior Notes semi-annually in cash in arrears on April 15 and October 15 of each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Summit Holdings and Finance Corp. had the right to redeem all or part of the 2025 Senior Notes at a redemption price of 100.00%, plus accrued and unpaid interest, if any, to, but not including, the redemption date.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SMLP exchanged $180.0 million aggregate principal amount of the 2025 Senior Notes and repurchased $29.7 million aggregate principal amount of the remaining 2025 Senior Notes that were not exchanged.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17, 2024, Summit Holdings and Finance Corp. delivered a conditional notice of redemption to holders of 2025 Senior Notes for the redemption of all $49.8 million aggregate principal amount of outstanding 2025 Senior Notes, at a price equal to 100.00% of the principal amount thereof, plus accrued and unpaid interest to the redemption date, which was conditioned on the closing of the offering of 2029 Secured Notes. On July 26, 2024, concurrently with the closing of the offering of 2029 Secured Notes, Summit Holdings and Finance Corp.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 August 16, 2024, the 2025 Senior Notes were fully repaid.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jc w:val="left"/>
        <w:rPr/>
      </w:pPr>
      <w:r>
        <w:rPr>
          <w:rFonts w:ascii="Times New Roman;serif" w:hAnsi="Times New Roman;serif"/>
          <w:b/>
          <w:i/>
          <w:color w:val="000000"/>
          <w:sz w:val="20"/>
        </w:rPr>
        <w:t>Environmental Matters.</w:t>
      </w:r>
      <w:r>
        <w:rPr>
          <w:color w:val="000000"/>
        </w:rPr>
        <w:t> </w:t>
      </w:r>
      <w:r>
        <w:rPr>
          <w:rFonts w:ascii="Times New Roman;serif" w:hAnsi="Times New Roman;serif"/>
          <w:b w:val="false"/>
          <w:color w:val="000000"/>
          <w:sz w:val="20"/>
        </w:rPr>
        <w:t>Although the Company believes that it is in material compliance with applicable environmental regulations, the risk of environmental 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has recognized (i) a current liability for remediation effort expenditures expected to be incurred within the next 12 months and (ii) a noncurrent liability for estimated remediation expenditures expected to be incurred subsequent to June 30, 2026. Each of these amounts represent the Company’s best estimate for costs expected to be incurred. Neither of these amounts have been discounted to their present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of the Company’s undiscounted accrued environmental remediation is as follows and is primarily related to the 2015 Blacktail Release and other environmental remediation activities, as detailed below.</w:t>
      </w:r>
    </w:p>
    <w:tbl>
      <w:tblPr>
        <w:tblW w:w="6089" w:type="dxa"/>
        <w:jc w:val="left"/>
        <w:tblInd w:w="0" w:type="dxa"/>
        <w:tblLayout w:type="fixed"/>
        <w:tblCellMar>
          <w:top w:w="28" w:type="dxa"/>
          <w:left w:w="28" w:type="dxa"/>
          <w:bottom w:w="28" w:type="dxa"/>
          <w:right w:w="28" w:type="dxa"/>
        </w:tblCellMar>
      </w:tblPr>
      <w:tblGrid>
        <w:gridCol w:w="1777"/>
        <w:gridCol w:w="1562"/>
        <w:gridCol w:w="1565"/>
        <w:gridCol w:w="255"/>
        <w:gridCol w:w="744"/>
        <w:gridCol w:w="186"/>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environmental remediation, December 31, 2024</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environmental remediation, June 30, 2025</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2015, SMLP learned of the rupture of a four-inch produced water gathering pipeline on the Meadowlark Midstream system near Williston, North Dakota (“2015 Blacktail Release”). On August 4, 2021, subsidiaries of SMLP entered into the following agreements to resolve the U.S. federal and North Dakota state governments’ environmental claims with respect to the 2015 Blacktail Release: (i) a Consent Decree with the U.S. Department of Justice (“DOJ”), the U.S. Environmental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June 30, 2025 and December 31, 2024, the accrued loss liability for the 2015 Blacktail Release was $15.0 million of which $6.7 million is recorded within Accrued settlement payable and $8.3 million within Other noncurrent liabilities on the Company’s unaudited condensed consolidated balance sheets.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Key terms of the Global Settlement included (i) payment of penalties and fines totaling $36.3 million, consisting of $1.25 million in natural resource damages payable to federal and state governments, $25.0 million payable to the federal government over 5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pPr>
      <w:r>
        <w:rPr>
          <w:rFonts w:ascii="Times New Roman;serif" w:hAnsi="Times New Roman;serif"/>
          <w:b w:val="false"/>
          <w:color w:val="000000"/>
          <w:sz w:val="20"/>
        </w:rPr>
        <w:t>Subsidiaries of the Company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SMLP and certain subsidiaries of the Company have also received a show cause notice from the EPA requesting us to “show cause” why SDO should not issue a Notice of Proposed Debarment to the Defendant subsidiary and certain affiliates under 2 C.F.R. § 180.800(d), to which SMLP has responded, and in which proceeding no further developments have occurred.</w:t>
      </w:r>
      <w:r>
        <w:rPr>
          <w:color w:val="000000"/>
        </w:rPr>
        <w:t xml:space="preserve"> </w:t>
      </w:r>
    </w:p>
    <w:p>
      <w:pPr>
        <w:pStyle w:val="TextBody"/>
        <w:bidi w:val="0"/>
        <w:spacing w:lineRule="auto" w:line="288" w:before="120" w:after="283"/>
        <w:jc w:val="left"/>
        <w:rPr/>
      </w:pPr>
      <w:r>
        <w:rPr>
          <w:rFonts w:ascii="Times New Roman;serif" w:hAnsi="Times New Roman;serif"/>
          <w:b/>
          <w:i/>
          <w:color w:val="000000"/>
          <w:sz w:val="20"/>
        </w:rPr>
        <w:t>Legal Proceedings.</w:t>
      </w:r>
      <w:r>
        <w:rPr>
          <w:color w:val="000000"/>
        </w:rPr>
        <w:t> </w:t>
      </w:r>
      <w:r>
        <w:rPr>
          <w:rFonts w:ascii="Times New Roman;serif" w:hAnsi="Times New Roman;serif"/>
          <w:b w:val="false"/>
          <w:color w:val="000000"/>
          <w:sz w:val="20"/>
        </w:rPr>
        <w:t>The Company is involved in various litigation and administrative proceedings arising in the ordinary course of business. In the opinion of 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probable amount recoverable from the insurance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FINANCIAL INSTRUMENTS</w:t>
      </w:r>
    </w:p>
    <w:p>
      <w:pPr>
        <w:pStyle w:val="TextBody"/>
        <w:bidi w:val="0"/>
        <w:spacing w:lineRule="auto" w:line="288" w:before="120" w:after="283"/>
        <w:jc w:val="left"/>
        <w:rPr/>
      </w:pPr>
      <w:r>
        <w:rPr>
          <w:rFonts w:ascii="Times New Roman;serif" w:hAnsi="Times New Roman;serif"/>
          <w:b/>
          <w:i/>
          <w:color w:val="000000"/>
          <w:sz w:val="20"/>
        </w:rPr>
        <w:t>Fair Value.</w:t>
      </w:r>
      <w:r>
        <w:rPr>
          <w:color w:val="000000"/>
        </w:rPr>
        <w:t> </w:t>
      </w:r>
      <w:r>
        <w:rPr>
          <w:rFonts w:ascii="Times New Roman;serif" w:hAnsi="Times New Roman;serif"/>
          <w:b w:val="false"/>
          <w:color w:val="000000"/>
          <w:sz w:val="20"/>
        </w:rPr>
        <w:t>A summary of the estimated fair value of our debt financial instruments follows.</w:t>
      </w:r>
    </w:p>
    <w:tbl>
      <w:tblPr>
        <w:tblW w:w="7349" w:type="dxa"/>
        <w:jc w:val="left"/>
        <w:tblInd w:w="0" w:type="dxa"/>
        <w:tblLayout w:type="fixed"/>
        <w:tblCellMar>
          <w:top w:w="28" w:type="dxa"/>
          <w:left w:w="28" w:type="dxa"/>
          <w:bottom w:w="28" w:type="dxa"/>
          <w:right w:w="28" w:type="dxa"/>
        </w:tblCellMar>
      </w:tblPr>
      <w:tblGrid>
        <w:gridCol w:w="629"/>
        <w:gridCol w:w="554"/>
        <w:gridCol w:w="5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pPr>
            <w:r>
              <w:rPr>
                <w:rFonts w:ascii="Times New Roman;serif" w:hAnsi="Times New Roman;serif"/>
                <w:b/>
                <w:color w:val="000000"/>
                <w:sz w:val="16"/>
              </w:rPr>
              <w:t xml:space="preserve">Value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pPr>
            <w:r>
              <w:rPr>
                <w:rFonts w:ascii="Times New Roman;serif" w:hAnsi="Times New Roman;serif"/>
                <w:b/>
                <w:color w:val="000000"/>
                <w:sz w:val="16"/>
              </w:rPr>
              <w:t xml:space="preserve">Value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br/>
              <w:t>(Level 2)</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Excludes applicable unamortized debt issuance costs, debt discounts and debt premiums.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values on the balance sheets of the Amended and Restated ABL Facility and the Permian Transmission Term Loan represent their fair value due to their floating interest rates. The fair value of the 2029 Secured Notes is based on an average of nonbinding broker quotes as of June 30, 2025 and December 31, 2024. The use of different market assumptions or valuation methodologies may have a material effect on their estimated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Deferred earn-out.</w:t>
      </w:r>
      <w:r>
        <w:rPr>
          <w:color w:val="000000"/>
        </w:rPr>
        <w:t xml:space="preserve"> </w:t>
      </w:r>
      <w:r>
        <w:rPr>
          <w:rFonts w:ascii="Times New Roman;serif" w:hAnsi="Times New Roman;serif"/>
          <w:b w:val="false"/>
          <w:color w:val="000000"/>
          <w:sz w:val="20"/>
        </w:rPr>
        <w:t>The estimated fair value of the Company’s deferred earn-outs are remeasured each reporting period and estimated using discounted cash flow techniques with appropriate discount rates. Given the unobservable nature of the inputs, the fair value measurement of the deferred earn-out is deemed to use Level 3 inputs.</w:t>
      </w:r>
    </w:p>
    <w:p>
      <w:pPr>
        <w:pStyle w:val="TextBody"/>
        <w:bidi w:val="0"/>
        <w:spacing w:lineRule="auto" w:line="268" w:before="120" w:after="283"/>
        <w:jc w:val="left"/>
        <w:rPr/>
      </w:pPr>
      <w:r>
        <w:rPr>
          <w:rFonts w:ascii="Times New Roman;serif" w:hAnsi="Times New Roman;serif"/>
          <w:b w:val="false"/>
          <w:i/>
          <w:color w:val="000000"/>
          <w:sz w:val="20"/>
        </w:rPr>
        <w:t>Tall Oak earn-out:</w:t>
      </w:r>
      <w:r>
        <w:rPr>
          <w:color w:val="000000"/>
        </w:rPr>
        <w:t xml:space="preserve"> </w:t>
      </w:r>
      <w:r>
        <w:rPr>
          <w:rFonts w:ascii="Times New Roman;serif" w:hAnsi="Times New Roman;serif"/>
          <w:b w:val="false"/>
          <w:color w:val="000000"/>
          <w:sz w:val="20"/>
        </w:rPr>
        <w:t xml:space="preserve">In connection with the Tall Oak Acquisition, the Company incurred a deferred earn-out liability. As of June 30, 2025, the estimated fair value of the deferred earn-out liability recorded on the Company’s consolidated balance sheet was $12.8 million and is reflected within other current liabilities. As of December 31, 2024, the estimated fair value of the deferred earn-out was $21.3 million, of which $14.5 million is reflected within other current liabilities and $6.8 million is reflected within other noncurrent liabilities. The earn-out becomes payable to Tall Oak Parent subject to Tall Oak and its customers meeting certain development requirements. During the six months ended June 30, 2025, the Company recorded a $8.5 million gain on the fair value remeasurement of the Tall Oak earn-out. As of June 30, 2025, none of the earn-out requirements had been met. </w:t>
      </w:r>
    </w:p>
    <w:p>
      <w:pPr>
        <w:pStyle w:val="TextBody"/>
        <w:bidi w:val="0"/>
        <w:spacing w:lineRule="auto" w:line="288" w:before="120" w:after="283"/>
        <w:jc w:val="left"/>
        <w:rPr/>
      </w:pPr>
      <w:r>
        <w:rPr>
          <w:rFonts w:ascii="Times New Roman;serif" w:hAnsi="Times New Roman;serif"/>
          <w:b w:val="false"/>
          <w:i/>
          <w:color w:val="000000"/>
          <w:sz w:val="20"/>
        </w:rPr>
        <w:t>Sterling DJ earn-out:</w:t>
      </w:r>
      <w:r>
        <w:rPr>
          <w:color w:val="000000"/>
        </w:rPr>
        <w:t xml:space="preserve"> </w:t>
      </w:r>
      <w:r>
        <w:rPr>
          <w:rFonts w:ascii="Times New Roman;serif" w:hAnsi="Times New Roman;serif"/>
          <w:b w:val="false"/>
          <w:color w:val="000000"/>
          <w:sz w:val="20"/>
        </w:rPr>
        <w:t>In connection with the acquisition of Sterling DJ, SMLP assumed a deferred earn-out liability, which was remeasured each reporting period. This deferred earn-out liability was settled in full during the quarterly period ended June 30, 2024.</w:t>
      </w:r>
    </w:p>
    <w:p>
      <w:pPr>
        <w:pStyle w:val="TextBody"/>
        <w:bidi w:val="0"/>
        <w:spacing w:lineRule="auto" w:line="288" w:before="120" w:after="283"/>
        <w:jc w:val="left"/>
        <w:rPr/>
      </w:pPr>
      <w:r>
        <w:rPr>
          <w:rFonts w:ascii="Times New Roman;serif" w:hAnsi="Times New Roman;serif"/>
          <w:b/>
          <w:i/>
          <w:color w:val="000000"/>
          <w:sz w:val="20"/>
        </w:rPr>
        <w:t>Interest Rate Swaps.</w:t>
      </w:r>
      <w:r>
        <w:rPr>
          <w:color w:val="000000"/>
        </w:rPr>
        <w:t> </w:t>
      </w:r>
      <w:r>
        <w:rPr>
          <w:rFonts w:ascii="Times New Roman;serif" w:hAnsi="Times New Roman;serif"/>
          <w:b w:val="false"/>
          <w:color w:val="000000"/>
          <w:sz w:val="20"/>
        </w:rPr>
        <w:t xml:space="preserve">In connection with the Permian Transmission Term Loan, the Company entered into amortizing interest rate swap agreements. As of June 30, 2025 and December 31, 2024, the outstanding notional amounts of interest rate swaps were $109.1 million and $116.4 million, respectively. These interest rate swaps manage exposure to variability in expected cash flows attributable to interest rate risk. Interest rate swaps convert a portion of the Company’s variable rate debt to fixed rate debt. The Company chooses counterparties for its derivative instruments that it believes are creditworthy at the time the transactions are entered into, and the Company actively monitors the creditworthiness where applicable. However, there can be no assurance that a counterparty will be able to meet its obligations to the Company. The Company presents its derivative positions on a gross basis and does not net the asset and liability positions.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Company’s interest rate swap agreements had a fair value of $7.8 million and $11.0 million, respectively, and are recorded within other noncurrent assets within the unaudited condensed consolidated balance sheets. The derivative instruments’ fair value are determined using level 2 inputs from the fair value hierarchy.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 periods ended June 30, 2025 the Company recorded a loss on interest rate swaps of $0.5 million and $1.5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 periods ended June 30, 2024, the Company recorded a gain on interest rate swaps of $0.9 million and $3.5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EQUITY AND MEZZANINE EQUITY</w:t>
      </w:r>
    </w:p>
    <w:p>
      <w:pPr>
        <w:pStyle w:val="TextBody"/>
        <w:bidi w:val="0"/>
        <w:spacing w:lineRule="auto" w:line="288" w:before="120" w:after="283"/>
        <w:jc w:val="left"/>
        <w:rPr/>
      </w:pPr>
      <w:r>
        <w:rPr>
          <w:rFonts w:ascii="Times New Roman;serif" w:hAnsi="Times New Roman;serif"/>
          <w:b/>
          <w:i/>
          <w:color w:val="000000"/>
          <w:sz w:val="20"/>
        </w:rPr>
        <w:t>Common Stock.</w:t>
      </w:r>
      <w:r>
        <w:rPr>
          <w:color w:val="000000"/>
        </w:rPr>
        <w:t xml:space="preserve"> </w:t>
      </w:r>
      <w:r>
        <w:rPr>
          <w:rFonts w:ascii="Times New Roman;serif" w:hAnsi="Times New Roman;serif"/>
          <w:b w:val="false"/>
          <w:color w:val="000000"/>
          <w:sz w:val="20"/>
        </w:rPr>
        <w:t>An update on the number of shares of common stock follows for the period from December 31, 2024 to June 30, 2025:</w:t>
      </w:r>
    </w:p>
    <w:tbl>
      <w:tblPr>
        <w:tblW w:w="8411" w:type="dxa"/>
        <w:jc w:val="left"/>
        <w:tblInd w:w="0" w:type="dxa"/>
        <w:tblLayout w:type="fixed"/>
        <w:tblCellMar>
          <w:top w:w="28" w:type="dxa"/>
          <w:left w:w="28" w:type="dxa"/>
          <w:bottom w:w="28" w:type="dxa"/>
          <w:right w:w="28" w:type="dxa"/>
        </w:tblCellMar>
      </w:tblPr>
      <w:tblGrid>
        <w:gridCol w:w="2103"/>
        <w:gridCol w:w="1851"/>
        <w:gridCol w:w="1865"/>
        <w:gridCol w:w="109"/>
        <w:gridCol w:w="109"/>
        <w:gridCol w:w="109"/>
        <w:gridCol w:w="662"/>
        <w:gridCol w:w="662"/>
        <w:gridCol w:w="941"/>
      </w:tblGrid>
      <w:tr>
        <w:trPr/>
        <w:tc>
          <w:tcPr>
            <w:tcW w:w="210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 Common Stock</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10,659,220 </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Common Stock and Partnership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946,541 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SMLP LTIP,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173,838 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462,265 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12,241,864 </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 xml:space="preserve">Class B Common Stock. </w:t>
      </w:r>
      <w:r>
        <w:rPr>
          <w:rFonts w:ascii="Times New Roman;serif" w:hAnsi="Times New Roman;serif"/>
          <w:b w:val="false"/>
          <w:color w:val="000000"/>
          <w:sz w:val="20"/>
        </w:rPr>
        <w:t>In the Tall Oak Acquisition, the Company issued 7,471,008 shares of non-economic Class B Common Stock to Tall Oak Parent. Such shares of Class B Common Stock have Company voting rights and are exchangeable along with the associated Partnership Common Units for shares of our common stock at the election of the holder for no additional consideration.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on the number of shares of Class B Common Stock follows for the period from December 31, 2024 to June 30, 2025.</w:t>
      </w:r>
    </w:p>
    <w:tbl>
      <w:tblPr>
        <w:tblW w:w="5354" w:type="dxa"/>
        <w:jc w:val="left"/>
        <w:tblInd w:w="0" w:type="dxa"/>
        <w:tblLayout w:type="fixed"/>
        <w:tblCellMar>
          <w:top w:w="28" w:type="dxa"/>
          <w:left w:w="28" w:type="dxa"/>
          <w:bottom w:w="28" w:type="dxa"/>
          <w:right w:w="28" w:type="dxa"/>
        </w:tblCellMar>
      </w:tblPr>
      <w:tblGrid>
        <w:gridCol w:w="1171"/>
        <w:gridCol w:w="1030"/>
        <w:gridCol w:w="1038"/>
        <w:gridCol w:w="618"/>
        <w:gridCol w:w="618"/>
        <w:gridCol w:w="879"/>
      </w:tblGrid>
      <w:tr>
        <w:trPr/>
        <w:tc>
          <w:tcPr>
            <w:tcW w:w="117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w:t>
              <w:br/>
              <w:t>Class B Common Stock</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December 31, 2024</w:t>
            </w:r>
          </w:p>
        </w:tc>
        <w:tc>
          <w:tcPr>
            <w:tcW w:w="12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7,471,008 </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Common Stock</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(946,541)</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June 30, 2025</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Series A Preferred Stock.</w:t>
      </w:r>
      <w:r>
        <w:rPr>
          <w:color w:val="000000"/>
        </w:rPr>
        <w:t xml:space="preserve"> </w:t>
      </w:r>
      <w:r>
        <w:rPr>
          <w:rFonts w:ascii="Times New Roman;serif" w:hAnsi="Times New Roman;serif"/>
          <w:b w:val="false"/>
          <w:color w:val="000000"/>
          <w:sz w:val="20"/>
        </w:rPr>
        <w:t xml:space="preserve">Upon the consummation of the Corporate Reorganization, each outstanding Series A Preferred Unit was converted into the right to receive 1.000 shares of Series A Preferred Stock of Summit Midstream Corporation, with the liquidation preference of each share of Series A Preferred Stock initially equal to $1,000 and the Certificate of Designation of Series A Floating Rate Cumulative Redeemable Perpetual Preferred Stock of Summit Midstream Corporation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ranks senior to (i) shares of common stock and Class B Common Stock and (ii) each other class or series of company interests or other equity securities in the Company that may be established in the future that expressly ranks junior to the Series A Preferred Stock as to the payment of dividends and amounts payable upon a liquidation event. The Series A Preferred Stock ranks equal in all respects with each class or series of company interests or other equity securities in the Company that may be established in the future that is not expressly made senior or subordinated to the Series A Preferred Stock as to the payment of dividends and amounts payable on a liquidation event. The Series A Preferred Stock ranks junior to (i) all of the Company’s existing and future indebtedness and other liabilities with respect to assets available to satisfy claims against the Company and (ii) each other class or series of company interests or other equity securities in the Company established in the future that is expressly made senior to the Series A Preferred Stock as to the payment of dividends and amounts payable upon a liquidation event.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Dividends on the Series A Preferred Stock are cumulative and compounding and are payable quarterly in arrears on the 15th day of March, June, September and December of each year (each, a “Dividend Payment Date”) to holders of record as of the close of business on the first business day of the month of the applicable Dividend Payment Date, in each case, when, as, and if declared by the Board of Directors out of legally available funds for such purpose. The dividend rate for the Series A Preferred Stock is equal to the three-month SOFR plus a spread of 7.69%. The floating rate established on June 15, 2025 for the period ending September 30, 2025 was 12.0%.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3, 2020, SMLP suspended distributions to holders of the Series A Preferred Units, commencing with respect to the quarter ending March 31, 2020. The board of directors of Summit Midstream Corporation reinstated cash dividends on its Series A Preferred Stock beginning on March 14, 2025. During the six month period ended June 30, 2025, cash dividend payments totaling $6.7 million were paid.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Company had 65,508 shares of Series A Preferred Stock outstanding and $46.7 million of accrued and unpaid distributions on its Series A Preferred Stock. </w:t>
      </w:r>
    </w:p>
    <w:p>
      <w:pPr>
        <w:pStyle w:val="TextBody"/>
        <w:bidi w:val="0"/>
        <w:spacing w:lineRule="auto" w:line="288" w:before="120" w:after="283"/>
        <w:jc w:val="left"/>
        <w:rPr/>
      </w:pPr>
      <w:r>
        <w:rPr>
          <w:rFonts w:ascii="Times New Roman;serif" w:hAnsi="Times New Roman;serif"/>
          <w:b/>
          <w:i/>
          <w:color w:val="000000"/>
          <w:sz w:val="20"/>
        </w:rPr>
        <w:t>Partnership Common Units.</w:t>
      </w:r>
      <w:r>
        <w:rPr>
          <w:color w:val="000000"/>
        </w:rPr>
        <w:t xml:space="preserve"> </w:t>
      </w:r>
      <w:r>
        <w:rPr>
          <w:rFonts w:ascii="Times New Roman;serif" w:hAnsi="Times New Roman;serif"/>
          <w:b w:val="false"/>
          <w:color w:val="000000"/>
          <w:sz w:val="20"/>
        </w:rPr>
        <w:t>In the Tall Oak Acquisition, SMLP issued 7,471,008 Partnership Common Units to Tall Oak Parent. Such Partnership Common Units are exchangeable along with the associated shares of Class B Common Stock for shares of SMC common stock at the election of the holder for no additional consideration.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were 18,766,331 Partnership Common Units outstanding. An update on the number of Partnership Common Units not owned by the Company follows for the period from December 31, 2024 to June 30, 2025. </w:t>
      </w:r>
    </w:p>
    <w:tbl>
      <w:tblPr>
        <w:tblW w:w="5968" w:type="dxa"/>
        <w:jc w:val="left"/>
        <w:tblInd w:w="0" w:type="dxa"/>
        <w:tblLayout w:type="fixed"/>
        <w:tblCellMar>
          <w:top w:w="28" w:type="dxa"/>
          <w:left w:w="28" w:type="dxa"/>
          <w:bottom w:w="28" w:type="dxa"/>
          <w:right w:w="28" w:type="dxa"/>
        </w:tblCellMar>
      </w:tblPr>
      <w:tblGrid>
        <w:gridCol w:w="1267"/>
        <w:gridCol w:w="1116"/>
        <w:gridCol w:w="1126"/>
        <w:gridCol w:w="719"/>
        <w:gridCol w:w="719"/>
        <w:gridCol w:w="1021"/>
      </w:tblGrid>
      <w:tr>
        <w:trPr/>
        <w:tc>
          <w:tcPr>
            <w:tcW w:w="126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Partnership Common Units</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December 31, 2024</w:t>
            </w:r>
          </w:p>
        </w:tc>
        <w:tc>
          <w:tcPr>
            <w:tcW w:w="14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7,471,008 </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Partnership Common Units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(946,541)</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June 30, 2025</w:t>
            </w:r>
          </w:p>
        </w:tc>
        <w:tc>
          <w:tcPr>
            <w:tcW w:w="14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i/>
          <w:color w:val="000000"/>
          <w:sz w:val="20"/>
        </w:rPr>
        <w:t>Subsidiary Series A Preferred Units.</w:t>
      </w:r>
      <w:r>
        <w:rPr>
          <w:color w:val="000000"/>
        </w:rPr>
        <w:t> </w:t>
      </w:r>
      <w:r>
        <w:rPr>
          <w:rFonts w:ascii="Times New Roman;serif" w:hAnsi="Times New Roman;serif"/>
          <w:b w:val="false"/>
          <w:color w:val="000000"/>
          <w:sz w:val="20"/>
        </w:rPr>
        <w:t>Summit Permian Transmission Holdco, LLC (“Permian Holdco”) has Series A Fixed Rate Cumulative Redeemable Preferred Units (“Subsidiary Series A Preferred Units”) that rank senior to each other class or series of limited liability company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 equal in all respects with each class or series of limited liability company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 junior to (i) all of Permian Holdco’s or a subsidiary of Permian Holdco’s future indebtedness and other liabilities with respect to assets available to satisfy claims against Permian Holdco and (ii) each other class or series of limited liability company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the Subsidiary Series A Preferred Units are cumulative and compounding and are payable 21 days following the quarterly period ended March, June, September and December of each year (each, a “Subsidiary Series A Distribution Payment Date”) to holders of record as of the close of business on the first business day of the month of the applicable Subsidiary Series A Distribution Payment Date, in each case, when, as, and if declared by the board of directors of Permian Holdco out of legally available funds for such purpose. The distribution rate for the Subsidiary Series A Preferred Units is 7.00% per annum of the $1,000 issue amount per outstanding Subsidiary Series A Preferred Unit. These Subsidiary Series A Preferred Units are considered redeemable securities under GAAP due to the existence of certain redemption provisions that are outside of the Company’s control. Therefore, the securities are classified as temporary equity in the mezzanine section of the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Net income (loss) attributable to common stockholders includes adjustments for payment-in-kind distributions and redemption accretion.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93,039 Subsidiary Series A Preferred Units issued and outstanding.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the Subsidiary Series A Preferred Units were redeemed on June 30, 2025, the redemption amount would be $137.8 million when considering the applicable multiple on invested capital metric and make-whole amount provisions contained in the Amended and Restated Limited Liability Company Agreement of Permian Holdco.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 in the Company’s Subsidiary Series A Preferred Unit balance from December 31, 2024 to June 30, 2025, net of $0.8 million and $1.1 million of unamortized issuance costs as of June 30, 2025 and December 31, 2024, respectively:</w:t>
      </w:r>
    </w:p>
    <w:tbl>
      <w:tblPr>
        <w:tblW w:w="8204" w:type="dxa"/>
        <w:jc w:val="left"/>
        <w:tblInd w:w="0" w:type="dxa"/>
        <w:tblLayout w:type="fixed"/>
        <w:tblCellMar>
          <w:top w:w="28" w:type="dxa"/>
          <w:left w:w="28" w:type="dxa"/>
          <w:bottom w:w="28" w:type="dxa"/>
          <w:right w:w="28" w:type="dxa"/>
        </w:tblCellMar>
      </w:tblPr>
      <w:tblGrid>
        <w:gridCol w:w="2488"/>
        <w:gridCol w:w="2184"/>
        <w:gridCol w:w="2198"/>
        <w:gridCol w:w="236"/>
        <w:gridCol w:w="926"/>
        <w:gridCol w:w="172"/>
      </w:tblGrid>
      <w:tr>
        <w:trPr/>
        <w:tc>
          <w:tcPr>
            <w:tcW w:w="2488"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accretion, net of issuance cost amortization</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distribution (includes a $1.6 million distribution payable as of June 30, 2025)</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Noncontrolling interest.</w:t>
      </w:r>
      <w:r>
        <w:rPr>
          <w:color w:val="000000"/>
        </w:rPr>
        <w:t xml:space="preserve"> </w:t>
      </w:r>
      <w:r>
        <w:rPr>
          <w:rFonts w:ascii="Times New Roman;serif" w:hAnsi="Times New Roman;serif"/>
          <w:b w:val="false"/>
          <w:color w:val="000000"/>
          <w:sz w:val="20"/>
        </w:rPr>
        <w:t>Noncontrolling interest represents the portion of net assets in the Company’s consolidated subsidiaries that are not wholly owned by the Company. The Company’s noncontrolling interest is recorded at carrying value and is reported as a component of equity on the consolidated balance sheet. As of June 30, 2025, the Company’s noncontrolling interest is approximately 35% of the net assets of SMLP. The noncontrolling interest will be adjusted in the future for (i) any net income or loss generated by SMLP, and (ii) any equity shifts resulting from the issuance of common stock in connection with the SMC LTIP, or certain changes to SMLP’s capital accounts.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noncontrolling interest during the periods presented:</w:t>
      </w:r>
    </w:p>
    <w:tbl>
      <w:tblPr>
        <w:tblW w:w="7018" w:type="dxa"/>
        <w:jc w:val="left"/>
        <w:tblInd w:w="0" w:type="dxa"/>
        <w:tblLayout w:type="fixed"/>
        <w:tblCellMar>
          <w:top w:w="28" w:type="dxa"/>
          <w:left w:w="28" w:type="dxa"/>
          <w:bottom w:w="28" w:type="dxa"/>
          <w:right w:w="28" w:type="dxa"/>
        </w:tblCellMar>
      </w:tblPr>
      <w:tblGrid>
        <w:gridCol w:w="1901"/>
        <w:gridCol w:w="1669"/>
        <w:gridCol w:w="1680"/>
        <w:gridCol w:w="109"/>
        <w:gridCol w:w="109"/>
        <w:gridCol w:w="109"/>
        <w:gridCol w:w="255"/>
        <w:gridCol w:w="999"/>
        <w:gridCol w:w="187"/>
      </w:tblGrid>
      <w:tr>
        <w:trPr/>
        <w:tc>
          <w:tcPr>
            <w:tcW w:w="19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shift - Change in Ownership of Consolidated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20"/>
        </w:rPr>
        <w:t xml:space="preserve">Equity shift - Change in Ownership of Consolidated Subsidiary. </w:t>
      </w:r>
      <w:r>
        <w:rPr>
          <w:rFonts w:ascii="Times New Roman;serif" w:hAnsi="Times New Roman;serif"/>
          <w:b w:val="false"/>
          <w:color w:val="000000"/>
          <w:sz w:val="20"/>
        </w:rPr>
        <w:t xml:space="preserve">The Tall Oak Acquisition resulted in the establishment of a noncontrolling interest on December 2, 2024 due to the issuance of 7,471,008 Partnership Common Units in SMLP to Tall Oak Parent.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had an equity shift and its noncontrolling interest was reduced by $86.3 million primarily due to an increase in the number of SMC shares outstanding and a corresponding increase in SMC’s ownership of SMLP’s net assets. The increase in SMC’s outstanding share count, which also resulted in an equivalent increase of SMLP’s issued units, was a result of (a) the issuance of 0.9 million SMC shares to Tall Oak Midstream Investments, LLC (“TOMI”) for the exchange and conversion of TOMI’s ownership of 0.9 million SMC’s Class B Common Stock and associated 0.9 million Partnership Common Units, (b) the issuance of 0.5 million SMC shares for the Moonrise Acquisition (See Note 3 - Acquisitions and Divestitures) and (c) employee share-based compensation vesting events.</w:t>
      </w:r>
    </w:p>
    <w:p>
      <w:pPr>
        <w:pStyle w:val="TextBody"/>
        <w:bidi w:val="0"/>
        <w:spacing w:lineRule="auto" w:line="288" w:before="120" w:after="283"/>
        <w:jc w:val="left"/>
        <w:rPr/>
      </w:pPr>
      <w:r>
        <w:rPr>
          <w:rFonts w:ascii="Times New Roman;serif" w:hAnsi="Times New Roman;serif"/>
          <w:b/>
          <w:i/>
          <w:color w:val="000000"/>
          <w:sz w:val="20"/>
        </w:rPr>
        <w:t>Cash Distribution Policy.</w:t>
      </w:r>
      <w:r>
        <w:rPr>
          <w:color w:val="000000"/>
        </w:rPr>
        <w:t> </w:t>
      </w:r>
      <w:r>
        <w:rPr>
          <w:rFonts w:ascii="Times New Roman;serif" w:hAnsi="Times New Roman;serif"/>
          <w:b w:val="false"/>
          <w:color w:val="000000"/>
          <w:sz w:val="20"/>
        </w:rPr>
        <w:t>In March 2020, SMLP suspended cash distributions to holders of its common units and Series A Preferred Units, commencing with respect to the quarter ended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the Series A Preferred Stock ranks senior to the Company’s common stock with respect to dividend rights, any accrued dividends on the Series A Preferred Stock must first be paid prior to the initiation of dividends to holders of the Company’s common stock. As of June 30, 2025, the amount of accrued and unpaid dividends on the Series A Preferred Stock totaled $46.7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mentioned above, during the quarter ended March 31, 2025, the Company resumed distributions on its Series A Preferred Stock. Absent a material change to the Company’s business, the Company does not expect to pay dividends to holders of the Company’s common stock in the foreseeable future. Any future dividend payments will depend on the Company’s financial condition, market conditions and other matters deemed relevant by the Board of Directors. Additionally, the Company’s ability to pay dividends is subject to restrictions on dividends under the Amended and Restated ABL Facility, Series A Preferred Shares and the indenture governing the 2029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EPS.</w:t>
      </w:r>
    </w:p>
    <w:tbl>
      <w:tblPr>
        <w:tblW w:w="10205" w:type="dxa"/>
        <w:jc w:val="left"/>
        <w:tblInd w:w="0" w:type="dxa"/>
        <w:tblLayout w:type="fixed"/>
        <w:tblCellMar>
          <w:top w:w="28" w:type="dxa"/>
          <w:left w:w="28" w:type="dxa"/>
          <w:bottom w:w="28" w:type="dxa"/>
          <w:right w:w="28" w:type="dxa"/>
        </w:tblCellMar>
      </w:tblPr>
      <w:tblGrid>
        <w:gridCol w:w="1929"/>
        <w:gridCol w:w="1614"/>
        <w:gridCol w:w="1619"/>
        <w:gridCol w:w="206"/>
        <w:gridCol w:w="650"/>
        <w:gridCol w:w="114"/>
        <w:gridCol w:w="114"/>
        <w:gridCol w:w="114"/>
        <w:gridCol w:w="114"/>
        <w:gridCol w:w="206"/>
        <w:gridCol w:w="744"/>
        <w:gridCol w:w="114"/>
        <w:gridCol w:w="109"/>
        <w:gridCol w:w="109"/>
        <w:gridCol w:w="109"/>
        <w:gridCol w:w="196"/>
        <w:gridCol w:w="617"/>
        <w:gridCol w:w="109"/>
        <w:gridCol w:w="109"/>
        <w:gridCol w:w="109"/>
        <w:gridCol w:w="109"/>
        <w:gridCol w:w="196"/>
        <w:gridCol w:w="736"/>
        <w:gridCol w:w="159"/>
      </w:tblGrid>
      <w:tr>
        <w:trPr/>
        <w:tc>
          <w:tcPr>
            <w:tcW w:w="192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 except</w:t>
              <w:br/>
              <w:t>per-share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 except</w:t>
              <w:br/>
              <w:t>per-share amounts)</w:t>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 for basic and diluted EPS:</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Subsidiary Series A Preferred Units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Series A Preferred Stock</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Net loss attributable to noncontrolling interest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Summit Midstream Corporation</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(30,957)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94,980 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 for basic and diluted EPS:</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 – basic</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nonvested restricted stock units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conversion and elimination of noncontrolling interest and net income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 – diluted</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 basic</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 diluted</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 - basic and diluted</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anti-dilutive restricted shares excluded from the calculation of diluted EPS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SUPPLEMENTAL CASH FLOW INFORMATION</w:t>
      </w:r>
    </w:p>
    <w:tbl>
      <w:tblPr>
        <w:tblW w:w="9189" w:type="dxa"/>
        <w:jc w:val="left"/>
        <w:tblInd w:w="0" w:type="dxa"/>
        <w:tblLayout w:type="fixed"/>
        <w:tblCellMar>
          <w:top w:w="28" w:type="dxa"/>
          <w:left w:w="28" w:type="dxa"/>
          <w:bottom w:w="28" w:type="dxa"/>
          <w:right w:w="28" w:type="dxa"/>
        </w:tblCellMar>
      </w:tblPr>
      <w:tblGrid>
        <w:gridCol w:w="2440"/>
        <w:gridCol w:w="2142"/>
        <w:gridCol w:w="2153"/>
        <w:gridCol w:w="211"/>
        <w:gridCol w:w="721"/>
        <w:gridCol w:w="109"/>
        <w:gridCol w:w="109"/>
        <w:gridCol w:w="109"/>
        <w:gridCol w:w="109"/>
        <w:gridCol w:w="211"/>
        <w:gridCol w:w="721"/>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 trade accounts payable (period-end accruals)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Subsidiary Series A Preferred Units, net of issuance cost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 for Moonrise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EQUITY COMPENSATION</w:t>
      </w:r>
    </w:p>
    <w:p>
      <w:pPr>
        <w:pStyle w:val="TextBody"/>
        <w:bidi w:val="0"/>
        <w:spacing w:lineRule="auto" w:line="288" w:before="120" w:after="283"/>
        <w:jc w:val="left"/>
        <w:rPr/>
      </w:pPr>
      <w:r>
        <w:rPr>
          <w:rFonts w:ascii="Times New Roman;serif" w:hAnsi="Times New Roman;serif"/>
          <w:b/>
          <w:i/>
          <w:color w:val="000000"/>
          <w:sz w:val="20"/>
        </w:rPr>
        <w:t xml:space="preserve">SMC Long-Term Incentive Plan. </w:t>
      </w:r>
      <w:r>
        <w:rPr>
          <w:rFonts w:ascii="Times New Roman;serif" w:hAnsi="Times New Roman;serif"/>
          <w:b w:val="false"/>
          <w:color w:val="000000"/>
          <w:sz w:val="20"/>
        </w:rPr>
        <w:t xml:space="preserve">In connection with the consummation of the Corporate Reorganization, the Company assumed SMLP’s 2022 Long-Term Incentive Plan, as amended by the First Amendment, effective as of March 16, 2022 (the “SMLP LTIP”), and all the obligations of SMLP thereunder. The SMLP LTIP units were exchanged on a one-for-one basis with equivalent terms. In connection with the assumption of the SMLP LTIP and the Corporate Reorganization, the Board of Directors approved the amendment and restatement of the SMLP LTIP, with such amendment and restatement effective as of August 1, 2024 (such amended and restated plan, the Summit Midstream Corporation 2024 Long-Term Incentive Plan (the “SMC LTIP”)). The SMC LTIP authorizes the Compensation Committee,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items to note: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six-month period ended June 30, 2025, the Company granted 129,637 time-based restricted stock units and associated dividend equivalent rights to employees in connection with the Company’s annual incentive compensation award cycle. The grant date fair value of these awards totaled $4.7 million and the awards vest ratably over a three-year period.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six-month period ended June 30, 2025, the Company granted 90,081 performance-based restricted stock units and associated dividend equivalent rights to certain members of management in connection with the Company’s annual incentive compensation award cycle. The grant date fair value of these awards totaled $4.4 million and the awards vest at the end of three years.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six-month period ended June 30, 2025, the Company issued 18,372 shares of common stock to six independent directors in connection with their annual compensation plan. The grant date fair value of these awards totaled $0.7 million and became fully vested at the grant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approximately 0.6 million shares of common stock remained available for future issuance under the SMC LTIP, which includes the impact of 0.7 million granted but unvested restricted stock and performance-based awards, assuming the performance-based awards are settled with a 100% target payout.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consummation of the Corporate Reorganization, SMLP was treated as a partnership for federal and state income tax purposes, in which the Partnership’s taxable income or loss was passed through to its unitholders. SMLP was subject to Texas margin tax. Therefore, with the exception of Texas, SMLP did not directly pay federal and state income taxes and no entity-level income tax provisions was recorded other than for the effects of the Texas margin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Corporation’s effective income tax rate for the six months ended June 30, 2025 was different from the U.S. federal statutory income tax rate of 21% primarily due to the net income allocated to the noncontrolling interest, tax benefits related to stock-based compensation and nondeductible executive compensation. The effective tax rate for the six months ended June 30, 2024 was different from the U.S. federal statutory income tax rate of 21% primarily due to SMLP’s pre-Corporate Reorganization income not being subject to U.S. federal or state income tax, other than the Texas margin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SMC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June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(“OBBBA”). The OBBBA preserves the 21% U.S. Federal statutory tax rate and makes a favorable change to the business interest expense limitation. Further, the OBBBA also makes key elements of the Tax Cuts and Jobs Act permanent, including 100% bonus depreciation, domestic research cost expensing, and various expiring international provisions (with some modifications). Pursuant to ASC 740, changes in tax rates and tax law are required to be recognized in the period in which the legislation is enacted. As such, SMC will continue to evaluate the impact of this legislation over the coming months and will include any necessary adjustments in SMC’s third quarter financial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operating segments, which are equivalent to our reportable segments, have been identified based on their geographic location and reflect how the Company’s Chief Operating Decision Maker (“CODM”) assesses performance and allocates resources. The Company’s CODM, which is its Chief Executive Officer, primarily utilizes segment adjusted EBITDA as the key indicator in assessing the segment’s performance and allocating resources. Segment adjusted EBITDA is primarily used in the budgeting and forecasting process and the CODM regularly considers budget-to-actual variances when evaluating the performance of each segment and making decisions on the allocation of operating and capital resources to each individual segment. </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 xml:space="preserve">Rockies </w:t>
      </w:r>
      <w:r>
        <w:rPr>
          <w:color w:val="000000"/>
        </w:rPr>
        <w:t xml:space="preserve">– </w:t>
      </w:r>
      <w:r>
        <w:rPr>
          <w:rFonts w:ascii="Times New Roman;serif" w:hAnsi="Times New Roman;serif"/>
          <w:b w:val="false"/>
          <w:color w:val="000000"/>
          <w:sz w:val="20"/>
        </w:rPr>
        <w:t xml:space="preserve">Includes the Company’s midstream assets located in the Williston Basin and the DJ Basin.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Permian </w:t>
      </w:r>
      <w:r>
        <w:rPr>
          <w:color w:val="000000"/>
        </w:rPr>
        <w:t xml:space="preserve">– </w:t>
      </w:r>
      <w:r>
        <w:rPr>
          <w:rFonts w:ascii="Times New Roman;serif" w:hAnsi="Times New Roman;serif"/>
          <w:b w:val="false"/>
          <w:color w:val="000000"/>
          <w:sz w:val="20"/>
        </w:rPr>
        <w:t>Includes the Company’s equity method investment in Double 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Piceance </w:t>
      </w:r>
      <w:r>
        <w:rPr>
          <w:color w:val="000000"/>
        </w:rPr>
        <w:t xml:space="preserve">– </w:t>
      </w:r>
      <w:r>
        <w:rPr>
          <w:rFonts w:ascii="Times New Roman;serif" w:hAnsi="Times New Roman;serif"/>
          <w:b w:val="false"/>
          <w:color w:val="000000"/>
          <w:sz w:val="20"/>
        </w:rPr>
        <w:t>Includes the Company’s midstream assets located in the Piceance Basin.</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Mid-Con </w:t>
      </w:r>
      <w:r>
        <w:rPr>
          <w:color w:val="000000"/>
        </w:rPr>
        <w:t xml:space="preserve">– </w:t>
      </w:r>
      <w:r>
        <w:rPr>
          <w:rFonts w:ascii="Times New Roman;serif" w:hAnsi="Times New Roman;serif"/>
          <w:b w:val="false"/>
          <w:color w:val="000000"/>
          <w:sz w:val="20"/>
        </w:rPr>
        <w:t xml:space="preserve">Includes the Company’s midstream assets located in the Barnett Shale and, following the Tall Oak Acquisition, the Arkoma Basin.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Northeast </w:t>
      </w:r>
      <w:r>
        <w:rPr>
          <w:color w:val="000000"/>
        </w:rPr>
        <w:t xml:space="preserve">– </w:t>
      </w:r>
      <w:r>
        <w:rPr>
          <w:rFonts w:ascii="Times New Roman;serif" w:hAnsi="Times New Roman;serif"/>
          <w:b w:val="false"/>
          <w:color w:val="000000"/>
          <w:sz w:val="20"/>
        </w:rPr>
        <w:t xml:space="preserve">Includes the Company’s previously owned midstream assets located in the Utica and Marcellus shale plays and the previously owned equity method investment in Ohio Gathering that was focused on the Utica Shale. During the year ended December 31, 2024, the Company divested of its Northeast operations. See Note 3 - Acquisitions and Divestitures for additional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reportable segments (in thousands):</w:t>
      </w:r>
    </w:p>
    <w:tbl>
      <w:tblPr>
        <w:tblW w:w="10205" w:type="dxa"/>
        <w:jc w:val="left"/>
        <w:tblInd w:w="0" w:type="dxa"/>
        <w:tblLayout w:type="fixed"/>
        <w:tblCellMar>
          <w:top w:w="28" w:type="dxa"/>
          <w:left w:w="28" w:type="dxa"/>
          <w:bottom w:w="28" w:type="dxa"/>
          <w:right w:w="28" w:type="dxa"/>
        </w:tblCellMar>
      </w:tblPr>
      <w:tblGrid>
        <w:gridCol w:w="1642"/>
        <w:gridCol w:w="1331"/>
        <w:gridCol w:w="1347"/>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406"/>
        <w:gridCol w:w="109"/>
        <w:gridCol w:w="109"/>
        <w:gridCol w:w="109"/>
        <w:gridCol w:w="109"/>
        <w:gridCol w:w="155"/>
      </w:tblGrid>
      <w:tr>
        <w:trPr/>
        <w:tc>
          <w:tcPr>
            <w:tcW w:w="164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 2025</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 2025</w:t>
            </w:r>
          </w:p>
        </w:tc>
        <w:tc>
          <w:tcPr>
            <w:tcW w:w="540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97"/>
        <w:gridCol w:w="1287"/>
        <w:gridCol w:w="1301"/>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55"/>
      </w:tblGrid>
      <w:tr>
        <w:trPr/>
        <w:tc>
          <w:tcPr>
            <w:tcW w:w="159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 2024</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 2024</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Company’s revenues are attributable solely to external customers located within the United States.</w:t>
      </w:r>
    </w:p>
    <w:p>
      <w:pPr>
        <w:pStyle w:val="TextBody"/>
        <w:bidi w:val="0"/>
        <w:spacing w:lineRule="auto" w:line="288" w:before="120" w:after="283"/>
        <w:ind w:left="0" w:right="0" w:hanging="9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For the three and six months ended June 30, 2025 and 2024, other segment items consist primarily of the following: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Rockies - includes general and administrative expenses, operations and maintenance expenses and adjustments related to capital reimbursement activity;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Permian - includes general and administrative expenses and the Company’s proportional adjusted EBITDA from its equity method investment in Double 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Piceance - includes general and administrative expenses, operations and maintenance expenses and adjustments related to capital reimbursement activity;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Mid-Con - includes general and administrative expenses, operations and maintenance expenses, adjustments related to capital reimbursement activity, the amortization expense associated with the Company’s favorable and unfavorable gas gathering contracts;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Northeast - includes general and administrative expenses, operations and maintenance expense, the Company’s proportional adjusted EBITDA from its equity method investment in Ohio Gathering.</w:t>
      </w:r>
    </w:p>
    <w:p>
      <w:pPr>
        <w:pStyle w:val="TextBody"/>
        <w:bidi w:val="0"/>
        <w:spacing w:lineRule="auto" w:line="288" w:before="120" w:after="283"/>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Indirect and passthrough consist primarily of electricity expense incurred by the Company of which a portion is passed through to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by reportable segment follow.</w:t>
      </w:r>
    </w:p>
    <w:tbl>
      <w:tblPr>
        <w:tblW w:w="5823" w:type="dxa"/>
        <w:jc w:val="left"/>
        <w:tblInd w:w="0" w:type="dxa"/>
        <w:tblLayout w:type="fixed"/>
        <w:tblCellMar>
          <w:top w:w="28" w:type="dxa"/>
          <w:left w:w="28" w:type="dxa"/>
          <w:bottom w:w="28" w:type="dxa"/>
          <w:right w:w="28" w:type="dxa"/>
        </w:tblCellMar>
      </w:tblPr>
      <w:tblGrid>
        <w:gridCol w:w="977"/>
        <w:gridCol w:w="853"/>
        <w:gridCol w:w="825"/>
        <w:gridCol w:w="211"/>
        <w:gridCol w:w="976"/>
        <w:gridCol w:w="109"/>
        <w:gridCol w:w="109"/>
        <w:gridCol w:w="109"/>
        <w:gridCol w:w="109"/>
        <w:gridCol w:w="243"/>
        <w:gridCol w:w="1125"/>
        <w:gridCol w:w="177"/>
      </w:tblGrid>
      <w:tr>
        <w:trPr/>
        <w:tc>
          <w:tcPr>
            <w:tcW w:w="97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Assets</w:t>
            </w:r>
            <w:r>
              <w:rPr>
                <w:rFonts w:ascii="Times New Roman;serif" w:hAnsi="Times New Roman;serif"/>
                <w:b/>
                <w:color w:val="000000"/>
                <w:sz w:val="13"/>
              </w:rPr>
              <w:t>(1)</w:t>
            </w:r>
            <w:r>
              <w:rPr>
                <w:rFonts w:ascii="Times New Roman;serif" w:hAnsi="Times New Roman;serif"/>
                <w:b/>
                <w:color w:val="000000"/>
                <w:sz w:val="20"/>
              </w:rPr>
              <w: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2,338,790 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2,359,484 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Company’s long-lived assets are located within the United States.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the amortization expense associated with the Company’s favorable and unfavorable gas gathering contracts as reported in other revenues, by reportable segment follow.</w:t>
      </w:r>
    </w:p>
    <w:tbl>
      <w:tblPr>
        <w:tblW w:w="9824" w:type="dxa"/>
        <w:jc w:val="left"/>
        <w:tblInd w:w="0" w:type="dxa"/>
        <w:tblLayout w:type="fixed"/>
        <w:tblCellMar>
          <w:top w:w="28" w:type="dxa"/>
          <w:left w:w="28" w:type="dxa"/>
          <w:bottom w:w="28" w:type="dxa"/>
          <w:right w:w="28" w:type="dxa"/>
        </w:tblCellMar>
      </w:tblPr>
      <w:tblGrid>
        <w:gridCol w:w="1679"/>
        <w:gridCol w:w="1475"/>
        <w:gridCol w:w="148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Mid-Con</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depreciation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the amortization expense associated with the Company’s favorable and unfavorable gas gathering contracts as reported in Other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paid for capital expenditures by reportable segment follow.</w:t>
      </w:r>
    </w:p>
    <w:tbl>
      <w:tblPr>
        <w:tblW w:w="9356" w:type="dxa"/>
        <w:jc w:val="left"/>
        <w:tblInd w:w="0" w:type="dxa"/>
        <w:tblLayout w:type="fixed"/>
        <w:tblCellMar>
          <w:top w:w="28" w:type="dxa"/>
          <w:left w:w="28" w:type="dxa"/>
          <w:bottom w:w="28" w:type="dxa"/>
          <w:right w:w="28" w:type="dxa"/>
        </w:tblCellMar>
      </w:tblPr>
      <w:tblGrid>
        <w:gridCol w:w="1391"/>
        <w:gridCol w:w="1221"/>
        <w:gridCol w:w="12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capital expenditures: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capital expenditures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paid for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purpose of evaluating segment performance, the Company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total of reportable segments’ measure of profit to income or loss before income taxes and income from equity method investees follows.</w:t>
      </w:r>
    </w:p>
    <w:tbl>
      <w:tblPr>
        <w:tblW w:w="10205" w:type="dxa"/>
        <w:jc w:val="left"/>
        <w:tblInd w:w="0" w:type="dxa"/>
        <w:tblLayout w:type="fixed"/>
        <w:tblCellMar>
          <w:top w:w="28" w:type="dxa"/>
          <w:left w:w="28" w:type="dxa"/>
          <w:bottom w:w="28" w:type="dxa"/>
          <w:right w:w="28" w:type="dxa"/>
        </w:tblCellMar>
      </w:tblPr>
      <w:tblGrid>
        <w:gridCol w:w="1731"/>
        <w:gridCol w:w="1507"/>
        <w:gridCol w:w="1514"/>
        <w:gridCol w:w="211"/>
        <w:gridCol w:w="721"/>
        <w:gridCol w:w="109"/>
        <w:gridCol w:w="109"/>
        <w:gridCol w:w="109"/>
        <w:gridCol w:w="109"/>
        <w:gridCol w:w="211"/>
        <w:gridCol w:w="772"/>
        <w:gridCol w:w="109"/>
        <w:gridCol w:w="109"/>
        <w:gridCol w:w="109"/>
        <w:gridCol w:w="109"/>
        <w:gridCol w:w="211"/>
        <w:gridCol w:w="826"/>
        <w:gridCol w:w="109"/>
        <w:gridCol w:w="109"/>
        <w:gridCol w:w="109"/>
        <w:gridCol w:w="109"/>
        <w:gridCol w:w="211"/>
        <w:gridCol w:w="826"/>
        <w:gridCol w:w="156"/>
      </w:tblGrid>
      <w:tr>
        <w:trPr/>
        <w:tc>
          <w:tcPr>
            <w:tcW w:w="173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segment adjusted EBITDA to income (loss) before income taxes: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129,929 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Corporate and Other expense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Proportional adjusted EBITDA for equity method investees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Adjustments related to capital reimbursement activity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13"/>
        </w:rPr>
        <w:t>(1)Corporate includes results that are not specifically attributable to a reportable segment or that have not been allocated to the Company’s reportable segments, for the three and six months ended</w:t>
      </w:r>
      <w:r>
        <w:rPr>
          <w:color w:val="000000"/>
        </w:rPr>
        <w:t xml:space="preserve"> </w:t>
      </w:r>
      <w:r>
        <w:rPr>
          <w:rFonts w:ascii="Times New Roman;serif" w:hAnsi="Times New Roman;serif"/>
          <w:b w:val="false"/>
          <w:color w:val="000000"/>
          <w:sz w:val="13"/>
        </w:rPr>
        <w:t>June 30, 2025 other expense consisted primarily of a gain on the fair value remeasurement of the Tall Oak earn-out. For the three and six months ended</w:t>
      </w:r>
      <w:r>
        <w:rPr>
          <w:color w:val="000000"/>
        </w:rPr>
        <w:t xml:space="preserve"> </w:t>
      </w:r>
      <w:r>
        <w:rPr>
          <w:rFonts w:ascii="Times New Roman;serif" w:hAnsi="Times New Roman;serif"/>
          <w:b w:val="false"/>
          <w:color w:val="000000"/>
          <w:sz w:val="13"/>
        </w:rPr>
        <w:t xml:space="preserve">June 30, 2024, other expense consisted primarily of gains on interest rate swaps. </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(2)Includes the amortization expense associated with the Company’s favorable gas gathering contracts as reported in other revenues.</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(3)The Company recorded financial results of its investment in Ohio Gathering on a one-month lag and is based on the financial information available to the Company during the reporting period. With the divestiture of Ohio Gathering in March 2024, proportional adjusted EBITDA includes financial results from December 1, 2023 through March 22, 2024.</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(4)Contributions in aid of construction are recognized over the remaining term of the respective contract. The Company includes adjustments related to capital reimbursement activity in its calculation of segment adjusted EBITDA to account for revenue recognized from contributions in aid of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is intended to inform the reader about matters affecting the financial condition and results of operations of the Company and its subsidiaries for the periods since December 31, 2024. As a result, the following discussion should be read in conjunction with the Company’s unaudited condensed consolidated financial statements and notes thereto included in this report and the MD&amp;A and the audited consolidated financial statements and related notes that are included in the Company’s 2024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the section “Forward-Looking Statements.” Actual results may differ materially from those contained in any forward-looking statements.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or unless otherwise noted, all references to “Summit Midstream,” the “Company,” “we,” “us,” “our” or like terms are to Summit Midstream Corporation (including its subsidiaries) for the periods after August 1, 2024, the date the Corporate Reorganization was consummated. For the periods prior to August 1, 2024, unless the context requires otherwise or unless otherwise noted, all reference to “Summit Midstream,” or the “Company” are to Summit Midstream Partners, LP. (including its subsidiaries).</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 value-oriented company focused on developing, owning and operating midstream energy infrastructure assets that are strategically located in unconventional resource basins, primarily shale formations, in the continental United States.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segment customers, (iii) the sale of condensate we retain from our gathering services in the Rockies and Piceance segment and (iv) additional gathering fees that are tied to the performance of certain commodity price indexes which are then added to the fixed gathering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consolidated and reportable segment financial data. For additional information on our reportable segments, see the “Segment Overview for the Three and Six Months Ended June 30, 2025 and 2024” section included herein.</w:t>
      </w:r>
    </w:p>
    <w:tbl>
      <w:tblPr>
        <w:tblW w:w="10205" w:type="dxa"/>
        <w:jc w:val="left"/>
        <w:tblInd w:w="0" w:type="dxa"/>
        <w:tblLayout w:type="fixed"/>
        <w:tblCellMar>
          <w:top w:w="28" w:type="dxa"/>
          <w:left w:w="28" w:type="dxa"/>
          <w:bottom w:w="28" w:type="dxa"/>
          <w:right w:w="28" w:type="dxa"/>
        </w:tblCellMar>
      </w:tblPr>
      <w:tblGrid>
        <w:gridCol w:w="1837"/>
        <w:gridCol w:w="1508"/>
        <w:gridCol w:w="1506"/>
        <w:gridCol w:w="211"/>
        <w:gridCol w:w="721"/>
        <w:gridCol w:w="109"/>
        <w:gridCol w:w="109"/>
        <w:gridCol w:w="109"/>
        <w:gridCol w:w="109"/>
        <w:gridCol w:w="211"/>
        <w:gridCol w:w="778"/>
        <w:gridCol w:w="109"/>
        <w:gridCol w:w="109"/>
        <w:gridCol w:w="109"/>
        <w:gridCol w:w="109"/>
        <w:gridCol w:w="211"/>
        <w:gridCol w:w="721"/>
        <w:gridCol w:w="109"/>
        <w:gridCol w:w="109"/>
        <w:gridCol w:w="109"/>
        <w:gridCol w:w="109"/>
        <w:gridCol w:w="211"/>
        <w:gridCol w:w="826"/>
        <w:gridCol w:w="156"/>
      </w:tblGrid>
      <w:tr>
        <w:trPr/>
        <w:tc>
          <w:tcPr>
            <w:tcW w:w="183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Reportable segment adjusted EBITDA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the acquisition of Moonrise,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Utica Sale (excluding Ohio Gathering)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Ohio Gathering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Mountaineer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Double E equity method investee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Series A Preferred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Subsidiary Series A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Additional 2029 Secured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Amended and Restated ABL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ABL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Permian Transmission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Redemption of 2026 Unsecured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- 2026 Secured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See “Liquidity and Capital Resources” herein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Trends and Outlook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Ongoing impact of political and economic conditions and events in foreign oil and natural gas producing countries on commodity prices, including the continued conflicts in the Middle East, current Russia-Ukraine conflict, the international sanctions against Russia and other sustained military campaigns;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General economic conditions, whether internationally, nationally, or in the regional and local market areas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which we do business, including any future economic downturn, the imposition of tariffs or trade or other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sanctions, and political instability;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Capital markets availability and cost of capital;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Inflation and shifts in operating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expectations are based on assumptions made by us and information currently available to us. To the extent our underlying assumptions about, or interpretations of, available information prove to be incorrect, our actual results may vary materially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expected results. For additional information, see the “Trends and Outlook” section of MD&amp;A included in the 2024 Annual Report.</w:t>
      </w:r>
    </w:p>
    <w:p>
      <w:pPr>
        <w:pStyle w:val="TextBody"/>
        <w:bidi w:val="0"/>
        <w:spacing w:lineRule="auto" w:line="288" w:before="120" w:after="120"/>
        <w:jc w:val="left"/>
        <w:rPr/>
      </w:pPr>
      <w:r>
        <w:rPr>
          <w:rFonts w:ascii="Times New Roman;serif" w:hAnsi="Times New Roman;serif"/>
          <w:b/>
          <w:i/>
          <w:color w:val="000000"/>
          <w:sz w:val="20"/>
        </w:rPr>
        <w:t xml:space="preserve">Moonrise Acquisition. </w:t>
      </w:r>
      <w:r>
        <w:rPr>
          <w:rFonts w:ascii="Times New Roman;serif" w:hAnsi="Times New Roman;serif"/>
          <w:b w:val="false"/>
          <w:color w:val="000000"/>
          <w:sz w:val="20"/>
        </w:rPr>
        <w:t>On March 10, 2025, the Company completed the transaction contemplated in the Membership Interest Purchase Agreement, dated as of March 10, 2025, by and among the Company, Summit Holdings, Fundare, and solely for purposes of Section 9.19 thereto, Fundare Resources Company, LLC, a Delaware limited liability company, pursuant to which Fundare contributed all of its equity interests in Moonrise to Summit Holdings in exchange for total consideration equal to approximately $90.0 million. Total consideration consisted of (i) a $70.0 million cash payment and (ii) the issuance of 462,265 shares of common stock of the Company.</w:t>
      </w:r>
    </w:p>
    <w:p>
      <w:pPr>
        <w:pStyle w:val="TextBody"/>
        <w:bidi w:val="0"/>
        <w:spacing w:lineRule="auto" w:line="288" w:before="120" w:after="283"/>
        <w:jc w:val="left"/>
        <w:rPr/>
      </w:pPr>
      <w:r>
        <w:rPr>
          <w:rFonts w:ascii="Times New Roman;serif" w:hAnsi="Times New Roman;serif"/>
          <w:b/>
          <w:i/>
          <w:color w:val="000000"/>
          <w:sz w:val="20"/>
        </w:rPr>
        <w:t>Capital structure optimization and portfolio management</w:t>
      </w:r>
      <w:r>
        <w:rPr>
          <w:rFonts w:ascii="Times New Roman;serif" w:hAnsi="Times New Roman;serif"/>
          <w:b w:val="false"/>
          <w:color w:val="000000"/>
          <w:sz w:val="20"/>
        </w:rPr>
        <w:t>. We intend to continue to improve our capital structure in the future by reducing our indebtedness with free cash flow, and when appropriate, we may pursue opportunistic transactions with the objective of increasing long 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Permian Credit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 On March 24, 2025, the Company filed a registration statement on Form S-3, which was declared effective by the SEC on April 1, 2025, registering an indeterminate number or amount, as the case may be, of certain equity securities under the Securities Act to be sold by the Company from time to time at indeterminate prices, which together shall have a maximum aggregate offering price not to exceed $240.0 million.</w:t>
      </w:r>
    </w:p>
    <w:p>
      <w:pPr>
        <w:pStyle w:val="TextBody"/>
        <w:bidi w:val="0"/>
        <w:spacing w:lineRule="auto" w:line="288" w:before="120" w:after="283"/>
        <w:jc w:val="left"/>
        <w:rPr/>
      </w:pPr>
      <w:r>
        <w:rPr>
          <w:rFonts w:ascii="Times New Roman;serif" w:hAnsi="Times New Roman;serif"/>
          <w:b/>
          <w:i/>
          <w:color w:val="000000"/>
          <w:sz w:val="20"/>
        </w:rPr>
        <w:t xml:space="preserve">Ongoing impact of political and economic conditions and events in foreign oil and natural gas producing countries on commodity prices. </w:t>
      </w:r>
      <w:r>
        <w:rPr>
          <w:rFonts w:ascii="Times New Roman;serif" w:hAnsi="Times New Roman;serif"/>
          <w:b w:val="false"/>
          <w:color w:val="000000"/>
          <w:sz w:val="20"/>
        </w:rPr>
        <w:t>Although we operate solely in the United States, certain events and conditions in foreign oil and natural gas producing countries, such as the continued conflict in the Middle East, including the Hamas-Israel war, and the recent escalation of the Israel-Iran conflict, and Russia’s invasion of Ukraine,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pPr>
      <w:r>
        <w:rPr>
          <w:rFonts w:ascii="Times New Roman;serif" w:hAnsi="Times New Roman;serif"/>
          <w:b/>
          <w:i/>
          <w:color w:val="000000"/>
          <w:sz w:val="20"/>
        </w:rPr>
        <w:t>Natural gas, NGL and crude oil supply and demand dynamics. </w:t>
      </w:r>
      <w:r>
        <w:rPr>
          <w:rFonts w:ascii="Times New Roman;serif" w:hAnsi="Times New Roman;serif"/>
          <w:b w:val="false"/>
          <w:color w:val="000000"/>
          <w:sz w:val="20"/>
        </w:rPr>
        <w:t>Natural gas continues to be a critical component of energy supply and demand in the United States.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certain of our gathering systems are directly affected by crude oil supply and demand dynamics. Over the next several years, we expect that crude oil prices will support continued drilling activity and increasing production in the Williston Basin, Permian Basin, and given the current regulatory environment in Colorado, in rural parts of the DJ Basin where we operate.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pStyle w:val="TextBody"/>
        <w:bidi w:val="0"/>
        <w:spacing w:lineRule="auto" w:line="288" w:before="120" w:after="283"/>
        <w:jc w:val="left"/>
        <w:rPr/>
      </w:pPr>
      <w:r>
        <w:rPr>
          <w:rFonts w:ascii="Times New Roman;serif" w:hAnsi="Times New Roman;serif"/>
          <w:b/>
          <w:i/>
          <w:color w:val="000000"/>
          <w:sz w:val="20"/>
        </w:rPr>
        <w:t>Growth in production from U.S. shale plays.</w:t>
      </w:r>
      <w:r>
        <w:rPr>
          <w:color w:val="000000"/>
        </w:rPr>
        <w:t> </w:t>
      </w:r>
      <w:r>
        <w:rPr>
          <w:rFonts w:ascii="Times New Roman;serif" w:hAnsi="Times New Roman;serif"/>
          <w:b w:val="false"/>
          <w:color w:val="000000"/>
          <w:sz w:val="20"/>
        </w:rPr>
        <w:t xml:space="preserve">Over the past several years, natural gas production from unconventional shale resources has increased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Permian and Arkoma Basin shale plays in which we operate. We believe that these long-term capital investments should support drilling activity in unconventional shale plays over the long term. </w:t>
      </w:r>
    </w:p>
    <w:p>
      <w:pPr>
        <w:pStyle w:val="TextBody"/>
        <w:bidi w:val="0"/>
        <w:spacing w:lineRule="auto" w:line="288" w:before="120" w:after="283"/>
        <w:jc w:val="left"/>
        <w:rPr/>
      </w:pPr>
      <w:r>
        <w:rPr>
          <w:rFonts w:ascii="Times New Roman;serif" w:hAnsi="Times New Roman;serif"/>
          <w:b/>
          <w:i/>
          <w:color w:val="000000"/>
          <w:sz w:val="20"/>
        </w:rPr>
        <w:t>Rate of growth in production from U.S. shale plays. </w:t>
      </w:r>
      <w:r>
        <w:rPr>
          <w:rFonts w:ascii="Times New Roman;serif" w:hAnsi="Times New Roman;serif"/>
          <w:b w:val="false"/>
          <w:color w:val="000000"/>
          <w:sz w:val="20"/>
        </w:rPr>
        <w:t xml:space="preserve">Some of our producer customers have adjusted their drilling and completion activities and schedules 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re-investing that cash flow into development. In general, we expect our producer customers to maintain moderate completion and production activities across many of our systems relative to our previous expectations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result of the commodity price environment and a continuation of the general trend of producers constraining drilling and completion activity to levels that can be satisfied with internally generated cash flow.</w:t>
      </w:r>
    </w:p>
    <w:p>
      <w:pPr>
        <w:pStyle w:val="TextBody"/>
        <w:bidi w:val="0"/>
        <w:spacing w:lineRule="auto" w:line="288" w:before="120" w:after="283"/>
        <w:jc w:val="left"/>
        <w:rPr/>
      </w:pPr>
      <w:r>
        <w:rPr>
          <w:rFonts w:ascii="Times New Roman;serif" w:hAnsi="Times New Roman;serif"/>
          <w:b/>
          <w:i/>
          <w:color w:val="000000"/>
          <w:sz w:val="20"/>
        </w:rPr>
        <w:t>Capital markets availability and cost of capital.</w:t>
      </w:r>
      <w:r>
        <w:rPr>
          <w:color w:val="000000"/>
        </w:rPr>
        <w:t> </w:t>
      </w:r>
      <w:r>
        <w:rPr>
          <w:rFonts w:ascii="Times New Roman;serif" w:hAnsi="Times New Roman;serif"/>
          <w:b w:val="false"/>
          <w:color w:val="000000"/>
          <w:sz w:val="20"/>
        </w:rPr>
        <w:t>Capital markets conditions, including but not limited to availability and higher borrowing costs, could affect our ability to access the debt and equity capital markets, to the extent necessary, to fund our future growth. In addition, interest rates on future credit facilities and debt offerings could be higher than current levels, causing our financing costs to increase accordingly.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borrowings under our Amended and Restated ABL Facility, which have a variable interest rate, expose us to the risk of increasing interest rates. </w:t>
      </w:r>
    </w:p>
    <w:p>
      <w:pPr>
        <w:pStyle w:val="TextBody"/>
        <w:bidi w:val="0"/>
        <w:spacing w:lineRule="auto" w:line="288" w:before="120" w:after="283"/>
        <w:jc w:val="left"/>
        <w:rPr/>
      </w:pPr>
      <w:r>
        <w:rPr>
          <w:rFonts w:ascii="Times New Roman;serif" w:hAnsi="Times New Roman;serif"/>
          <w:b/>
          <w:i/>
          <w:color w:val="000000"/>
          <w:sz w:val="20"/>
        </w:rPr>
        <w:t>Inflation and operating costs.</w:t>
      </w:r>
      <w:r>
        <w:rPr>
          <w:color w:val="000000"/>
        </w:rPr>
        <w:t> </w:t>
      </w:r>
      <w:r>
        <w:rPr>
          <w:rFonts w:ascii="Times New Roman;serif" w:hAnsi="Times New Roman;serif"/>
          <w:b w:val="false"/>
          <w:color w:val="000000"/>
          <w:sz w:val="20"/>
        </w:rPr>
        <w:t xml:space="preserve">The annual rate of inflation in the United States hit 6.5% in December 2022, one of the highest increases in more than three decades, as measured by the Consumer Price Index. While inflation has declined since further increases in inflation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 </w:t>
      </w:r>
    </w:p>
    <w:p>
      <w:pPr>
        <w:pStyle w:val="TextBody"/>
        <w:bidi w:val="0"/>
        <w:spacing w:lineRule="auto" w:line="288" w:before="120" w:after="283"/>
        <w:jc w:val="left"/>
        <w:rPr/>
      </w:pPr>
      <w:r>
        <w:rPr>
          <w:rFonts w:ascii="Times New Roman;serif" w:hAnsi="Times New Roman;serif"/>
          <w:b/>
          <w:i/>
          <w:color w:val="000000"/>
          <w:sz w:val="20"/>
        </w:rPr>
        <w:t xml:space="preserve">Impact of increases in interest rates. </w:t>
      </w:r>
      <w:r>
        <w:rPr>
          <w:rFonts w:ascii="Times New Roman;serif" w:hAnsi="Times New Roman;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and the timing of any potential further increases or decreases remains uncertain. As of June 30, 2025, we had approximately $825.0 million principal of fixed-rate debt, $140.0 million outstanding under our variable rate Amended and Restated ABL Facility and $121.2 million outstanding under the variable rate Permian Transmission Term Loan (see Note 8 - Debt). As of June 30, 2025, we had $109.1 million of interest rate exposure hedged to offset the impact of changes in interest rates on our Permian Transmission Term Loan. </w:t>
      </w:r>
    </w:p>
    <w:p>
      <w:pPr>
        <w:pStyle w:val="TextBody"/>
        <w:bidi w:val="0"/>
        <w:spacing w:lineRule="auto" w:line="288" w:before="120" w:after="283"/>
        <w:jc w:val="left"/>
        <w:rPr/>
      </w:pPr>
      <w:r>
        <w:rPr>
          <w:rFonts w:ascii="Times New Roman;serif" w:hAnsi="Times New Roman;serif"/>
          <w:b/>
          <w:i/>
          <w:color w:val="000000"/>
          <w:sz w:val="20"/>
        </w:rPr>
        <w:t xml:space="preserve">One Big Beautiful Bill Act. </w:t>
      </w:r>
      <w:r>
        <w:rPr>
          <w:rFonts w:ascii="Times New Roman;serif" w:hAnsi="Times New Roman;serif"/>
          <w:b w:val="false"/>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Currently, as a result of the OBBBA reverting to a higher EBITDA-based business interest expense limitation, the Company expects the passage of the OBBBA will now allow it to deduct significantly more of its interest expense. Prior to the passage of the OBBBA, the Company’s ability to deduct its interest expense was more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Consolidated Overview for the Three and Six Months Ended June 30, 2025 and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consolidated financial and operating data.</w:t>
      </w:r>
    </w:p>
    <w:tbl>
      <w:tblPr>
        <w:tblW w:w="10205" w:type="dxa"/>
        <w:jc w:val="left"/>
        <w:tblInd w:w="0" w:type="dxa"/>
        <w:tblLayout w:type="fixed"/>
        <w:tblCellMar>
          <w:top w:w="28" w:type="dxa"/>
          <w:left w:w="28" w:type="dxa"/>
          <w:bottom w:w="28" w:type="dxa"/>
          <w:right w:w="28" w:type="dxa"/>
        </w:tblCellMar>
      </w:tblPr>
      <w:tblGrid>
        <w:gridCol w:w="1730"/>
        <w:gridCol w:w="1496"/>
        <w:gridCol w:w="1506"/>
        <w:gridCol w:w="211"/>
        <w:gridCol w:w="721"/>
        <w:gridCol w:w="109"/>
        <w:gridCol w:w="109"/>
        <w:gridCol w:w="109"/>
        <w:gridCol w:w="109"/>
        <w:gridCol w:w="211"/>
        <w:gridCol w:w="792"/>
        <w:gridCol w:w="109"/>
        <w:gridCol w:w="109"/>
        <w:gridCol w:w="109"/>
        <w:gridCol w:w="109"/>
        <w:gridCol w:w="211"/>
        <w:gridCol w:w="826"/>
        <w:gridCol w:w="109"/>
        <w:gridCol w:w="109"/>
        <w:gridCol w:w="109"/>
        <w:gridCol w:w="109"/>
        <w:gridCol w:w="211"/>
        <w:gridCol w:w="826"/>
        <w:gridCol w:w="156"/>
      </w:tblGrid>
      <w:tr>
        <w:trPr/>
        <w:tc>
          <w:tcPr>
            <w:tcW w:w="173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Volume throughput </w:t>
            </w:r>
            <w:r>
              <w:rPr>
                <w:rFonts w:ascii="Times New Roman;serif" w:hAnsi="Times New Roman;serif"/>
                <w:b/>
                <w:color w:val="000000"/>
                <w:sz w:val="13"/>
              </w:rPr>
              <w:t>(1)</w:t>
            </w:r>
            <w:r>
              <w:rPr>
                <w:rFonts w:ascii="Times New Roman;serif" w:hAnsi="Times New Roman;serif"/>
                <w:b/>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natural gas (MMcf/d)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liquids (Mbbl/d)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Excludes volume throughput for Ohio Gathering and Double E. For additional information, see the Northeast and Permian sections herein under the caption “Segment Overview for the Three and Six Months Ended June 30, 2025 and 2024”.</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i/>
          <w:color w:val="000000"/>
          <w:sz w:val="20"/>
        </w:rPr>
        <w:t xml:space="preserve">Volumes – Gas. </w:t>
      </w:r>
      <w:r>
        <w:rPr>
          <w:rFonts w:ascii="Times New Roman;serif" w:hAnsi="Times New Roman;serif"/>
          <w:b w:val="false"/>
          <w:color w:val="000000"/>
          <w:sz w:val="20"/>
        </w:rPr>
        <w:t>Natural gas throughput volumes increased</w:t>
      </w:r>
      <w:r>
        <w:rPr>
          <w:color w:val="FF0000"/>
        </w:rPr>
        <w:t> </w:t>
      </w:r>
      <w:r>
        <w:rPr>
          <w:rFonts w:ascii="Times New Roman;serif" w:hAnsi="Times New Roman;serif"/>
          <w:b w:val="false"/>
          <w:color w:val="000000"/>
          <w:sz w:val="20"/>
        </w:rPr>
        <w:t>196 MMcf/d for the three months ended June 30, 2025 compared to the three months ended June 30, 2024, primarily reflecting: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300 MMcf/d for the Mid-Con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17 MMcf/d for the Rockies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95 MMcf/d for the Northeast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26 MMcf/d for the Piceance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Natural gas throughput volumes decreased 124 MMcf/d for the six months ended June 30, 2025 compared to the six months ended June 30, 2024, primarily reflecting: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404 MMcf/d for the Northeast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36 MMcf/d for the Piceance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305 MMcf/d for the Mid-Con segment.</w:t>
      </w:r>
    </w:p>
    <w:p>
      <w:pPr>
        <w:pStyle w:val="TextBody"/>
        <w:bidi w:val="0"/>
        <w:spacing w:lineRule="auto" w:line="288" w:before="120" w:after="283"/>
        <w:jc w:val="left"/>
        <w:rPr/>
      </w:pPr>
      <w:r>
        <w:rPr>
          <w:rFonts w:ascii="Times New Roman;serif" w:hAnsi="Times New Roman;serif"/>
          <w:b/>
          <w:i/>
          <w:color w:val="000000"/>
          <w:sz w:val="20"/>
        </w:rPr>
        <w:t xml:space="preserve">Volumes – Liquids. </w:t>
      </w:r>
      <w:r>
        <w:rPr>
          <w:rFonts w:ascii="Times New Roman;serif" w:hAnsi="Times New Roman;serif"/>
          <w:b w:val="false"/>
          <w:color w:val="000000"/>
          <w:sz w:val="20"/>
        </w:rPr>
        <w:t>Crude oil and produced water throughput volumes at the Rockies segment remained comparable for the three months ended June 30, 2025, compared to the three months ended June 30, 2024, primarily due to natural production declines, offset by 23 new well connections that came online subsequent to June 30, 2024 and additional throughput in connection with the Moonrise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Crude oil and produced water throughput volumes at the Rockies segment remained comparable for the six months ended June 30, 2025, compared to the six months ended June 30, 2024, primarily due to natural production declines, offset by 23 new well connections that came online subsequent to June 30, 2024 and additional throughput in connection with the Moonrise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volumes, see the “Segment Overview for the Three and Six Months Ended June 30, 2025 and 2024” section herein.</w:t>
      </w:r>
    </w:p>
    <w:p>
      <w:pPr>
        <w:pStyle w:val="TextBody"/>
        <w:bidi w:val="0"/>
        <w:spacing w:lineRule="auto" w:line="288" w:before="120" w:after="283"/>
        <w:jc w:val="left"/>
        <w:rPr/>
      </w:pPr>
      <w:r>
        <w:rPr>
          <w:rFonts w:ascii="Times New Roman;serif" w:hAnsi="Times New Roman;serif"/>
          <w:b/>
          <w:i/>
          <w:color w:val="000000"/>
          <w:sz w:val="20"/>
        </w:rPr>
        <w:t>Revenues.</w:t>
      </w:r>
      <w:r>
        <w:rPr>
          <w:color w:val="000000"/>
        </w:rPr>
        <w:t> </w:t>
      </w:r>
      <w:r>
        <w:rPr>
          <w:rFonts w:ascii="Times New Roman;serif" w:hAnsi="Times New Roman;serif"/>
          <w:b w:val="false"/>
          <w:color w:val="000000"/>
          <w:sz w:val="20"/>
        </w:rPr>
        <w:t>Total revenues increased $38.9 million during the three months ended June 30, 2025 compared to the three months ended June 30, 2024, comprised of a $18.4 million increase</w:t>
      </w:r>
      <w:r>
        <w:rPr>
          <w:color w:val="FF0000"/>
        </w:rPr>
        <w:t> </w:t>
      </w:r>
      <w:r>
        <w:rPr>
          <w:rFonts w:ascii="Times New Roman;serif" w:hAnsi="Times New Roman;serif"/>
          <w:b w:val="false"/>
          <w:color w:val="000000"/>
          <w:sz w:val="20"/>
        </w:rPr>
        <w:t xml:space="preserve">in natural gas, NGLs and condensate sales, a $19.0 million increase in gathering services and related fees and a $1.5 million increase in other revenue. </w:t>
      </w:r>
    </w:p>
    <w:p>
      <w:pPr>
        <w:pStyle w:val="TextBody"/>
        <w:bidi w:val="0"/>
        <w:spacing w:lineRule="auto" w:line="288" w:before="120" w:after="283"/>
        <w:jc w:val="left"/>
        <w:rPr/>
      </w:pPr>
      <w:r>
        <w:rPr>
          <w:rFonts w:ascii="Times New Roman;serif" w:hAnsi="Times New Roman;serif"/>
          <w:b w:val="false"/>
          <w:color w:val="000000"/>
          <w:sz w:val="20"/>
          <w:u w:val="single"/>
        </w:rPr>
        <w:t>Gathering Services and Related Fees</w:t>
      </w:r>
      <w:r>
        <w:rPr>
          <w:rFonts w:ascii="Times New Roman;serif" w:hAnsi="Times New Roman;serif"/>
          <w:b w:val="false"/>
          <w:color w:val="000000"/>
          <w:sz w:val="20"/>
        </w:rPr>
        <w:t>. Gathering services and related fees increased $19.0 million compared to the three months ended June 30, 2024, primarily reflecting: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$23.4 million increase in the Mid-Con, primarily due to increased volume throughput as a result of the Tall Oak Acquisition;</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a $2.0 million decrease in the Northeast, primarily due to the sale of the Mountaineer Midstream system and the disposition of Summit Utica;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$2.4 million decrease in the Piceance, primarily due to decreased volume throughput; and</w:t>
      </w:r>
    </w:p>
    <w:p>
      <w:pPr>
        <w:pStyle w:val="TextBody"/>
        <w:bidi w:val="0"/>
        <w:spacing w:lineRule="auto" w:line="288" w:before="120" w:after="283"/>
        <w:jc w:val="left"/>
        <w:rPr/>
      </w:pPr>
      <w:r>
        <w:rPr>
          <w:rFonts w:ascii="Times New Roman;serif" w:hAnsi="Times New Roman;serif"/>
          <w:b w:val="false"/>
          <w:color w:val="000000"/>
          <w:sz w:val="20"/>
          <w:u w:val="single"/>
        </w:rPr>
        <w:t>Natural Gas, NGLs and Condensate Sales</w:t>
      </w:r>
      <w:r>
        <w:rPr>
          <w:rFonts w:ascii="Times New Roman;serif" w:hAnsi="Times New Roman;serif"/>
          <w:b w:val="false"/>
          <w:color w:val="000000"/>
          <w:sz w:val="20"/>
        </w:rPr>
        <w:t>. Natural gas, NGLs and condensate revenues increased</w:t>
      </w:r>
      <w:r>
        <w:rPr>
          <w:color w:val="FF0000"/>
        </w:rPr>
        <w:t> </w:t>
      </w:r>
      <w:r>
        <w:rPr>
          <w:rFonts w:ascii="Times New Roman;serif" w:hAnsi="Times New Roman;serif"/>
          <w:b w:val="false"/>
          <w:color w:val="000000"/>
          <w:sz w:val="20"/>
        </w:rPr>
        <w:t xml:space="preserve">$18.4 million compared to the three months ended June 30, 2024, primarily reflecting: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$11.6 million increase in the Rockies, primarily due to increased volume throughput;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$6.9 million increase in the Mid-Con, primarily related to increased volume throughput as a result of the Tall Oak Acquisition.</w:t>
      </w:r>
    </w:p>
    <w:p>
      <w:pPr>
        <w:pStyle w:val="TextBody"/>
        <w:bidi w:val="0"/>
        <w:spacing w:lineRule="auto" w:line="288" w:before="120" w:after="283"/>
        <w:jc w:val="left"/>
        <w:rPr/>
      </w:pPr>
      <w:r>
        <w:rPr>
          <w:rFonts w:ascii="Times New Roman;serif" w:hAnsi="Times New Roman;serif"/>
          <w:b w:val="false"/>
          <w:color w:val="000000"/>
          <w:sz w:val="20"/>
        </w:rPr>
        <w:t>Total revenues increased $52.7 million during the six months ended June 30, 2025 compared to the six months ended June 30, 2024, comprised of a $28.6 million increase</w:t>
      </w:r>
      <w:r>
        <w:rPr>
          <w:color w:val="FF0000"/>
        </w:rPr>
        <w:t> </w:t>
      </w:r>
      <w:r>
        <w:rPr>
          <w:rFonts w:ascii="Times New Roman;serif" w:hAnsi="Times New Roman;serif"/>
          <w:b w:val="false"/>
          <w:color w:val="000000"/>
          <w:sz w:val="20"/>
        </w:rPr>
        <w:t xml:space="preserve">in natural gas, NGLs and condensate sales, a $21.1 million increase in gathering services and related fees and a $3.0 million increase in other revenue. </w:t>
      </w:r>
    </w:p>
    <w:p>
      <w:pPr>
        <w:pStyle w:val="TextBody"/>
        <w:bidi w:val="0"/>
        <w:spacing w:lineRule="auto" w:line="288" w:before="120" w:after="283"/>
        <w:jc w:val="left"/>
        <w:rPr/>
      </w:pPr>
      <w:r>
        <w:rPr>
          <w:rFonts w:ascii="Times New Roman;serif" w:hAnsi="Times New Roman;serif"/>
          <w:b w:val="false"/>
          <w:color w:val="000000"/>
          <w:sz w:val="20"/>
          <w:u w:val="single"/>
        </w:rPr>
        <w:t>Gathering Services and Related Fees</w:t>
      </w:r>
      <w:r>
        <w:rPr>
          <w:rFonts w:ascii="Times New Roman;serif" w:hAnsi="Times New Roman;serif"/>
          <w:b w:val="false"/>
          <w:color w:val="000000"/>
          <w:sz w:val="20"/>
        </w:rPr>
        <w:t>. Gathering services and related fees increased $21.1 million compared to the six months ended June 30, 2024, primarily reflecting: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$47.6 million increase in the Mid-Con, primarily due to increased volume throughput as a result of the Tall Oak Acquisition;</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a $18.9 million decrease in the Northeast, primarily due to the sale of the Mountaineer Midstream system and the disposition of Summit Utica;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$7.1 million decrease in the Piceance, primarily due to decreased volume throughput.</w:t>
      </w:r>
    </w:p>
    <w:p>
      <w:pPr>
        <w:pStyle w:val="TextBody"/>
        <w:bidi w:val="0"/>
        <w:spacing w:lineRule="auto" w:line="288" w:before="120" w:after="283"/>
        <w:jc w:val="left"/>
        <w:rPr/>
      </w:pPr>
      <w:r>
        <w:rPr>
          <w:rFonts w:ascii="Times New Roman;serif" w:hAnsi="Times New Roman;serif"/>
          <w:b w:val="false"/>
          <w:color w:val="000000"/>
          <w:sz w:val="20"/>
          <w:u w:val="single"/>
        </w:rPr>
        <w:t>Natural Gas, NGLs and Condensate Sales</w:t>
      </w:r>
      <w:r>
        <w:rPr>
          <w:rFonts w:ascii="Times New Roman;serif" w:hAnsi="Times New Roman;serif"/>
          <w:b w:val="false"/>
          <w:color w:val="000000"/>
          <w:sz w:val="20"/>
        </w:rPr>
        <w:t>. Natural gas, NGLs and condensate revenues increased</w:t>
      </w:r>
      <w:r>
        <w:rPr>
          <w:color w:val="FF0000"/>
        </w:rPr>
        <w:t> </w:t>
      </w:r>
      <w:r>
        <w:rPr>
          <w:rFonts w:ascii="Times New Roman;serif" w:hAnsi="Times New Roman;serif"/>
          <w:b w:val="false"/>
          <w:color w:val="000000"/>
          <w:sz w:val="20"/>
        </w:rPr>
        <w:t xml:space="preserve">$28.6 million compared to the six months ended June 30, 2024, primarily reflecting: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$18.4 million increase in the Rockies, primarily due to increased volume throughput;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$10.3 million increase in the Mid-Con, primarily related to increased volume throughput as a result of the Tall Oak Acquisition.</w:t>
      </w:r>
    </w:p>
    <w:p>
      <w:pPr>
        <w:pStyle w:val="TextBody"/>
        <w:bidi w:val="0"/>
        <w:spacing w:lineRule="auto" w:line="288" w:before="120" w:after="283"/>
        <w:jc w:val="left"/>
        <w:rPr/>
      </w:pPr>
      <w:r>
        <w:rPr>
          <w:rFonts w:ascii="Times New Roman;serif" w:hAnsi="Times New Roman;serif"/>
          <w:b/>
          <w:i/>
          <w:color w:val="000000"/>
          <w:sz w:val="20"/>
        </w:rPr>
        <w:t>Costs and Expenses.</w:t>
      </w:r>
      <w:r>
        <w:rPr>
          <w:color w:val="000000"/>
        </w:rPr>
        <w:t> </w:t>
      </w:r>
      <w:r>
        <w:rPr>
          <w:rFonts w:ascii="Times New Roman;serif" w:hAnsi="Times New Roman;serif"/>
          <w:b w:val="false"/>
          <w:color w:val="000000"/>
          <w:sz w:val="20"/>
        </w:rPr>
        <w:t>Total costs and expenses increased $31.5 million during the three months ended June 30, 2025 compared to the three months ended June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 decreased $23.9 million during the six months ended June 30, 2025 compared to the six months ended June 30, 2024.</w:t>
      </w:r>
    </w:p>
    <w:p>
      <w:pPr>
        <w:pStyle w:val="TextBody"/>
        <w:bidi w:val="0"/>
        <w:spacing w:lineRule="auto" w:line="288" w:before="120" w:after="283"/>
        <w:jc w:val="left"/>
        <w:rPr/>
      </w:pPr>
      <w:r>
        <w:rPr>
          <w:rFonts w:ascii="Times New Roman;serif" w:hAnsi="Times New Roman;serif"/>
          <w:b w:val="false"/>
          <w:color w:val="000000"/>
          <w:sz w:val="20"/>
          <w:u w:val="single"/>
        </w:rPr>
        <w:t>Cost of Natural Gas and NGLs</w:t>
      </w:r>
      <w:r>
        <w:rPr>
          <w:rFonts w:ascii="Times New Roman;serif" w:hAnsi="Times New Roman;serif"/>
          <w:b w:val="false"/>
          <w:color w:val="000000"/>
          <w:sz w:val="20"/>
        </w:rPr>
        <w:t>. Cost of natural gas and NGLs increased $6.3 million for the three months ended June 30, 2025, compared to the three months ended June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 increased $11.5 million for the six months ended June 30, 2025, compared to the six months ended June 30, 2024.</w:t>
      </w:r>
    </w:p>
    <w:p>
      <w:pPr>
        <w:pStyle w:val="TextBody"/>
        <w:bidi w:val="0"/>
        <w:spacing w:lineRule="auto" w:line="288" w:before="120" w:after="283"/>
        <w:jc w:val="left"/>
        <w:rPr/>
      </w:pPr>
      <w:r>
        <w:rPr>
          <w:rFonts w:ascii="Times New Roman;serif" w:hAnsi="Times New Roman;serif"/>
          <w:b w:val="false"/>
          <w:color w:val="000000"/>
          <w:sz w:val="20"/>
          <w:u w:val="single"/>
        </w:rPr>
        <w:t>Operation and Maintenance</w:t>
      </w:r>
      <w:r>
        <w:rPr>
          <w:rFonts w:ascii="Times New Roman;serif" w:hAnsi="Times New Roman;serif"/>
          <w:b w:val="false"/>
          <w:color w:val="000000"/>
          <w:sz w:val="20"/>
        </w:rPr>
        <w:t>. Operation and maintenance expense increased $15.8 million for the three months ended June 30, 2025, compared to the three months ended June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 expense increased $24.3 million for the six months ended June 30, 2025, compared to the six months ended June 30, 2024.</w:t>
      </w:r>
    </w:p>
    <w:p>
      <w:pPr>
        <w:pStyle w:val="TextBody"/>
        <w:bidi w:val="0"/>
        <w:spacing w:lineRule="auto" w:line="288" w:before="120" w:after="283"/>
        <w:jc w:val="left"/>
        <w:rPr/>
      </w:pPr>
      <w:r>
        <w:rPr>
          <w:rFonts w:ascii="Times New Roman;serif" w:hAnsi="Times New Roman;serif"/>
          <w:b w:val="false"/>
          <w:color w:val="000000"/>
          <w:sz w:val="20"/>
          <w:u w:val="single"/>
        </w:rPr>
        <w:t>Long-lived asset impairments</w:t>
      </w:r>
      <w:r>
        <w:rPr>
          <w:rFonts w:ascii="Times New Roman;serif" w:hAnsi="Times New Roman;serif"/>
          <w:b w:val="false"/>
          <w:color w:val="000000"/>
          <w:sz w:val="20"/>
        </w:rPr>
        <w:t>. During the quarterly period ended March 31, 2024, we recognized an impairment charge of $67.9 million in connection with the Mountaineer Transaction.</w:t>
      </w:r>
    </w:p>
    <w:p>
      <w:pPr>
        <w:pStyle w:val="TextBody"/>
        <w:bidi w:val="0"/>
        <w:spacing w:lineRule="auto" w:line="288" w:before="120" w:after="283"/>
        <w:jc w:val="left"/>
        <w:rPr/>
      </w:pPr>
      <w:r>
        <w:rPr>
          <w:rFonts w:ascii="Times New Roman;serif" w:hAnsi="Times New Roman;serif"/>
          <w:b w:val="false"/>
          <w:color w:val="000000"/>
          <w:sz w:val="20"/>
          <w:u w:val="single"/>
        </w:rPr>
        <w:t>Interest Expense</w:t>
      </w:r>
      <w:r>
        <w:rPr>
          <w:rFonts w:ascii="Times New Roman;serif" w:hAnsi="Times New Roman;serif"/>
          <w:b w:val="false"/>
          <w:color w:val="000000"/>
          <w:sz w:val="20"/>
        </w:rPr>
        <w:t>. Interest expense decreased $7.6 million for the three months ended June 30, 2025, compared to three months ended June 30, 2024, primarily due to $18.4 million of reduced interest expense as a result of the 2026 Secured Notes Tender Offer and the Asset Sale Offer that occurred in July 2024 and May 2024, respectively and $5.7 million of reduced interest expense due to the full repayment and discharge of the 2026 Unsecured Notes in June 2024, partially offset by $17.8 million of increased borrowing costs in connection with issuance of the 2029 Secured Notes in July 2024 and January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$22.9 million for the six months ended June 30, 2025, compared to six months ended June 30, 2024, primarily due to $37.0 million of reduced interest expense as a result of the 2026 Secured Notes Tender Offer and the Asset Sale Offer that occurred in July 2024 and May 2024, respectively and $12.0 million of reduced interest expense due to the full repayment and discharge of the 2026 Unsecured Notes in June 2024, partially offset by $34.4 million of increased borrowing costs in connection with issuance of the 2029 Secured Notes in July 2024 and January 2025.</w:t>
      </w:r>
    </w:p>
    <w:p>
      <w:pPr>
        <w:pStyle w:val="TextBody"/>
        <w:bidi w:val="0"/>
        <w:spacing w:lineRule="auto" w:line="268" w:before="120" w:after="283"/>
        <w:jc w:val="left"/>
        <w:rPr/>
      </w:pPr>
      <w:r>
        <w:rPr>
          <w:rFonts w:ascii="Times New Roman;serif" w:hAnsi="Times New Roman;serif"/>
          <w:b w:val="false"/>
          <w:color w:val="000000"/>
          <w:sz w:val="20"/>
          <w:u w:val="single"/>
        </w:rPr>
        <w:t>Income Tax</w:t>
      </w:r>
      <w:r>
        <w:rPr>
          <w:rFonts w:ascii="Times New Roman;serif" w:hAnsi="Times New Roman;serif"/>
          <w:b w:val="false"/>
          <w:color w:val="000000"/>
          <w:sz w:val="20"/>
        </w:rPr>
        <w:t>. Income tax benefit increased for the three and six months ended June 30, 2025, compared to the three and six months ended June 30, 2024. The Company’s Up-C tax structure results in the allocation of income from SMLP to SMC, in which SMC records a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Segment Overview for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Rockies.</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Rockies reportable segment follows.</w:t>
      </w:r>
    </w:p>
    <w:tbl>
      <w:tblPr>
        <w:tblW w:w="10205" w:type="dxa"/>
        <w:jc w:val="left"/>
        <w:tblInd w:w="0" w:type="dxa"/>
        <w:tblLayout w:type="fixed"/>
        <w:tblCellMar>
          <w:top w:w="28" w:type="dxa"/>
          <w:left w:w="28" w:type="dxa"/>
          <w:bottom w:w="28" w:type="dxa"/>
          <w:right w:w="28" w:type="dxa"/>
        </w:tblCellMar>
      </w:tblPr>
      <w:tblGrid>
        <w:gridCol w:w="1312"/>
        <w:gridCol w:w="1155"/>
        <w:gridCol w:w="1158"/>
        <w:gridCol w:w="249"/>
        <w:gridCol w:w="203"/>
        <w:gridCol w:w="203"/>
        <w:gridCol w:w="203"/>
        <w:gridCol w:w="203"/>
        <w:gridCol w:w="203"/>
        <w:gridCol w:w="249"/>
        <w:gridCol w:w="203"/>
        <w:gridCol w:w="203"/>
        <w:gridCol w:w="109"/>
        <w:gridCol w:w="109"/>
        <w:gridCol w:w="109"/>
        <w:gridCol w:w="305"/>
        <w:gridCol w:w="305"/>
        <w:gridCol w:w="306"/>
        <w:gridCol w:w="109"/>
        <w:gridCol w:w="109"/>
        <w:gridCol w:w="109"/>
        <w:gridCol w:w="230"/>
        <w:gridCol w:w="195"/>
        <w:gridCol w:w="189"/>
        <w:gridCol w:w="189"/>
        <w:gridCol w:w="189"/>
        <w:gridCol w:w="189"/>
        <w:gridCol w:w="230"/>
        <w:gridCol w:w="195"/>
        <w:gridCol w:w="189"/>
        <w:gridCol w:w="109"/>
        <w:gridCol w:w="109"/>
        <w:gridCol w:w="109"/>
        <w:gridCol w:w="281"/>
        <w:gridCol w:w="281"/>
        <w:gridCol w:w="407"/>
      </w:tblGrid>
      <w:tr>
        <w:trPr/>
        <w:tc>
          <w:tcPr>
            <w:tcW w:w="13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Rockies</w:t>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natural gas (MMcf/d)</w:t>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liquids (Mbbl/d)</w:t>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68" w:before="120" w:after="283"/>
        <w:jc w:val="left"/>
        <w:rPr/>
      </w:pPr>
      <w:r>
        <w:rPr>
          <w:rFonts w:ascii="Times New Roman;serif" w:hAnsi="Times New Roman;serif"/>
          <w:b w:val="false"/>
          <w:color w:val="000000"/>
          <w:sz w:val="20"/>
          <w:u w:val="single"/>
        </w:rPr>
        <w:t>Natural gas</w:t>
      </w:r>
      <w:r>
        <w:rPr>
          <w:rFonts w:ascii="Times New Roman;serif" w:hAnsi="Times New Roman;serif"/>
          <w:b w:val="false"/>
          <w:color w:val="000000"/>
          <w:sz w:val="20"/>
        </w:rPr>
        <w:t>. Natural gas volume throughput increased for the three and six months ended June 30, 2025,</w:t>
      </w:r>
      <w:r>
        <w:rPr>
          <w:color w:val="FF0000"/>
        </w:rPr>
        <w:t> </w:t>
      </w:r>
      <w:r>
        <w:rPr>
          <w:rFonts w:ascii="Times New Roman;serif" w:hAnsi="Times New Roman;serif"/>
          <w:b w:val="false"/>
          <w:color w:val="000000"/>
          <w:sz w:val="20"/>
        </w:rPr>
        <w:t>compared to the three and six months ended June 30, 2024, primarily reflecting 97 new well connections that came online subsequent to June 30, 2024, additional throughput in connection with the Moonrise Acquisition, partially offset by a 12 MMcf/d reduction in gas delivered by third parties and natural production declines.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costs of natural gas and NGLs includes $14.3 million and $11.4 million, respectively, of gathering fees collected under percentage of proceeds arrangements.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costs of natural gas and NGLs includes $27.6 million and $22.6 million, respectively, of gathering fees collected under percentage of proceeds arrangements.</w:t>
      </w:r>
    </w:p>
    <w:p>
      <w:pPr>
        <w:pStyle w:val="TextBody"/>
        <w:bidi w:val="0"/>
        <w:spacing w:lineRule="auto" w:line="268" w:before="120" w:after="283"/>
        <w:jc w:val="left"/>
        <w:rPr/>
      </w:pPr>
      <w:r>
        <w:rPr>
          <w:rFonts w:ascii="Times New Roman;serif" w:hAnsi="Times New Roman;serif"/>
          <w:b w:val="false"/>
          <w:color w:val="000000"/>
          <w:sz w:val="20"/>
          <w:u w:val="single"/>
        </w:rPr>
        <w:t>Liquids</w:t>
      </w:r>
      <w:r>
        <w:rPr>
          <w:rFonts w:ascii="Times New Roman;serif" w:hAnsi="Times New Roman;serif"/>
          <w:b w:val="false"/>
          <w:color w:val="000000"/>
          <w:sz w:val="20"/>
        </w:rPr>
        <w:t>. Liquids volume throughput increased for the three and six months ended June 30, 2025, compared to the three and six months ended June 30, 2024, primarily due to 23 new well connections that came online subsequent to June 30, 2024 and additional throughput in connection with the Moonrise Acquisition, partially offset by natural production declines.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Rockies reportable segment follows.</w:t>
      </w:r>
    </w:p>
    <w:tbl>
      <w:tblPr>
        <w:tblW w:w="10205" w:type="dxa"/>
        <w:jc w:val="left"/>
        <w:tblInd w:w="0" w:type="dxa"/>
        <w:tblLayout w:type="fixed"/>
        <w:tblCellMar>
          <w:top w:w="28" w:type="dxa"/>
          <w:left w:w="28" w:type="dxa"/>
          <w:bottom w:w="28" w:type="dxa"/>
          <w:right w:w="28" w:type="dxa"/>
        </w:tblCellMar>
      </w:tblPr>
      <w:tblGrid>
        <w:gridCol w:w="1074"/>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Rockies</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Not considered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u w:val="single"/>
        </w:rPr>
        <w:t>Three and six months ended June 30, 2025</w:t>
      </w:r>
      <w:r>
        <w:rPr>
          <w:rFonts w:ascii="Times New Roman;serif" w:hAnsi="Times New Roman;serif"/>
          <w:b w:val="false"/>
          <w:color w:val="000000"/>
          <w:sz w:val="20"/>
        </w:rPr>
        <w:t>. Segment adjusted EBITDA increased $2.4 million and $4.4 million, compared to the three and six months ended June 30, 2024, respectively, primarily as a result of margin mix and the Moonrise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Permian.</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Permian reportable segment follows.</w:t>
      </w:r>
    </w:p>
    <w:tbl>
      <w:tblPr>
        <w:tblW w:w="10205" w:type="dxa"/>
        <w:jc w:val="left"/>
        <w:tblInd w:w="0" w:type="dxa"/>
        <w:tblLayout w:type="fixed"/>
        <w:tblCellMar>
          <w:top w:w="28" w:type="dxa"/>
          <w:left w:w="28" w:type="dxa"/>
          <w:bottom w:w="28" w:type="dxa"/>
          <w:right w:w="28" w:type="dxa"/>
        </w:tblCellMar>
      </w:tblPr>
      <w:tblGrid>
        <w:gridCol w:w="1184"/>
        <w:gridCol w:w="1042"/>
        <w:gridCol w:w="1045"/>
        <w:gridCol w:w="251"/>
        <w:gridCol w:w="242"/>
        <w:gridCol w:w="216"/>
        <w:gridCol w:w="216"/>
        <w:gridCol w:w="216"/>
        <w:gridCol w:w="216"/>
        <w:gridCol w:w="250"/>
        <w:gridCol w:w="216"/>
        <w:gridCol w:w="216"/>
        <w:gridCol w:w="109"/>
        <w:gridCol w:w="109"/>
        <w:gridCol w:w="109"/>
        <w:gridCol w:w="305"/>
        <w:gridCol w:w="305"/>
        <w:gridCol w:w="306"/>
        <w:gridCol w:w="109"/>
        <w:gridCol w:w="109"/>
        <w:gridCol w:w="109"/>
        <w:gridCol w:w="300"/>
        <w:gridCol w:w="214"/>
        <w:gridCol w:w="200"/>
        <w:gridCol w:w="200"/>
        <w:gridCol w:w="200"/>
        <w:gridCol w:w="200"/>
        <w:gridCol w:w="300"/>
        <w:gridCol w:w="214"/>
        <w:gridCol w:w="200"/>
        <w:gridCol w:w="109"/>
        <w:gridCol w:w="109"/>
        <w:gridCol w:w="109"/>
        <w:gridCol w:w="281"/>
        <w:gridCol w:w="281"/>
        <w:gridCol w:w="40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Permian</w:t>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 (Double E)</w:t>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Volume throughput for Double E increased </w:t>
      </w:r>
      <w:r>
        <w:rPr>
          <w:rFonts w:ascii="Times New Roman;serif" w:hAnsi="Times New Roman;serif"/>
          <w:b w:val="false"/>
          <w:color w:val="000000"/>
          <w:sz w:val="20"/>
        </w:rPr>
        <w:t>for the three and six months ended June 30, 2025,</w:t>
      </w:r>
      <w:r>
        <w:rPr>
          <w:color w:val="000000"/>
          <w:shd w:fill="FFFFFF" w:val="clear"/>
        </w:rPr>
        <w:t xml:space="preserve"> </w:t>
      </w:r>
      <w:r>
        <w:rPr>
          <w:rFonts w:ascii="Times New Roman;serif" w:hAnsi="Times New Roman;serif"/>
          <w:b w:val="false"/>
          <w:color w:val="000000"/>
          <w:sz w:val="20"/>
        </w:rPr>
        <w:t>compared to the three and six months ended June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MVC quantities that Double E’s shippers have contracted to with firm transportation service agreements and related negotiated rate agreements:</w:t>
      </w:r>
    </w:p>
    <w:tbl>
      <w:tblPr>
        <w:tblW w:w="7124" w:type="dxa"/>
        <w:jc w:val="left"/>
        <w:tblInd w:w="0" w:type="dxa"/>
        <w:tblLayout w:type="fixed"/>
        <w:tblCellMar>
          <w:top w:w="28" w:type="dxa"/>
          <w:left w:w="28" w:type="dxa"/>
          <w:bottom w:w="28" w:type="dxa"/>
          <w:right w:w="28" w:type="dxa"/>
        </w:tblCellMar>
      </w:tblPr>
      <w:tblGrid>
        <w:gridCol w:w="744"/>
        <w:gridCol w:w="654"/>
        <w:gridCol w:w="657"/>
        <w:gridCol w:w="1484"/>
        <w:gridCol w:w="1484"/>
        <w:gridCol w:w="21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MMBTU/day)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MVC quantities for the year ended December 31,</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1,068,630 </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1,009,521 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105,753 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Permian reportable segment follows.</w:t>
      </w:r>
    </w:p>
    <w:tbl>
      <w:tblPr>
        <w:tblW w:w="10205" w:type="dxa"/>
        <w:jc w:val="left"/>
        <w:tblInd w:w="0" w:type="dxa"/>
        <w:tblLayout w:type="fixed"/>
        <w:tblCellMar>
          <w:top w:w="28" w:type="dxa"/>
          <w:left w:w="28" w:type="dxa"/>
          <w:bottom w:w="28" w:type="dxa"/>
          <w:right w:w="28" w:type="dxa"/>
        </w:tblCellMar>
      </w:tblPr>
      <w:tblGrid>
        <w:gridCol w:w="1050"/>
        <w:gridCol w:w="836"/>
        <w:gridCol w:w="814"/>
        <w:gridCol w:w="214"/>
        <w:gridCol w:w="626"/>
        <w:gridCol w:w="110"/>
        <w:gridCol w:w="110"/>
        <w:gridCol w:w="110"/>
        <w:gridCol w:w="110"/>
        <w:gridCol w:w="214"/>
        <w:gridCol w:w="626"/>
        <w:gridCol w:w="110"/>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7"/>
      </w:tblGrid>
      <w:tr>
        <w:trPr/>
        <w:tc>
          <w:tcPr>
            <w:tcW w:w="10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Permian</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Proportional adjusted EBITDA for Double 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*Not considered meaningful</w:t>
      </w:r>
    </w:p>
    <w:p>
      <w:pPr>
        <w:pStyle w:val="TextBody"/>
        <w:bidi w:val="0"/>
        <w:spacing w:lineRule="auto" w:line="288" w:before="120" w:after="283"/>
        <w:jc w:val="left"/>
        <w:rPr/>
      </w:pPr>
      <w:r>
        <w:rPr>
          <w:rFonts w:ascii="Times New Roman;serif" w:hAnsi="Times New Roman;serif"/>
          <w:b w:val="false"/>
          <w:color w:val="000000"/>
          <w:sz w:val="20"/>
          <w:u w:val="single"/>
        </w:rPr>
        <w:t>Three and six months ended June 30, 2025</w:t>
      </w:r>
      <w:r>
        <w:rPr>
          <w:rFonts w:ascii="Times New Roman;serif" w:hAnsi="Times New Roman;serif"/>
          <w:b w:val="false"/>
          <w:color w:val="000000"/>
          <w:sz w:val="20"/>
        </w:rPr>
        <w:t>. Segment adjusted EBITDA increased</w:t>
      </w:r>
      <w:r>
        <w:rPr>
          <w:color w:val="FF0000"/>
        </w:rPr>
        <w:t> </w:t>
      </w:r>
      <w:r>
        <w:rPr>
          <w:rFonts w:ascii="Times New Roman;serif" w:hAnsi="Times New Roman;serif"/>
          <w:b w:val="false"/>
          <w:color w:val="000000"/>
          <w:sz w:val="20"/>
        </w:rPr>
        <w:t xml:space="preserve">$0.6 million and $1.6 million, respectively, compared to the three and six months ended June 30, 2024, primarily as a result of an increase in proportional adjusted EBITDA from our equity method investment in Double 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Piceance.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Piceance reportable segment follows.</w:t>
      </w:r>
    </w:p>
    <w:tbl>
      <w:tblPr>
        <w:tblW w:w="10205" w:type="dxa"/>
        <w:jc w:val="left"/>
        <w:tblInd w:w="0" w:type="dxa"/>
        <w:tblLayout w:type="fixed"/>
        <w:tblCellMar>
          <w:top w:w="28" w:type="dxa"/>
          <w:left w:w="28" w:type="dxa"/>
          <w:bottom w:w="28" w:type="dxa"/>
          <w:right w:w="28" w:type="dxa"/>
        </w:tblCellMar>
      </w:tblPr>
      <w:tblGrid>
        <w:gridCol w:w="1169"/>
        <w:gridCol w:w="1029"/>
        <w:gridCol w:w="1032"/>
        <w:gridCol w:w="251"/>
        <w:gridCol w:w="242"/>
        <w:gridCol w:w="217"/>
        <w:gridCol w:w="217"/>
        <w:gridCol w:w="217"/>
        <w:gridCol w:w="217"/>
        <w:gridCol w:w="251"/>
        <w:gridCol w:w="242"/>
        <w:gridCol w:w="217"/>
        <w:gridCol w:w="109"/>
        <w:gridCol w:w="109"/>
        <w:gridCol w:w="109"/>
        <w:gridCol w:w="305"/>
        <w:gridCol w:w="305"/>
        <w:gridCol w:w="306"/>
        <w:gridCol w:w="109"/>
        <w:gridCol w:w="109"/>
        <w:gridCol w:w="109"/>
        <w:gridCol w:w="300"/>
        <w:gridCol w:w="215"/>
        <w:gridCol w:w="201"/>
        <w:gridCol w:w="201"/>
        <w:gridCol w:w="201"/>
        <w:gridCol w:w="201"/>
        <w:gridCol w:w="300"/>
        <w:gridCol w:w="215"/>
        <w:gridCol w:w="201"/>
        <w:gridCol w:w="109"/>
        <w:gridCol w:w="109"/>
        <w:gridCol w:w="109"/>
        <w:gridCol w:w="281"/>
        <w:gridCol w:w="281"/>
        <w:gridCol w:w="410"/>
      </w:tblGrid>
      <w:tr>
        <w:trPr/>
        <w:tc>
          <w:tcPr>
            <w:tcW w:w="116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Piceance</w:t>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(MMcf/d)</w:t>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120" w:after="283"/>
        <w:jc w:val="left"/>
        <w:rPr/>
      </w:pPr>
      <w:r>
        <w:rPr>
          <w:rFonts w:ascii="Times New Roman;serif" w:hAnsi="Times New Roman;serif"/>
          <w:b w:val="false"/>
          <w:color w:val="000000"/>
          <w:sz w:val="20"/>
        </w:rPr>
        <w:t>Volume throughput decreased for the three and six months ended June 30, 2025,</w:t>
      </w:r>
      <w:r>
        <w:rPr>
          <w:color w:val="000000"/>
          <w:shd w:fill="FFFFFF" w:val="clear"/>
        </w:rPr>
        <w:t xml:space="preserve"> </w:t>
      </w:r>
      <w:r>
        <w:rPr>
          <w:rFonts w:ascii="Times New Roman;serif" w:hAnsi="Times New Roman;serif"/>
          <w:b w:val="false"/>
          <w:color w:val="000000"/>
          <w:sz w:val="20"/>
        </w:rPr>
        <w:t>compared to the three and six months ended June 30, 2024,</w:t>
      </w:r>
      <w:r>
        <w:rPr>
          <w:color w:val="000000"/>
          <w:shd w:fill="FFFFFF" w:val="clear"/>
        </w:rPr>
        <w:t xml:space="preserve"> </w:t>
      </w:r>
      <w:r>
        <w:rPr>
          <w:rFonts w:ascii="Times New Roman;serif" w:hAnsi="Times New Roman;serif"/>
          <w:b w:val="false"/>
          <w:color w:val="000000"/>
          <w:sz w:val="20"/>
        </w:rPr>
        <w:t>primarily as a result of natural production declines.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Piceance reportable segment follows.</w:t>
      </w:r>
    </w:p>
    <w:tbl>
      <w:tblPr>
        <w:tblW w:w="10205" w:type="dxa"/>
        <w:jc w:val="left"/>
        <w:tblInd w:w="0" w:type="dxa"/>
        <w:tblLayout w:type="fixed"/>
        <w:tblCellMar>
          <w:top w:w="28" w:type="dxa"/>
          <w:left w:w="28" w:type="dxa"/>
          <w:bottom w:w="28" w:type="dxa"/>
          <w:right w:w="28" w:type="dxa"/>
        </w:tblCellMar>
      </w:tblPr>
      <w:tblGrid>
        <w:gridCol w:w="1074"/>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Piceance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*Not considered meaningful</w:t>
      </w:r>
    </w:p>
    <w:p>
      <w:pPr>
        <w:pStyle w:val="TextBody"/>
        <w:bidi w:val="0"/>
        <w:spacing w:lineRule="auto" w:line="288" w:before="120" w:after="283"/>
        <w:jc w:val="left"/>
        <w:rPr/>
      </w:pPr>
      <w:r>
        <w:rPr>
          <w:rFonts w:ascii="Times New Roman;serif" w:hAnsi="Times New Roman;serif"/>
          <w:b w:val="false"/>
          <w:color w:val="000000"/>
          <w:sz w:val="20"/>
          <w:u w:val="single"/>
        </w:rPr>
        <w:t>Three and six months ended June 30, 2025</w:t>
      </w:r>
      <w:r>
        <w:rPr>
          <w:rFonts w:ascii="Times New Roman;serif" w:hAnsi="Times New Roman;serif"/>
          <w:b w:val="false"/>
          <w:color w:val="000000"/>
          <w:sz w:val="20"/>
        </w:rPr>
        <w:t xml:space="preserve">. Segment adjusted EBITDA decreased $2.4 million and $5.8 million, respectively, compared to the three and six months ended June 30, 2024 primarily related to contractual step-downs.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Mid-Con.</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Mid-Con reportable segment follows.</w:t>
      </w:r>
    </w:p>
    <w:tbl>
      <w:tblPr>
        <w:tblW w:w="10205" w:type="dxa"/>
        <w:jc w:val="left"/>
        <w:tblInd w:w="0" w:type="dxa"/>
        <w:tblLayout w:type="fixed"/>
        <w:tblCellMar>
          <w:top w:w="28" w:type="dxa"/>
          <w:left w:w="28" w:type="dxa"/>
          <w:bottom w:w="28" w:type="dxa"/>
          <w:right w:w="28" w:type="dxa"/>
        </w:tblCellMar>
      </w:tblPr>
      <w:tblGrid>
        <w:gridCol w:w="1069"/>
        <w:gridCol w:w="942"/>
        <w:gridCol w:w="943"/>
        <w:gridCol w:w="251"/>
        <w:gridCol w:w="249"/>
        <w:gridCol w:w="243"/>
        <w:gridCol w:w="243"/>
        <w:gridCol w:w="243"/>
        <w:gridCol w:w="243"/>
        <w:gridCol w:w="251"/>
        <w:gridCol w:w="249"/>
        <w:gridCol w:w="243"/>
        <w:gridCol w:w="109"/>
        <w:gridCol w:w="109"/>
        <w:gridCol w:w="109"/>
        <w:gridCol w:w="305"/>
        <w:gridCol w:w="305"/>
        <w:gridCol w:w="306"/>
        <w:gridCol w:w="109"/>
        <w:gridCol w:w="109"/>
        <w:gridCol w:w="109"/>
        <w:gridCol w:w="300"/>
        <w:gridCol w:w="226"/>
        <w:gridCol w:w="223"/>
        <w:gridCol w:w="223"/>
        <w:gridCol w:w="223"/>
        <w:gridCol w:w="223"/>
        <w:gridCol w:w="300"/>
        <w:gridCol w:w="226"/>
        <w:gridCol w:w="223"/>
        <w:gridCol w:w="109"/>
        <w:gridCol w:w="109"/>
        <w:gridCol w:w="109"/>
        <w:gridCol w:w="281"/>
        <w:gridCol w:w="281"/>
        <w:gridCol w:w="410"/>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Mid-Con</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bl>
    <w:p>
      <w:pPr>
        <w:pStyle w:val="TextBody"/>
        <w:bidi w:val="0"/>
        <w:spacing w:lineRule="auto" w:line="288" w:before="120" w:after="283"/>
        <w:jc w:val="left"/>
        <w:rPr/>
      </w:pPr>
      <w:r>
        <w:rPr>
          <w:rFonts w:ascii="Times New Roman;serif" w:hAnsi="Times New Roman;serif"/>
          <w:b w:val="false"/>
          <w:color w:val="000000"/>
          <w:sz w:val="20"/>
        </w:rPr>
        <w:t>Volume throughput increased for the three and six months ended June 30, 2025,</w:t>
      </w:r>
      <w:r>
        <w:rPr>
          <w:color w:val="000000"/>
          <w:shd w:fill="FFFFFF" w:val="clear"/>
        </w:rPr>
        <w:t xml:space="preserve"> </w:t>
      </w:r>
      <w:r>
        <w:rPr>
          <w:rFonts w:ascii="Times New Roman;serif" w:hAnsi="Times New Roman;serif"/>
          <w:b w:val="false"/>
          <w:color w:val="000000"/>
          <w:sz w:val="20"/>
        </w:rPr>
        <w:t>compared to the three and six months ended June 30, 2024,</w:t>
      </w:r>
      <w:r>
        <w:rPr>
          <w:color w:val="000000"/>
          <w:shd w:fill="FFFFFF" w:val="clear"/>
        </w:rPr>
        <w:t xml:space="preserve"> </w:t>
      </w:r>
      <w:r>
        <w:rPr>
          <w:rFonts w:ascii="Times New Roman;serif" w:hAnsi="Times New Roman;serif"/>
          <w:b w:val="false"/>
          <w:color w:val="000000"/>
          <w:sz w:val="20"/>
        </w:rPr>
        <w:t>primarily as a result of the Tall Oak Acquisition and 29 new well connections that came online subsequent to June 30, 2024 and the resumption of previous production curtailments associated with reductions in commodity pricing.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Mid-Con reportable segment follows.</w:t>
      </w:r>
    </w:p>
    <w:tbl>
      <w:tblPr>
        <w:tblW w:w="10205" w:type="dxa"/>
        <w:jc w:val="left"/>
        <w:tblInd w:w="0" w:type="dxa"/>
        <w:tblLayout w:type="fixed"/>
        <w:tblCellMar>
          <w:top w:w="28" w:type="dxa"/>
          <w:left w:w="28" w:type="dxa"/>
          <w:bottom w:w="28" w:type="dxa"/>
          <w:right w:w="28" w:type="dxa"/>
        </w:tblCellMar>
      </w:tblPr>
      <w:tblGrid>
        <w:gridCol w:w="1104"/>
        <w:gridCol w:w="762"/>
        <w:gridCol w:w="767"/>
        <w:gridCol w:w="211"/>
        <w:gridCol w:w="721"/>
        <w:gridCol w:w="109"/>
        <w:gridCol w:w="109"/>
        <w:gridCol w:w="109"/>
        <w:gridCol w:w="109"/>
        <w:gridCol w:w="211"/>
        <w:gridCol w:w="616"/>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0"/>
      </w:tblGrid>
      <w:tr>
        <w:trPr/>
        <w:tc>
          <w:tcPr>
            <w:tcW w:w="11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Mid-Con</w:t>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279%</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4,064%</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227%</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60"/>
        <w:jc w:val="left"/>
        <w:rPr>
          <w:rFonts w:ascii="Times New Roman;serif" w:hAnsi="Times New Roman;serif"/>
          <w:b w:val="false"/>
          <w:color w:val="000000"/>
          <w:sz w:val="16"/>
        </w:rPr>
      </w:pPr>
      <w:r>
        <w:rPr>
          <w:rFonts w:ascii="Times New Roman;serif" w:hAnsi="Times New Roman;serif"/>
          <w:b w:val="false"/>
          <w:color w:val="000000"/>
          <w:sz w:val="16"/>
        </w:rPr>
        <w:t>*Not considered meaningful</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erif" w:hAnsi="Times New Roman;serif"/>
          <w:b w:val="false"/>
          <w:color w:val="000000"/>
          <w:sz w:val="20"/>
          <w:u w:val="single"/>
        </w:rPr>
        <w:t>Three and six months ended June 30, 2025</w:t>
      </w:r>
      <w:r>
        <w:rPr>
          <w:rFonts w:ascii="Times New Roman;serif" w:hAnsi="Times New Roman;serif"/>
          <w:b w:val="false"/>
          <w:color w:val="000000"/>
          <w:sz w:val="20"/>
        </w:rPr>
        <w:t>. Segment adjusted EBITDA increased $19.5 million and $36.8 million, compared to the three and six months ended June 30, 2024, respectively, primarily as a result of the Tall Oak Acquisition and increased volume throughput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Northeast.</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the Northeast reportable segment follows.</w:t>
      </w:r>
    </w:p>
    <w:tbl>
      <w:tblPr>
        <w:tblW w:w="10205" w:type="dxa"/>
        <w:jc w:val="left"/>
        <w:tblInd w:w="0" w:type="dxa"/>
        <w:tblLayout w:type="fixed"/>
        <w:tblCellMar>
          <w:top w:w="28" w:type="dxa"/>
          <w:left w:w="28" w:type="dxa"/>
          <w:bottom w:w="28" w:type="dxa"/>
          <w:right w:w="28" w:type="dxa"/>
        </w:tblCellMar>
      </w:tblPr>
      <w:tblGrid>
        <w:gridCol w:w="1245"/>
        <w:gridCol w:w="1096"/>
        <w:gridCol w:w="1098"/>
        <w:gridCol w:w="251"/>
        <w:gridCol w:w="221"/>
        <w:gridCol w:w="208"/>
        <w:gridCol w:w="208"/>
        <w:gridCol w:w="208"/>
        <w:gridCol w:w="208"/>
        <w:gridCol w:w="251"/>
        <w:gridCol w:w="221"/>
        <w:gridCol w:w="208"/>
        <w:gridCol w:w="109"/>
        <w:gridCol w:w="109"/>
        <w:gridCol w:w="109"/>
        <w:gridCol w:w="305"/>
        <w:gridCol w:w="305"/>
        <w:gridCol w:w="306"/>
        <w:gridCol w:w="109"/>
        <w:gridCol w:w="109"/>
        <w:gridCol w:w="109"/>
        <w:gridCol w:w="230"/>
        <w:gridCol w:w="213"/>
        <w:gridCol w:w="193"/>
        <w:gridCol w:w="193"/>
        <w:gridCol w:w="193"/>
        <w:gridCol w:w="193"/>
        <w:gridCol w:w="300"/>
        <w:gridCol w:w="210"/>
        <w:gridCol w:w="193"/>
        <w:gridCol w:w="109"/>
        <w:gridCol w:w="109"/>
        <w:gridCol w:w="109"/>
        <w:gridCol w:w="281"/>
        <w:gridCol w:w="281"/>
        <w:gridCol w:w="405"/>
      </w:tblGrid>
      <w:tr>
        <w:trPr/>
        <w:tc>
          <w:tcPr>
            <w:tcW w:w="124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Northeast</w:t>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w:t>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 (Ohio Gathering)</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Not considered meaningful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22, 2024, we completed the disposition of Summit Utica, the owner of our equity method investment, Ohio Gathering, and on May 1, 2024, we completed the disposition of our Mountaineer Midstream system.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Northeast reportable segment follows.</w:t>
      </w:r>
    </w:p>
    <w:tbl>
      <w:tblPr>
        <w:tblW w:w="10205" w:type="dxa"/>
        <w:jc w:val="left"/>
        <w:tblInd w:w="0" w:type="dxa"/>
        <w:tblLayout w:type="fixed"/>
        <w:tblCellMar>
          <w:top w:w="28" w:type="dxa"/>
          <w:left w:w="28" w:type="dxa"/>
          <w:bottom w:w="28" w:type="dxa"/>
          <w:right w:w="28" w:type="dxa"/>
        </w:tblCellMar>
      </w:tblPr>
      <w:tblGrid>
        <w:gridCol w:w="1237"/>
        <w:gridCol w:w="932"/>
        <w:gridCol w:w="938"/>
        <w:gridCol w:w="227"/>
        <w:gridCol w:w="437"/>
        <w:gridCol w:w="117"/>
        <w:gridCol w:w="117"/>
        <w:gridCol w:w="117"/>
        <w:gridCol w:w="117"/>
        <w:gridCol w:w="227"/>
        <w:gridCol w:w="664"/>
        <w:gridCol w:w="117"/>
        <w:gridCol w:w="109"/>
        <w:gridCol w:w="109"/>
        <w:gridCol w:w="109"/>
        <w:gridCol w:w="305"/>
        <w:gridCol w:w="305"/>
        <w:gridCol w:w="306"/>
        <w:gridCol w:w="109"/>
        <w:gridCol w:w="109"/>
        <w:gridCol w:w="109"/>
        <w:gridCol w:w="211"/>
        <w:gridCol w:w="406"/>
        <w:gridCol w:w="109"/>
        <w:gridCol w:w="109"/>
        <w:gridCol w:w="109"/>
        <w:gridCol w:w="109"/>
        <w:gridCol w:w="211"/>
        <w:gridCol w:w="721"/>
        <w:gridCol w:w="109"/>
        <w:gridCol w:w="109"/>
        <w:gridCol w:w="109"/>
        <w:gridCol w:w="109"/>
        <w:gridCol w:w="281"/>
        <w:gridCol w:w="281"/>
        <w:gridCol w:w="405"/>
      </w:tblGrid>
      <w:tr>
        <w:trPr/>
        <w:tc>
          <w:tcPr>
            <w:tcW w:w="1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Northeast</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Proportional adjusted EBITDA for Ohio Gathering </w:t>
            </w:r>
            <w:r>
              <w:rPr>
                <w:rFonts w:ascii="Times New Roman;serif" w:hAnsi="Times New Roman;serif"/>
                <w:b w:val="false"/>
                <w:color w:val="000000"/>
                <w:sz w:val="13"/>
              </w:rPr>
              <w:t>(1)</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Not considered meaningful</w:t>
      </w:r>
    </w:p>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SMLP recorded its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Corporate and Other Overview for the Three and Six Months Ended June 30, 2025 and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tbl>
      <w:tblPr>
        <w:tblW w:w="9986" w:type="dxa"/>
        <w:jc w:val="left"/>
        <w:tblInd w:w="0" w:type="dxa"/>
        <w:tblLayout w:type="fixed"/>
        <w:tblCellMar>
          <w:top w:w="28" w:type="dxa"/>
          <w:left w:w="28" w:type="dxa"/>
          <w:bottom w:w="28" w:type="dxa"/>
          <w:right w:w="28" w:type="dxa"/>
        </w:tblCellMar>
      </w:tblPr>
      <w:tblGrid>
        <w:gridCol w:w="837"/>
        <w:gridCol w:w="734"/>
        <w:gridCol w:w="73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39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Not considered meaningful</w:t>
      </w:r>
    </w:p>
    <w:p>
      <w:pPr>
        <w:pStyle w:val="TextBody"/>
        <w:bidi w:val="0"/>
        <w:spacing w:lineRule="auto" w:line="288" w:before="120" w:after="283"/>
        <w:jc w:val="left"/>
        <w:rPr/>
      </w:pPr>
      <w:r>
        <w:rPr>
          <w:rFonts w:ascii="Times New Roman;serif" w:hAnsi="Times New Roman;serif"/>
          <w:b w:val="false"/>
          <w:color w:val="000000"/>
          <w:sz w:val="20"/>
          <w:u w:val="single"/>
        </w:rPr>
        <w:t>General and administrative</w:t>
      </w:r>
      <w:r>
        <w:rPr>
          <w:rFonts w:ascii="Times New Roman;serif" w:hAnsi="Times New Roman;serif"/>
          <w:b w:val="false"/>
          <w:color w:val="000000"/>
          <w:sz w:val="20"/>
        </w:rPr>
        <w:t>. General and administrative expenses increased by $0.3 million and $2.2 million for the three and six months ended June 30, 2025, respectively,</w:t>
      </w:r>
      <w:r>
        <w:rPr>
          <w:color w:val="000000"/>
          <w:shd w:fill="FFFFFF" w:val="clear"/>
        </w:rPr>
        <w:t xml:space="preserve"> </w:t>
      </w:r>
      <w:r>
        <w:rPr>
          <w:rFonts w:ascii="Times New Roman;serif" w:hAnsi="Times New Roman;serif"/>
          <w:b w:val="false"/>
          <w:color w:val="000000"/>
          <w:sz w:val="20"/>
        </w:rPr>
        <w:t>compared to the three and six months ended June 30, 2024, primarily due to increased professional and legal expenses and $2.1 million of corporate severance expense.</w:t>
      </w:r>
    </w:p>
    <w:p>
      <w:pPr>
        <w:pStyle w:val="TextBody"/>
        <w:bidi w:val="0"/>
        <w:spacing w:lineRule="auto" w:line="288" w:before="120" w:after="283"/>
        <w:jc w:val="left"/>
        <w:rPr/>
      </w:pPr>
      <w:r>
        <w:rPr>
          <w:rFonts w:ascii="Times New Roman;serif" w:hAnsi="Times New Roman;serif"/>
          <w:b w:val="false"/>
          <w:color w:val="000000"/>
          <w:sz w:val="20"/>
          <w:u w:val="single"/>
        </w:rPr>
        <w:t>Transaction costs.</w:t>
      </w:r>
      <w:r>
        <w:rPr>
          <w:color w:val="000000"/>
        </w:rPr>
        <w:t xml:space="preserve"> </w:t>
      </w:r>
      <w:r>
        <w:rPr>
          <w:rFonts w:ascii="Times New Roman;serif" w:hAnsi="Times New Roman;serif"/>
          <w:b w:val="false"/>
          <w:color w:val="000000"/>
          <w:sz w:val="20"/>
        </w:rPr>
        <w:t>Transaction costs during the three and six months ended June 30, 2025 and 2024 were primarily related to the Moonrise Acquisition and Utica Sale, respectively.</w:t>
      </w:r>
    </w:p>
    <w:p>
      <w:pPr>
        <w:pStyle w:val="TextBody"/>
        <w:bidi w:val="0"/>
        <w:spacing w:lineRule="auto" w:line="288" w:before="120" w:after="283"/>
        <w:jc w:val="left"/>
        <w:rPr/>
      </w:pPr>
      <w:r>
        <w:rPr>
          <w:rFonts w:ascii="Times New Roman;serif" w:hAnsi="Times New Roman;serif"/>
          <w:b w:val="false"/>
          <w:color w:val="000000"/>
          <w:sz w:val="20"/>
          <w:u w:val="single"/>
        </w:rPr>
        <w:t>Interest expense</w:t>
      </w:r>
      <w:r>
        <w:rPr>
          <w:rFonts w:ascii="Times New Roman;serif" w:hAnsi="Times New Roman;serif"/>
          <w:b w:val="false"/>
          <w:color w:val="000000"/>
          <w:sz w:val="20"/>
        </w:rPr>
        <w:t>. Interest expense decreased $7.6 million for the three months ended June 30, 2025, compared to three months ended June 30, 2024, primarily due to $18.4 million of reduced interest expense as a result of the 2026 Secured Notes Tender Offer and the Asset Sale Offer that occurred in July 2024 and May 2024, respectively and $5.7 million of reduced interest expense due to the full repayment and discharge of the 2026 Unsecured Notes in June 2024, partially offset by $17.8 million of increased borrowing costs in connection with issuance of the 2029 Secured Notes in July 2024 and January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$22.9 million for the six months ended June 30, 2025, compared to six months ended June 30, 2024, primarily due to $37.0 million of reduced interest expense as a result of the 2026 Secured Notes Tender Offer and the Asset Sale Offer that occurred in July 2024 and May 2024, respectively and $12.0 million of reduced interest expense due to the full repayment and discharge of the 2026 Unsecured Notes in June 2024, partially offset by $34.4 million of increased borrowing costs in connection with issuance of the 2029 Secured Notes in July 2024 and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How We Evaluate Our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currently conduct and report our operations in the midstream energy industry through four reportable segments: Rockies, Permian, Piceance and Mid-Con.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16 - Segment Information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review these metrics on a regular basis for consistency and trend analysis. There have been no changes in the composition or characteristics of these metrics during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 xml:space="preserve">Summit Midstream Corporation Tax Structure. </w:t>
      </w:r>
      <w:r>
        <w:rPr>
          <w:rFonts w:ascii="Times New Roman;serif" w:hAnsi="Times New Roman;serif"/>
          <w:b w:val="false"/>
          <w:color w:val="000000"/>
          <w:sz w:val="20"/>
        </w:rPr>
        <w:t xml:space="preserve">We operate the Company in an Up-C tax structure whereby the Company owns 65% of SMLP as of June 30, 2025 and Tailwater Capital owns the remaining 35% of SMLP as a noncontrolling interest. If on June 30, 2025, Tailwater Capital converted their 6.5 million SMLP partnership units and 6.5 million Class B shares for the Company’s common stock, the following adjustments would occur to the Company’s balance sheet and common shares outstanding. </w:t>
      </w:r>
    </w:p>
    <w:tbl>
      <w:tblPr>
        <w:tblW w:w="8607" w:type="dxa"/>
        <w:jc w:val="left"/>
        <w:tblInd w:w="0" w:type="dxa"/>
        <w:tblLayout w:type="fixed"/>
        <w:tblCellMar>
          <w:top w:w="28" w:type="dxa"/>
          <w:left w:w="28" w:type="dxa"/>
          <w:bottom w:w="28" w:type="dxa"/>
          <w:right w:w="28" w:type="dxa"/>
        </w:tblCellMar>
      </w:tblPr>
      <w:tblGrid>
        <w:gridCol w:w="933"/>
        <w:gridCol w:w="821"/>
        <w:gridCol w:w="826"/>
        <w:gridCol w:w="109"/>
        <w:gridCol w:w="109"/>
        <w:gridCol w:w="109"/>
        <w:gridCol w:w="211"/>
        <w:gridCol w:w="976"/>
        <w:gridCol w:w="109"/>
        <w:gridCol w:w="109"/>
        <w:gridCol w:w="109"/>
        <w:gridCol w:w="109"/>
        <w:gridCol w:w="645"/>
        <w:gridCol w:w="1241"/>
        <w:gridCol w:w="334"/>
        <w:gridCol w:w="109"/>
        <w:gridCol w:w="109"/>
        <w:gridCol w:w="109"/>
        <w:gridCol w:w="240"/>
        <w:gridCol w:w="1115"/>
        <w:gridCol w:w="175"/>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Conversion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 Conversion</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2,423,043 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Share Summary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 Conversion</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18,766,331 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Additional Information.</w:t>
      </w:r>
      <w:r>
        <w:rPr>
          <w:color w:val="000000"/>
        </w:rPr>
        <w:t> </w:t>
      </w:r>
      <w:r>
        <w:rPr>
          <w:rFonts w:ascii="Times New Roman;serif" w:hAnsi="Times New Roman;serif"/>
          <w:b w:val="false"/>
          <w:color w:val="000000"/>
          <w:sz w:val="20"/>
        </w:rPr>
        <w:t>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2024 Annual Report. For information on impending accounting changes that are expected to materially impact our financial results reported in future periods, see Note 2 – Summary of Significant Accounting Policies and Recently Issued Accounting Standards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rely primarily on internally generated cash flows as well as current cash balance and external financing sources, including commercial bank borrowings, and the issuance of debt, equity and preferred equity securities, and proceeds from potential asset divestitures to fund our capital expenditures. We believe that our Amended and Restated ABL Facility and Permian Transmission Credit Facilities, together with internally generated cash flows, current cash balance and access to debt or equity capital markets, will be adequate to finance our operations for the next twelve months, and based on current expectations, the long-term, without adversely impacting our 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enter into off-balance sheet arrangements and transactions that can give rise to material off-balance sheet obligations. As of June 30, 2025, our material off-balance sheet arrangements and transactions include (i) letters of credit outstanding against our Amended and Restated ABL Facility aggregating to $0.8 million, and (ii) letters of credit outstanding against our Permian Transmission Credit Facilities aggregating to $10.5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in compliance with all covenants contained in the indenture governing the 2029 Secured Notes, the Amended and Restated ABL Facility and the Permian Transmission Credit Facilities. 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June 30, 2025, the First Lien Net Leverage Ratio (as defined in the Amended and Restated ABL Agreement) and the Interest Coverage Ratio was 0.53:1.00 and 2.76:1.00,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Amended and Restated ABL Facility.</w:t>
      </w:r>
      <w:r>
        <w:rPr>
          <w:color w:val="000000"/>
        </w:rPr>
        <w:t xml:space="preserve"> </w:t>
      </w:r>
      <w:r>
        <w:rPr>
          <w:rFonts w:ascii="Times New Roman;serif" w:hAnsi="Times New Roman;serif"/>
          <w:b w:val="false"/>
          <w:color w:val="000000"/>
          <w:sz w:val="20"/>
        </w:rPr>
        <w:t xml:space="preserve">Concurrently with the issuance of the 2029 Secured Notes, on July 26, 2024, Summit Holdings, as borrower, amended and restated its existing first-lien, senior secured credit agreement, with SMLP, consisting of a $500.0 million asset-based revolving credit facility. As of June 30, 2025, 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As of June 30, 2025, there was $140.0 million outstanding under the Amended and Restated ABL Facility and the available borrowing capacity totaled $359.2 million after giving effect to the issuance thereunder of $0.8 million of outstanding but undrawn irrevocable standby letters of credit. </w:t>
      </w:r>
    </w:p>
    <w:p>
      <w:pPr>
        <w:pStyle w:val="TextBody"/>
        <w:bidi w:val="0"/>
        <w:spacing w:lineRule="auto" w:line="288" w:before="120" w:after="283"/>
        <w:jc w:val="left"/>
        <w:rPr/>
      </w:pPr>
      <w:r>
        <w:rPr>
          <w:rFonts w:ascii="Times New Roman;serif" w:hAnsi="Times New Roman;serif"/>
          <w:b/>
          <w:i/>
          <w:color w:val="000000"/>
          <w:sz w:val="20"/>
        </w:rPr>
        <w:t>2029 Secured Notes</w:t>
      </w:r>
      <w:r>
        <w:rPr>
          <w:rFonts w:ascii="Times New Roman;serif" w:hAnsi="Times New Roman;serif"/>
          <w:b w:val="false"/>
          <w:i/>
          <w:color w:val="000000"/>
          <w:sz w:val="20"/>
        </w:rPr>
        <w:t xml:space="preserve">. </w:t>
      </w:r>
      <w:r>
        <w:rPr>
          <w:rFonts w:ascii="Times New Roman;serif" w:hAnsi="Times New Roman;serif"/>
          <w:b w:val="false"/>
          <w:color w:val="000000"/>
          <w:sz w:val="20"/>
        </w:rPr>
        <w:t>On July 26, 2024, Summit Holdings issued $575.0 million aggregate principal amount of 8.625% Senior Secured Second Lien Notes due 2029.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as additional notes under the same indenture pursuant to which, on July 26, 2024, Summit Holdings issued $575.0 million in aggregate principal amount of 2029 Secured Notes. The 2029 Secured Notes mature on October 31, 2029 and have interest payable semi-annually in arrears on each February 15 and August 15. As of June 30, 2025, the outstanding balance of the 2029 Secured Notes was $825.0 million.</w:t>
      </w:r>
    </w:p>
    <w:p>
      <w:pPr>
        <w:pStyle w:val="TextBody"/>
        <w:bidi w:val="0"/>
        <w:spacing w:lineRule="auto" w:line="288" w:before="120" w:after="120"/>
        <w:jc w:val="left"/>
        <w:rPr/>
      </w:pPr>
      <w:r>
        <w:rPr>
          <w:rFonts w:ascii="Times New Roman;serif" w:hAnsi="Times New Roman;serif"/>
          <w:b/>
          <w:i/>
          <w:color w:val="000000"/>
          <w:sz w:val="20"/>
        </w:rPr>
        <w:t>Other.</w:t>
      </w:r>
      <w:r>
        <w:rPr>
          <w:color w:val="000000"/>
        </w:rPr>
        <w:t xml:space="preserve"> </w:t>
      </w:r>
      <w:r>
        <w:rPr>
          <w:rFonts w:ascii="Times New Roman;serif" w:hAnsi="Times New Roman;serif"/>
          <w:b w:val="false"/>
          <w:color w:val="000000"/>
          <w:sz w:val="20"/>
        </w:rPr>
        <w:t>We may in the future use a combination of cash, secured or unsecured borrowings and issuances of our common stock or other securities and the proceeds from asset sales to retire or refinance our outstanding debt or Series A Preferred Stock through privately negotiated transactions, open market repurchases, redemptions, exchange offers, tender offers or otherwise, but we are under no obligation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net change in cash and cash equivalents were as follows:</w:t>
      </w:r>
    </w:p>
    <w:tbl>
      <w:tblPr>
        <w:tblW w:w="7194" w:type="dxa"/>
        <w:jc w:val="left"/>
        <w:tblInd w:w="0" w:type="dxa"/>
        <w:tblLayout w:type="fixed"/>
        <w:tblCellMar>
          <w:top w:w="28" w:type="dxa"/>
          <w:left w:w="28" w:type="dxa"/>
          <w:bottom w:w="28" w:type="dxa"/>
          <w:right w:w="28" w:type="dxa"/>
        </w:tblCellMar>
      </w:tblPr>
      <w:tblGrid>
        <w:gridCol w:w="1677"/>
        <w:gridCol w:w="1477"/>
        <w:gridCol w:w="1481"/>
        <w:gridCol w:w="211"/>
        <w:gridCol w:w="721"/>
        <w:gridCol w:w="109"/>
        <w:gridCol w:w="109"/>
        <w:gridCol w:w="109"/>
        <w:gridCol w:w="109"/>
        <w:gridCol w:w="211"/>
        <w:gridCol w:w="82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six months ended June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 net income of $0.4 million plus positive adjustments of $68.3 million for non-cash operating items;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$15.5 million change in working capital accounts.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six months ended June 30, 2024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net income of $109.1 million plus adjustments of $66.3 million for non-cash operating items;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$11.9 million change in working capital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used by investing activities during the six months ended June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$70.0 million of cash outflows from cash consideration paid for the acquisition of Moonrise, net of cash acquired in the transaction;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$47.0 million of cash outflows for 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investing activities during the six months ended June 30, 2024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$332.7 million of cash inflows from the proceeds of the sale of our equity method investment;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$292.3 million of cash inflows from the proceeds of the sale of Summit Utica;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$70.0 million of cash inflows from the proceeds of the Mountaineer Transaction;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$4.4 million of cash inflows from the sale of compressor equipment;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$26.9 million of cash outflows for capital expenditures.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during the six months ended June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$260.0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$8.1 million of cash outflows for repayments on the Permian Transmission Term Loan;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$6.7 million of cash outflows for Distributions to Series A Preferred Shareholders;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$258.4 million of cash inflows from the issuance of the Additional 2029 Secured Notes;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$95.0 million of cash inflows from borrowings on the Amended and Restated ABL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during the six months ended June 30, 2024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$313.0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$209.5 million of cash outflows from the redemption of 2026 Unsecured Notes;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$13.6 million of cash outflows for the Excess Cash Flow Offer;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$7.6 million of cash outflows for repayments on the Permian Transmission Term Loan;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$6.9 million of cash outflows for the Asset Sale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Capital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Corporate Reorganization, SMLP Agreement was amended to, among other things, reflect that all of the issued and outstanding limited partnership interests of the Partnership are held by Summit Midstream Corporation. Subsequent to the Corporate Reorganization, on December 2, 2024, the Company completed the Tall Oak Acquisition. As a result of the Tall Oak Acquisition, SMLP is now partially owned by the Company and Tall Oak Parent, and SMC and SMLP operate in what is commonly referred to as an Up-C tax structure. For information on the Corporate Reorganization, see Note 1 – Organization, Business Operations, Corporate Reorganization and Presentation and 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cash paid for capital expenditures totaled $47.0 million which included $8.0 million of maintenance capital expenditures. For the six months ended June 30, 2025, we contributed $3.1 million to Double E.</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ABL Facility and the Permian Transmission Credit Facilities, and access to debt or equity capital markets, will be adequate to finance our operations for the next twelve months without adversely impacting our liquidity.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Credit and Counterparty Concentration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Off-Balance Sheet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there were no material changes to the off-balance sheet obligations disclosed in our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achieve the strategic and other objectives relating to the Tall Oak Acquisition and the Moonrise Acquisition;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risk that we are unable to integrate Tall Oak’s and Moonrise’s operations in a successful manner and in the expected time period;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decision whether to pay, or our ability to grow, our cash dividends;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fluctuations in natural gas, NGLs and crude oil prices, including as a result of political or economic measures taken by various countries or OPEC;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current and potential future impact of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any other issues that can result in deficiencies in the design, installation or operation of our gathering, compression, treating, processing and freshwater facilities;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 and trade policy and tariffs;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changes in general economic conditions;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fluctuations in our effective tax rate;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certain factors discussed elsewhere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Developments in any of these areas could cause actual results to differ materially from those anticipated or projected or cause a significant reduction in the market price of our common stock, Series A Preferred Stock and 2029 Secured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Information About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interest rate risk exposure, which is largely related to our indebtedness, has not changed materially since December 31, 2024. As of June 30, 2025, we had approximately $825.0 million principal of fixed-rate debt, $140.0 million outstanding under our variable rate Amended and Restated ABL Facility and $121.2 million outstanding under the variable rate Permian Transmission Term Loan (see Note 8 - Debt). As of June 30, 2025, we had $109.1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the three and six months ended June 30, 2025, a hypothetical 1% increase (decrease) in interest rates on our variable rate debt would have increased (decreased) our interest expense by approximately $0.7 million and $1.3 million, respectively, assuming no changes in amounts drawn or other variables under our Amended and Restated ABL Facility or Permian Transmission Term Loan. For additional information, see the “Interest Rate Risk” section included in Item 7A. Quantitative and Qualitative Disclosures About Market Risk of the 2024 Annual Report and updates to our risk factors included herein.</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Commodity Price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Mid-Con segment customers and (iii) the sale of condensate we retain from certain gathering services in the Piceance segment. Our gathering agreements with certain Mid-Con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2024. For additional information, see the “Commodity Price Risk” section included in Item 7A. Quantitative and Qualitative Disclosures About Market Risk of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direction of our Chief Executive Officer and Chief Financial Officer, we evaluated our disclosure controls and procedures and internal control over financial reporting and concluded that (i) our disclosure controls and procedures were effective as of June 30, 2025 and (ii) no change in internal control over financial reporting occurred during the quarter ended June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68" w:before="120" w:after="283"/>
        <w:jc w:val="left"/>
        <w:rPr/>
      </w:pPr>
      <w:r>
        <w:rPr>
          <w:rFonts w:ascii="Times New Roman;serif" w:hAnsi="Times New Roman;serif"/>
          <w:b/>
          <w:i/>
          <w:color w:val="000000"/>
          <w:sz w:val="20"/>
        </w:rPr>
        <w:t>Fiberspar Corporation.</w:t>
      </w:r>
      <w:r>
        <w:rPr>
          <w:color w:val="000000"/>
        </w:rPr>
        <w:t xml:space="preserve"> </w:t>
      </w:r>
      <w:r>
        <w:rPr>
          <w:rFonts w:ascii="Times New Roman;serif" w:hAnsi="Times New Roman;serif"/>
          <w:b w:val="false"/>
          <w:color w:val="000000"/>
          <w:sz w:val="20"/>
        </w:rPr>
        <w:t>On May 3, 2022, Fiberspar Corporation (“Fiberspar”) filed a petition in the District Court of Harris County, Texas alleging, before costs and interest,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and a trial date has been set for January 2026. We are unable to predict the final outcome of this matter.</w:t>
      </w:r>
    </w:p>
    <w:p>
      <w:pPr>
        <w:pStyle w:val="TextBody"/>
        <w:bidi w:val="0"/>
        <w:spacing w:lineRule="auto" w:line="288" w:before="120" w:after="283"/>
        <w:jc w:val="left"/>
        <w:rPr/>
      </w:pPr>
      <w:r>
        <w:rPr>
          <w:rFonts w:ascii="Times New Roman;serif" w:hAnsi="Times New Roman;serif"/>
          <w:b/>
          <w:i/>
          <w:color w:val="000000"/>
          <w:sz w:val="20"/>
        </w:rPr>
        <w:t>Global Settlement.</w:t>
      </w:r>
      <w:r>
        <w:rPr>
          <w:color w:val="000000"/>
        </w:rPr>
        <w:t xml:space="preserve"> </w:t>
      </w:r>
      <w:r>
        <w:rPr>
          <w:rFonts w:ascii="Times New Roman;serif" w:hAnsi="Times New Roman;serif"/>
          <w:b w:val="false"/>
          <w:color w:val="000000"/>
          <w:sz w:val="20"/>
        </w:rPr>
        <w:t>On August 4, 2021, SMLP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6, 2021, the U.S. District Court accepted the Plea Agreement. This Global Settlement resulted in losses amounting to $36.3 million and will be paid over five to six years, of which we have paid principal amounts of $21.3 million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risk factors contained in Item 1A. Risk Factors of the 2024 Annual Report and Part II Item 1A. Risk Factors of our Quarterly Report for the three months ended March 31, 2025 are incorporated herein by reference except to the extent they address risks arising from or relating to the failure of events described therein to occur, which events have since occurred.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did not sell any unregistered equity securities during the quarter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5. Other Information</w:t>
      </w:r>
      <w:r>
        <w:rPr>
          <w:rFonts w:ascii="Times New Roman;serif" w:hAnsi="Times New Roman;serif"/>
          <w:b/>
          <w:i/>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2"/>
        <w:gridCol w:w="317"/>
        <w:gridCol w:w="320"/>
        <w:gridCol w:w="109"/>
        <w:gridCol w:w="109"/>
        <w:gridCol w:w="109"/>
        <w:gridCol w:w="2625"/>
        <w:gridCol w:w="2575"/>
        <w:gridCol w:w="3679"/>
      </w:tblGrid>
      <w:tr>
        <w:trPr/>
        <w:tc>
          <w:tcPr>
            <w:tcW w:w="36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bookmarkStart w:id="0" w:name="i5426b0cb407c48279cbb5c390bc9158a_1-2-1-"/>
              <w:bookmarkEnd w:id="0"/>
              <w:r>
                <w:rPr>
                  <w:rStyle w:val="InternetLink"/>
                  <w:rFonts w:ascii="Times New Roman;serif" w:hAnsi="Times New Roman;serif"/>
                  <w:b w:val="false"/>
                  <w:color w:val="0000FF"/>
                  <w:sz w:val="20"/>
                  <w:u w:val="single"/>
                </w:rPr>
                <w:t>Amended and Restated Certificate of Incorporation of Summit Midstream Corporation (Incorporated herein by reference to Exhibit 3.1 to SMC’s Current Report on Form 8-K12B filed August 1, 2024 (Commission File No. 001-35666)).</w:t>
              </w:r>
            </w:hyperlink>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Summit Midstream Corporation (Incorporated herein by reference to Exhibit 3.2 to SMC’s Current Report on Form 8-K12B filed August 1, 2024 (Commission File No. 001-35666)).</w:t>
              </w:r>
            </w:hyperlink>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of Series A Floating Rate Cumulative Redeemable Perpetual Preferred Stock of Summit Midstream Corporation (Incorporated herein by reference to Exhibit 3.3 to SMC’s Current Report on Form 8-K12B filed August 1, 2024 (Commission File No. 001-35666)).</w:t>
              </w:r>
            </w:hyperlink>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of Class B common stock, par value $0.01 per share, of Summit Midstream Corporation (Incorporated herein by reference to Exhibit 3.1 to SMC’s Current Report on Form 8-K filed December 3, 2024 (Commission File No. 001-42201)).</w:t>
              </w:r>
            </w:hyperlink>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Updated Compensation Letter, by and between Summit Operating Services Company, LLC and Heath Deneke, dated as of April 9, 2025 (Incorporated herein by reference to Exhibit 10.1 to SMC’s Current Report on Form 8-K filed May 9, 2025 (Commission File No. 001-42201)).</w:t>
              </w:r>
            </w:hyperlink>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80"/>
                  <w:sz w:val="20"/>
                  <w:u w:val="single"/>
                </w:rPr>
                <w:t>10.</w:t>
              </w:r>
            </w:hyperlink>
            <w:hyperlink r:id="rId13">
              <w:r>
                <w:rPr>
                  <w:rStyle w:val="InternetLink"/>
                  <w:rFonts w:ascii="Times New Roman;serif" w:hAnsi="Times New Roman;serif"/>
                  <w:b w:val="false"/>
                  <w:color w:val="000080"/>
                  <w:sz w:val="20"/>
                  <w:u w:val="singl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Updated Compensation Letter, by and between Summit Operating Services Company, LLC and James Johnston, dated as of April 9, 2025 (Incorporated herein by reference to Exhibit 10.2 to SMC’s Current Report on Form 8-K filed May 9, 2025 (Commission File No. 001-42201)).</w:t>
              </w:r>
            </w:hyperlink>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80"/>
                  <w:sz w:val="20"/>
                  <w:u w:val="single"/>
                </w:rPr>
                <w:t>10.</w:t>
              </w:r>
            </w:hyperlink>
            <w:hyperlink r:id="rId16">
              <w:r>
                <w:rPr>
                  <w:rStyle w:val="InternetLink"/>
                  <w:rFonts w:ascii="Times New Roman;serif" w:hAnsi="Times New Roman;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Updated Compensation Letter, by and between Summit Operating Services Company, LLC and William (Bill) Mault, dated as of April 9, 2025 (Incorporated herein by reference to Exhibit 10.3 to SMC’s Current Report on Form 8-K filed May 9, 2025 (Commission File No. 001-42201)).</w:t>
              </w:r>
            </w:hyperlink>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c-20250630xex311.htm">
              <w:r>
                <w:rPr>
                  <w:rStyle w:val="InternetLink"/>
                  <w:rFonts w:ascii="Times New Roman;serif" w:hAnsi="Times New Roman;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c-20250630xex311.htm">
              <w:r>
                <w:rPr>
                  <w:rStyle w:val="InternetLink"/>
                  <w:rFonts w:ascii="Times New Roman;serif" w:hAnsi="Times New Roman;serif"/>
                  <w:b w:val="false"/>
                  <w:color w:val="0000FF"/>
                  <w:sz w:val="20"/>
                  <w:u w:val="single"/>
                </w:rPr>
                <w:t>Rule 13a-14(a)/15d-14(a) Certification, executed by Heath Deneke, President, Chief Executive Officer and Director</w:t>
              </w:r>
            </w:hyperlink>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c-20250630x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c-20250630xex312.htm">
              <w:r>
                <w:rPr>
                  <w:rStyle w:val="InternetLink"/>
                  <w:rFonts w:ascii="Times New Roman;serif" w:hAnsi="Times New Roman;serif"/>
                  <w:b w:val="false"/>
                  <w:color w:val="0000FF"/>
                  <w:sz w:val="20"/>
                  <w:u w:val="single"/>
                </w:rPr>
                <w:t>Rule 13a-14(a)/15d-14(a) Certification, executed by William J. Mault, Executive Vice President and Chief Financial Officer</w:t>
              </w:r>
            </w:hyperlink>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c-20250630xex321.htm">
              <w:r>
                <w:rPr>
                  <w:rStyle w:val="InternetLink"/>
                  <w:rFonts w:ascii="Times New Roman;serif" w:hAnsi="Times New Roman;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c-20250630xex321.htm">
              <w:r>
                <w:rPr>
                  <w:rStyle w:val="InternetLink"/>
                  <w:rFonts w:ascii="Times New Roman;serif" w:hAnsi="Times New Roman;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 The financial information contained in the XBRL (eXtensible Business Reporting Language)-related documents is unaudited and unreviewed.</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76f9448ffcb3417982e604af421f8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673" w:type="dxa"/>
        <w:jc w:val="left"/>
        <w:tblInd w:w="0" w:type="dxa"/>
        <w:tblLayout w:type="fixed"/>
        <w:tblCellMar>
          <w:top w:w="28" w:type="dxa"/>
          <w:left w:w="28" w:type="dxa"/>
          <w:bottom w:w="28" w:type="dxa"/>
          <w:right w:w="28" w:type="dxa"/>
        </w:tblCellMar>
      </w:tblPr>
      <w:tblGrid>
        <w:gridCol w:w="531"/>
        <w:gridCol w:w="468"/>
        <w:gridCol w:w="470"/>
        <w:gridCol w:w="2396"/>
        <w:gridCol w:w="2396"/>
        <w:gridCol w:w="3412"/>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WILLIAM J. MAULT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9176"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1967"/>
        <w:gridCol w:w="1967"/>
        <w:gridCol w:w="28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050"/>
                <wp:effectExtent l="0" t="0" r="0" b="0"/>
                <wp:wrapNone/>
                <wp:docPr id="58" name="Frame5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9581"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2081"/>
        <w:gridCol w:w="2081"/>
        <w:gridCol w:w="297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050"/>
                <wp:effectExtent l="0" t="0" r="0" b="0"/>
                <wp:wrapNone/>
                <wp:docPr id="59" name="Frame5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Corporation (the “Registrant”) for the quarterly period ended June 30, 2025,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5448"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1236"/>
        <w:gridCol w:w="1236"/>
        <w:gridCol w:w="175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544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b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11, 2025</w:t>
            </w:r>
          </w:p>
        </w:tc>
      </w:tr>
    </w:tbl>
    <w:tbl>
      <w:tblPr>
        <w:tblW w:w="6054"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1397"/>
        <w:gridCol w:w="1397"/>
        <w:gridCol w:w="199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605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11,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050"/>
                <wp:effectExtent l="0" t="0" r="0" b="0"/>
                <wp:wrapNone/>
                <wp:docPr id="60" name="Frame6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4218/000101376224003515/ea021024101ex3-1_summit.htm" TargetMode="External"/><Relationship Id="rId3" Type="http://schemas.openxmlformats.org/officeDocument/2006/relationships/hyperlink" Target="https://www.sec.gov/Archives/edgar/data/2024218/000101376224003515/ea021024101ex3-1_summit.htm" TargetMode="External"/><Relationship Id="rId4" Type="http://schemas.openxmlformats.org/officeDocument/2006/relationships/hyperlink" Target="https://www.sec.gov/Archives/edgar/data/2024218/000101376224003515/ea021024101ex3-2_summit.htm" TargetMode="External"/><Relationship Id="rId5" Type="http://schemas.openxmlformats.org/officeDocument/2006/relationships/hyperlink" Target="https://www.sec.gov/Archives/edgar/data/2024218/000101376224003515/ea021024101ex3-2_summit.htm" TargetMode="External"/><Relationship Id="rId6" Type="http://schemas.openxmlformats.org/officeDocument/2006/relationships/hyperlink" Target="https://www.sec.gov/Archives/edgar/data/2024218/000101376224003515/ea021024101ex3-3_summit.htm" TargetMode="External"/><Relationship Id="rId7" Type="http://schemas.openxmlformats.org/officeDocument/2006/relationships/hyperlink" Target="https://www.sec.gov/Archives/edgar/data/2024218/000101376224003515/ea021024101ex3-3_summit.htm" TargetMode="External"/><Relationship Id="rId8" Type="http://schemas.openxmlformats.org/officeDocument/2006/relationships/hyperlink" Target="https://www.sec.gov/Archives/edgar/data/1549922/000101376224001777/ea021008501ex4-1_summit.htm" TargetMode="External"/><Relationship Id="rId9" Type="http://schemas.openxmlformats.org/officeDocument/2006/relationships/hyperlink" Target="https://www.sec.gov/Archives/edgar/data/2024218/000202421824000041/exhibit31-summitmidstrea.htm" TargetMode="External"/><Relationship Id="rId10" Type="http://schemas.openxmlformats.org/officeDocument/2006/relationships/hyperlink" Target="https://www.sec.gov/Archives/edgar/data/1549922/000101376224001777/ea021008501ex10-1_summit.htm" TargetMode="External"/><Relationship Id="rId11" Type="http://schemas.openxmlformats.org/officeDocument/2006/relationships/hyperlink" Target="https://www.sec.gov/Archives/edgar/data/2024218/000202421825000049/exhibit101-updatedcompensa.htm" TargetMode="External"/><Relationship Id="rId12" Type="http://schemas.openxmlformats.org/officeDocument/2006/relationships/hyperlink" Target="https://www.sec.gov/Archives/edgar/data/1549922/000154992224000050/summitmidstream-firstamend.htm" TargetMode="External"/><Relationship Id="rId13" Type="http://schemas.openxmlformats.org/officeDocument/2006/relationships/hyperlink" Target="https://www.sec.gov/Archives/edgar/data/1549922/000154992224000050/summitmidstream-firstamend.htm" TargetMode="External"/><Relationship Id="rId14" Type="http://schemas.openxmlformats.org/officeDocument/2006/relationships/hyperlink" Target="https://www.sec.gov/Archives/edgar/data/2024218/000202421825000049/exhibit102-updatedcompensa.htm" TargetMode="External"/><Relationship Id="rId15" Type="http://schemas.openxmlformats.org/officeDocument/2006/relationships/hyperlink" Target="https://www.sec.gov/Archives/edgar/data/2024218/000101376224003515/ea021024101ex10-1_summit.htm" TargetMode="External"/><Relationship Id="rId16" Type="http://schemas.openxmlformats.org/officeDocument/2006/relationships/hyperlink" Target="https://www.sec.gov/Archives/edgar/data/2024218/000101376224003515/ea021024101ex10-1_summit.htm" TargetMode="External"/><Relationship Id="rId17" Type="http://schemas.openxmlformats.org/officeDocument/2006/relationships/hyperlink" Target="https://www.sec.gov/Archives/edgar/data/2024218/000202421825000049/exhibit103-updatedcompensa.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29089</Words>
  <Characters>160938</Characters>
  <CharactersWithSpaces>188070</CharactersWithSpaces>
  <Paragraphs>3982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