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8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September 30, 2024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001-42201</w:t>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Summit Midstream Corporation</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910 Louisiana Street, Suite 4200</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Houston, TX</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99-3056990</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77002</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(832) 413-4770</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355" w:type="dxa"/>
        <w:jc w:val="left"/>
        <w:tblInd w:w="0" w:type="dxa"/>
        <w:tblLayout w:type="fixed"/>
        <w:tblCellMar>
          <w:top w:w="28" w:type="dxa"/>
          <w:left w:w="28" w:type="dxa"/>
          <w:bottom w:w="28" w:type="dxa"/>
          <w:right w:w="28" w:type="dxa"/>
        </w:tblCellMar>
      </w:tblPr>
      <w:tblGrid>
        <w:gridCol w:w="1119"/>
        <w:gridCol w:w="986"/>
        <w:gridCol w:w="1000"/>
        <w:gridCol w:w="484"/>
        <w:gridCol w:w="484"/>
        <w:gridCol w:w="486"/>
        <w:gridCol w:w="685"/>
        <w:gridCol w:w="685"/>
        <w:gridCol w:w="685"/>
        <w:gridCol w:w="509"/>
        <w:gridCol w:w="509"/>
        <w:gridCol w:w="723"/>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796"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SMC</w:t>
            </w:r>
          </w:p>
        </w:tc>
        <w:tc>
          <w:tcPr>
            <w:tcW w:w="20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c>
          <w:tcPr>
            <w:tcW w:w="1741"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r>
    </w:tbl>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rPr>
        <w: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5337" w:type="dxa"/>
        <w:jc w:val="left"/>
        <w:tblInd w:w="0" w:type="dxa"/>
        <w:tblLayout w:type="fixed"/>
        <w:tblCellMar>
          <w:top w:w="28" w:type="dxa"/>
          <w:left w:w="28" w:type="dxa"/>
          <w:bottom w:w="28" w:type="dxa"/>
          <w:right w:w="28" w:type="dxa"/>
        </w:tblCellMar>
      </w:tblPr>
      <w:tblGrid>
        <w:gridCol w:w="1117"/>
        <w:gridCol w:w="986"/>
        <w:gridCol w:w="1002"/>
        <w:gridCol w:w="109"/>
        <w:gridCol w:w="109"/>
        <w:gridCol w:w="109"/>
        <w:gridCol w:w="558"/>
        <w:gridCol w:w="558"/>
        <w:gridCol w:w="789"/>
      </w:tblGrid>
      <w:tr>
        <w:trPr/>
        <w:tc>
          <w:tcPr>
            <w:tcW w:w="111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November 8, 2024</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10,648,685 shares</w:t>
            </w:r>
          </w:p>
        </w:tc>
      </w:tr>
    </w:tbl>
    <w:p>
      <w:pPr>
        <w:pStyle w:val="TextBody"/>
        <w:bidi w:val="0"/>
        <w:spacing w:before="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7"/>
        <w:gridCol w:w="2457"/>
        <w:gridCol w:w="2496"/>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d6790c4f4fd94e14984a72756155bc83_13">
              <w:r>
                <w:rPr>
                  <w:rStyle w:val="InternetLink"/>
                  <w:rFonts w:ascii="Times New Roman;sans-serif" w:hAnsi="Times New Roman;sans-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3">
              <w:r>
                <w:rPr>
                  <w:rStyle w:val="InternetLink"/>
                  <w:rFonts w:ascii="Times New Roman;sans-serif" w:hAnsi="Times New Roman;sans-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
              <w:r>
                <w:rPr>
                  <w:rStyle w:val="InternetLink"/>
                  <w:rFonts w:ascii="Times New Roman;sans-serif" w:hAnsi="Times New Roman;sans-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
              <w:r>
                <w:rPr>
                  <w:rStyle w:val="InternetLink"/>
                  <w:rFonts w:ascii="Times New Roman;sans-serif" w:hAnsi="Times New Roman;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9">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9">
              <w:r>
                <w:rPr>
                  <w:rStyle w:val="InternetLink"/>
                  <w:rFonts w:ascii="Times New Roman;sans-serif" w:hAnsi="Times New Roman;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22">
              <w:r>
                <w:rPr>
                  <w:rStyle w:val="InternetLink"/>
                  <w:rFonts w:ascii="Times New Roman;sans-serif" w:hAnsi="Times New Roman;sans-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22">
              <w:r>
                <w:rPr>
                  <w:rStyle w:val="InternetLink"/>
                  <w:rFonts w:ascii="Times New Roman;sans-serif" w:hAnsi="Times New Roman;sans-serif"/>
                  <w:b w:val="false"/>
                  <w:color w:val="0000FF"/>
                  <w:sz w:val="20"/>
                  <w:u w:val="single"/>
                </w:rPr>
                <w:t>6</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25">
              <w:r>
                <w:rPr>
                  <w:rStyle w:val="InternetLink"/>
                  <w:rFonts w:ascii="Times New Roman;sans-serif" w:hAnsi="Times New Roman;sans-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25">
              <w:r>
                <w:rPr>
                  <w:rStyle w:val="InternetLink"/>
                  <w:rFonts w:ascii="Times New Roman;sans-serif" w:hAnsi="Times New Roman;sans-serif"/>
                  <w:b w:val="false"/>
                  <w:color w:val="0000FF"/>
                  <w:sz w:val="20"/>
                  <w:u w:val="single"/>
                </w:rPr>
                <w:t>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28">
              <w:r>
                <w:rPr>
                  <w:rStyle w:val="InternetLink"/>
                  <w:rFonts w:ascii="Times New Roman;sans-serif" w:hAnsi="Times New Roman;sans-serif"/>
                  <w:b w:val="false"/>
                  <w:color w:val="000080"/>
                  <w:sz w:val="20"/>
                  <w:u w:val="single"/>
                </w:rPr>
                <w:t>Unaudited Condensed Consolidated Statements of</w:t>
              </w:r>
            </w:hyperlink>
            <w:hyperlink w:anchor="id6790c4f4fd94e14984a72756155bc83_28">
              <w:r>
                <w:rPr>
                  <w:rStyle w:val="InternetLink"/>
                  <w:rFonts w:ascii="Times New Roman;sans-serif" w:hAnsi="Times New Roman;sans-serif"/>
                  <w:b w:val="false"/>
                  <w:color w:val="000080"/>
                  <w:sz w:val="20"/>
                  <w:u w:val="single"/>
                </w:rPr>
                <w:t xml:space="preserve"> </w:t>
              </w:r>
            </w:hyperlink>
            <w:hyperlink w:anchor="id6790c4f4fd94e14984a72756155bc83_28">
              <w:r>
                <w:rPr>
                  <w:rStyle w:val="InternetLink"/>
                  <w:rFonts w:ascii="Times New Roman;sans-serif" w:hAnsi="Times New Roman;sans-serif"/>
                  <w:b w:val="false"/>
                  <w:color w:val="000080"/>
                  <w:sz w:val="20"/>
                  <w:u w:val="single"/>
                </w:rPr>
                <w:t>Equity</w:t>
              </w:r>
            </w:hyperlink>
            <w:hyperlink w:anchor="id6790c4f4fd94e14984a72756155bc83_28">
              <w:r>
                <w:rPr>
                  <w:rStyle w:val="InternetLink"/>
                  <w:rFonts w:ascii="Times New Roman;sans-serif" w:hAnsi="Times New Roman;sans-serif"/>
                  <w:b w:val="false"/>
                  <w:color w:val="000080"/>
                  <w:sz w:val="20"/>
                  <w:u w:val="single"/>
                </w:rPr>
                <w: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28">
              <w:r>
                <w:rPr>
                  <w:rStyle w:val="InternetLink"/>
                  <w:rFonts w:ascii="Times New Roman;sans-serif" w:hAnsi="Times New Roman;sans-serif"/>
                  <w:b w:val="false"/>
                  <w:color w:val="0000FF"/>
                  <w:sz w:val="20"/>
                  <w:u w:val="single"/>
                </w:rPr>
                <w:t>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31">
              <w:r>
                <w:rPr>
                  <w:rStyle w:val="InternetLink"/>
                  <w:rFonts w:ascii="Times New Roman;sans-serif" w:hAnsi="Times New Roman;sans-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31">
              <w:r>
                <w:rPr>
                  <w:rStyle w:val="InternetLink"/>
                  <w:rFonts w:ascii="Times New Roman;sans-serif" w:hAnsi="Times New Roman;sans-serif"/>
                  <w:b w:val="false"/>
                  <w:color w:val="0000FF"/>
                  <w:sz w:val="20"/>
                  <w:u w:val="single"/>
                </w:rPr>
                <w:t>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34">
              <w:r>
                <w:rPr>
                  <w:rStyle w:val="InternetLink"/>
                  <w:rFonts w:ascii="Times New Roman;sans-serif" w:hAnsi="Times New Roman;sans-serif"/>
                  <w:b w:val="false"/>
                  <w:color w:val="0000FF"/>
                  <w:sz w:val="20"/>
                  <w:u w:val="single"/>
                </w:rPr>
                <w:t>Notes to Unaudited Condensed Consolidated Financial Statements</w:t>
              </w:r>
            </w:hyperlink>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34">
              <w:r>
                <w:rPr>
                  <w:rStyle w:val="InternetLink"/>
                  <w:rFonts w:ascii="Times New Roman;sans-serif" w:hAnsi="Times New Roman;sans-serif"/>
                  <w:b w:val="false"/>
                  <w:color w:val="0000FF"/>
                  <w:sz w:val="20"/>
                  <w:u w:val="single"/>
                </w:rPr>
                <w:t>10</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91">
              <w:r>
                <w:rPr>
                  <w:rStyle w:val="InternetLink"/>
                  <w:rFonts w:ascii="Times New Roman;sans-serif" w:hAnsi="Times New Roman;sans-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91">
              <w:r>
                <w:rPr>
                  <w:rStyle w:val="InternetLink"/>
                  <w:rFonts w:ascii="Times New Roman;sans-serif" w:hAnsi="Times New Roman;sans-serif"/>
                  <w:b w:val="false"/>
                  <w:color w:val="0000FF"/>
                  <w:sz w:val="20"/>
                  <w:u w:val="single"/>
                </w:rPr>
                <w:t>27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0">
              <w:r>
                <w:rPr>
                  <w:rStyle w:val="InternetLink"/>
                  <w:rFonts w:ascii="Times New Roman;sans-serif" w:hAnsi="Times New Roman;sans-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0">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60">
              <w:r>
                <w:rPr>
                  <w:rStyle w:val="InternetLink"/>
                  <w:rFonts w:ascii="Times New Roman;sans-serif" w:hAnsi="Times New Roman;sans-serif"/>
                  <w:b w:val="false"/>
                  <w:color w:val="0000FF"/>
                  <w:sz w:val="20"/>
                  <w:u w:val="single"/>
                </w:rPr>
                <w:t>49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3">
              <w:r>
                <w:rPr>
                  <w:rStyle w:val="InternetLink"/>
                  <w:rFonts w:ascii="Times New Roman;sans-serif" w:hAnsi="Times New Roman;sans-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3">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63">
              <w:r>
                <w:rPr>
                  <w:rStyle w:val="InternetLink"/>
                  <w:rFonts w:ascii="Times New Roman;sans-serif" w:hAnsi="Times New Roman;sans-serif"/>
                  <w:b w:val="false"/>
                  <w:color w:val="0000FF"/>
                  <w:sz w:val="20"/>
                  <w:u w:val="single"/>
                </w:rPr>
                <w:t>49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6">
              <w:r>
                <w:rPr>
                  <w:rStyle w:val="InternetLink"/>
                  <w:rFonts w:ascii="Times New Roman;sans-serif" w:hAnsi="Times New Roman;sans-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6">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66">
              <w:r>
                <w:rPr>
                  <w:rStyle w:val="InternetLink"/>
                  <w:rFonts w:ascii="Times New Roman;sans-serif" w:hAnsi="Times New Roman;sans-serif"/>
                  <w:b w:val="false"/>
                  <w:color w:val="0000FF"/>
                  <w:sz w:val="20"/>
                  <w:u w:val="single"/>
                </w:rPr>
                <w:t>50</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9">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69">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69">
              <w:r>
                <w:rPr>
                  <w:rStyle w:val="InternetLink"/>
                  <w:rFonts w:ascii="Times New Roman;sans-serif" w:hAnsi="Times New Roman;sans-serif"/>
                  <w:b w:val="false"/>
                  <w:color w:val="0000FF"/>
                  <w:sz w:val="20"/>
                  <w:u w:val="single"/>
                </w:rPr>
                <w:t>50</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72">
              <w:r>
                <w:rPr>
                  <w:rStyle w:val="InternetLink"/>
                  <w:rFonts w:ascii="Times New Roman;sans-serif" w:hAnsi="Times New Roman;sans-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72">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72">
              <w:r>
                <w:rPr>
                  <w:rStyle w:val="InternetLink"/>
                  <w:rFonts w:ascii="Times New Roman;sans-serif" w:hAnsi="Times New Roman;sans-serif"/>
                  <w:b w:val="false"/>
                  <w:color w:val="0000FF"/>
                  <w:sz w:val="20"/>
                  <w:u w:val="single"/>
                </w:rPr>
                <w:t>50</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75">
              <w:r>
                <w:rPr>
                  <w:rStyle w:val="InternetLink"/>
                  <w:rFonts w:ascii="Times New Roman;sans-serif" w:hAnsi="Times New Roman;sans-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75">
              <w:r>
                <w:rPr>
                  <w:rStyle w:val="InternetLink"/>
                  <w:rFonts w:ascii="Times New Roman;sans-serif" w:hAnsi="Times New Roman;sans-serif"/>
                  <w:b w:val="false"/>
                  <w:color w:val="0000FF"/>
                  <w:sz w:val="20"/>
                  <w:u w:val="single"/>
                </w:rPr>
                <w:t>Other Information</w:t>
              </w:r>
            </w:hyperlink>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75">
              <w:r>
                <w:rPr>
                  <w:rStyle w:val="InternetLink"/>
                  <w:rFonts w:ascii="Times New Roman;sans-serif" w:hAnsi="Times New Roman;sans-serif"/>
                  <w:b w:val="false"/>
                  <w:color w:val="0000FF"/>
                  <w:sz w:val="20"/>
                  <w:u w:val="single"/>
                </w:rPr>
                <w:t>78</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78">
              <w:r>
                <w:rPr>
                  <w:rStyle w:val="InternetLink"/>
                  <w:rFonts w:ascii="Times New Roman;sans-serif" w:hAnsi="Times New Roman;sans-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78">
              <w:r>
                <w:rPr>
                  <w:rStyle w:val="InternetLink"/>
                  <w:rFonts w:ascii="Times New Roman;sans-serif" w:hAnsi="Times New Roman;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78">
              <w:r>
                <w:rPr>
                  <w:rStyle w:val="InternetLink"/>
                  <w:rFonts w:ascii="Times New Roman;sans-serif" w:hAnsi="Times New Roman;sans-serif"/>
                  <w:b w:val="false"/>
                  <w:color w:val="0000FF"/>
                  <w:sz w:val="20"/>
                  <w:u w:val="single"/>
                </w:rPr>
                <w:t>78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790c4f4fd94e14984a72756155bc83_181">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6790c4f4fd94e14984a72756155bc83_181">
              <w:r>
                <w:rPr>
                  <w:rStyle w:val="InternetLink"/>
                  <w:rFonts w:ascii="Times New Roman;sans-serif" w:hAnsi="Times New Roman;sans-serif"/>
                  <w:b w:val="false"/>
                  <w:color w:val="0000FF"/>
                  <w:sz w:val="20"/>
                  <w:u w:val="single"/>
                </w:rPr>
                <w:t>81</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tbl>
      <w:tblPr>
        <w:tblW w:w="10205" w:type="dxa"/>
        <w:jc w:val="left"/>
        <w:tblInd w:w="0" w:type="dxa"/>
        <w:tblLayout w:type="fixed"/>
        <w:tblCellMar>
          <w:top w:w="28" w:type="dxa"/>
          <w:left w:w="28" w:type="dxa"/>
          <w:bottom w:w="28" w:type="dxa"/>
          <w:right w:w="28" w:type="dxa"/>
        </w:tblCellMar>
      </w:tblPr>
      <w:tblGrid>
        <w:gridCol w:w="902"/>
        <w:gridCol w:w="434"/>
        <w:gridCol w:w="438"/>
        <w:gridCol w:w="2971"/>
        <w:gridCol w:w="2647"/>
        <w:gridCol w:w="2656"/>
        <w:gridCol w:w="157"/>
      </w:tblGrid>
      <w:tr>
        <w:trPr/>
        <w:tc>
          <w:tcPr>
            <w:tcW w:w="9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8274"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DJ Acquisitions</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Outrigger DJ Midstream LLC from Outrigger Energy II LLC, and each of Sterling Energy Investments LLC, Grasslands Energy Marketing LLC and Centennial Water Pipelines LLC from Sterling Investment Holdings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8274"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October 2026</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12.00% senior unsecured notes due October 2026</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Secured Notes</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8.625% Senior Secured Second Lien Notes due October 2029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ABL Agreement</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Loan and Security Agreement, dated as of July 26, 2024, among Summit Holdings, as borrower, SMLP and certain subsidiaries from time to time party thereto, as guarantors, Bank of America, N.A., as agent, and Bank of America, N.A., Royal Bank of Canada, Regions Capital Markets, TD Securities (USA) LLC, JPMorgan Chase Bank, N.A, Citizens Bank, N.A., and Truist Bank, as joint lead arrangers and joint bookrunners</w:t>
            </w:r>
          </w:p>
          <w:p>
            <w:pPr>
              <w:pStyle w:val="TableContents"/>
              <w:bidi w:val="0"/>
              <w:spacing w:before="0" w:after="0"/>
              <w:jc w:val="left"/>
              <w:rPr/>
            </w:pPr>
            <w:r>
              <w:rPr/>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and Restated ABL Facility </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Amended and Restated ABL Agreement</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Bcf/d</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billion cubic feet per day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Summit Midstream Corporation</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8274"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Co-Issuers</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 as co-issuers of the 2025 Senior Notes, the 2026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Unsecured Notes and the 2026 Secured Notes</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2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pentane and heavier hydrocarbon fractions</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8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August 1, 2024 consummation of a transaction that resulted in the Partnership becoming a wholly owned subsidiary of a newly formed Delaware corporation, Summit Midstream Corporation (taxed as a C-corporation)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vAlign w:val="center"/>
          </w:tcPr>
          <w:p>
            <w:pPr>
              <w:pStyle w:val="TableContents"/>
              <w:bidi w:val="0"/>
              <w:spacing w:before="0" w:after="283"/>
              <w:jc w:val="left"/>
              <w:rPr>
                <w:sz w:val="4"/>
                <w:szCs w:val="4"/>
              </w:rPr>
            </w:pPr>
            <w:r>
              <w:rPr>
                <w:sz w:val="4"/>
                <w:szCs w:val="4"/>
              </w:rPr>
            </w:r>
          </w:p>
        </w:tc>
        <w:tc>
          <w:tcPr>
            <w:tcW w:w="8274"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9"/>
        <w:gridCol w:w="461"/>
        <w:gridCol w:w="351"/>
        <w:gridCol w:w="2856"/>
        <w:gridCol w:w="2856"/>
        <w:gridCol w:w="2865"/>
        <w:gridCol w:w="157"/>
      </w:tblGrid>
      <w:tr>
        <w:trPr/>
        <w:tc>
          <w:tcPr>
            <w:tcW w:w="6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135 mile, 1.35 Bcf/d, FERC-regulated interstate natural gas transmission pipeline that commenced operations in November 2021 and provides transportation service from multiple receipt points in the Delaware Basin to various delivery points in and around the Waha hub in Texas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Project</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construction of the Double E Pipeline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EPS</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or loss per share</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million British thermal units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57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Condensate Company,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OGC</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w:t>
            </w:r>
          </w:p>
        </w:tc>
        <w:tc>
          <w:tcPr>
            <w:tcW w:w="8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OpCo, LP</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5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Organization of the Petroleum Exporting Countries</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3"/>
        <w:gridCol w:w="405"/>
        <w:gridCol w:w="411"/>
        <w:gridCol w:w="3013"/>
        <w:gridCol w:w="2749"/>
        <w:gridCol w:w="2757"/>
        <w:gridCol w:w="157"/>
      </w:tblGrid>
      <w:tr>
        <w:trPr/>
        <w:tc>
          <w:tcPr>
            <w:tcW w:w="7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Term Loan Facility</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Facilities</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governed by the Credit Agreement, dated as of March 8, 2021, among Summit Permian Transmission,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water from underground geologic formations that is a by-product of natural gas and crude oil production</w:t>
            </w:r>
          </w:p>
          <w:p>
            <w:pPr>
              <w:pStyle w:val="TableContents"/>
              <w:bidi w:val="0"/>
              <w:spacing w:before="0" w:after="0"/>
              <w:ind w:left="0" w:right="0" w:hanging="18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impairments and (viii) other noncash expenses or losses, less other noncash income or gains</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Stock issued</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the Company</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 issued</w:t>
              <w:br/>
              <w:t>by the Partnership</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received from a counterparty when its volume throughput does not meet its MVC for the applicable period</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SMC LTIP</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2024 Long-Term Incentive Plan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 2022 Long-Term Incentive Plan</w:t>
            </w:r>
          </w:p>
          <w:p>
            <w:pPr>
              <w:pStyle w:val="TableContents"/>
              <w:bidi w:val="0"/>
              <w:spacing w:before="0" w:after="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Overnight Financing Rate </w:t>
            </w:r>
          </w:p>
          <w:p>
            <w:pPr>
              <w:pStyle w:val="TableContents"/>
              <w:bidi w:val="0"/>
              <w:spacing w:before="0" w:after="0"/>
              <w:ind w:left="0" w:right="0" w:hanging="18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5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99"/>
        <w:gridCol w:w="489"/>
        <w:gridCol w:w="491"/>
        <w:gridCol w:w="2862"/>
        <w:gridCol w:w="2751"/>
        <w:gridCol w:w="2757"/>
        <w:gridCol w:w="156"/>
      </w:tblGrid>
      <w:tr>
        <w:trPr/>
        <w:tc>
          <w:tcPr>
            <w:tcW w:w="6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and its subsidiaries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Summit Midstream Partners, LP </w:t>
            </w:r>
          </w:p>
          <w:p>
            <w:pPr>
              <w:pStyle w:val="TableContents"/>
              <w:bidi w:val="0"/>
              <w:spacing w:before="0" w:after="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Fourth Amended and Restated Agreement of Limited Partnership of the Partnership, dated May 28, 2020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consummation of the transaction contemplated by Tall Oak Business Combination Agreement between Summit Midstream Corporation, Summit Midstream Partners, LP and Tall Oak Midstream Holdings,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p>
            <w:pPr>
              <w:pStyle w:val="TableContents"/>
              <w:bidi w:val="0"/>
              <w:spacing w:before="0" w:after="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p>
            <w:pPr>
              <w:pStyle w:val="TableContents"/>
              <w:bidi w:val="0"/>
              <w:spacing w:before="0" w:after="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equipment at the surface of a well, used to control the well’s pressure; also, the point at which the hydrocarbons and water exit the ground</w:t>
            </w:r>
          </w:p>
          <w:p>
            <w:pPr>
              <w:pStyle w:val="TableContents"/>
              <w:bidi w:val="0"/>
              <w:spacing w:before="0" w:after="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680"/>
        <w:gridCol w:w="2270"/>
        <w:gridCol w:w="2289"/>
        <w:gridCol w:w="211"/>
        <w:gridCol w:w="976"/>
        <w:gridCol w:w="109"/>
        <w:gridCol w:w="109"/>
        <w:gridCol w:w="109"/>
        <w:gridCol w:w="109"/>
        <w:gridCol w:w="211"/>
        <w:gridCol w:w="976"/>
        <w:gridCol w:w="156"/>
      </w:tblGrid>
      <w:tr>
        <w:trPr/>
        <w:tc>
          <w:tcPr>
            <w:tcW w:w="268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amounts)</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98,422 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1,698,585 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in equity method investees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486,434 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2,494,198 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LIABILITIES AND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 valorem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settlement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134,012 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1,455,166 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1,216,272 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1,650,983 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19"/>
              </w:rPr>
              <w:t>Commitments and contingencies (Note</w:t>
            </w:r>
            <w:r>
              <w:rPr>
                <w:color w:val="000000"/>
              </w:rPr>
              <w:t xml:space="preserve"> </w:t>
            </w:r>
            <w:r>
              <w:rPr>
                <w:rFonts w:ascii="Times New Roman;sans-serif" w:hAnsi="Times New Roman;sans-serif"/>
                <w:b w:val="false"/>
                <w:color w:val="000000"/>
                <w:sz w:val="19"/>
              </w:rPr>
              <w:t>14)</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Mezzanine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Subsidiary Series A Preferred Units (93,039 issued and outstanding as of September 30, 2024 and December 31, 2023,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124,652 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Units (65,508 issued and outstanding as of December 31,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limited partner capital (10,376,189 issued and outstanding as of December 31,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Stock (65,508 issued and outstanding as of September 30,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$0.01 par value (10,648,685 issued and outstanding as of September 30,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718,563 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2,494,198 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782"/>
        <w:gridCol w:w="1394"/>
        <w:gridCol w:w="1403"/>
        <w:gridCol w:w="211"/>
        <w:gridCol w:w="885"/>
        <w:gridCol w:w="109"/>
        <w:gridCol w:w="109"/>
        <w:gridCol w:w="109"/>
        <w:gridCol w:w="109"/>
        <w:gridCol w:w="211"/>
        <w:gridCol w:w="721"/>
        <w:gridCol w:w="109"/>
        <w:gridCol w:w="109"/>
        <w:gridCol w:w="109"/>
        <w:gridCol w:w="109"/>
        <w:gridCol w:w="211"/>
        <w:gridCol w:w="885"/>
        <w:gridCol w:w="109"/>
        <w:gridCol w:w="109"/>
        <w:gridCol w:w="109"/>
        <w:gridCol w:w="109"/>
        <w:gridCol w:w="211"/>
        <w:gridCol w:w="826"/>
        <w:gridCol w:w="157"/>
      </w:tblGrid>
      <w:tr>
        <w:trPr/>
        <w:tc>
          <w:tcPr>
            <w:tcW w:w="17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investees income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Summit Midstream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Stock</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equity 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Weighted-average number of shares outstanding:</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basic</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diluted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EQUITY</w:t>
      </w:r>
    </w:p>
    <w:tbl>
      <w:tblPr>
        <w:tblW w:w="10532" w:type="dxa"/>
        <w:jc w:val="center"/>
        <w:tblInd w:w="0" w:type="dxa"/>
        <w:tblLayout w:type="fixed"/>
        <w:tblCellMar>
          <w:top w:w="28" w:type="dxa"/>
          <w:left w:w="28" w:type="dxa"/>
          <w:bottom w:w="28" w:type="dxa"/>
          <w:right w:w="28" w:type="dxa"/>
        </w:tblCellMar>
      </w:tblPr>
      <w:tblGrid>
        <w:gridCol w:w="654"/>
        <w:gridCol w:w="258"/>
        <w:gridCol w:w="25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6"/>
        <w:gridCol w:w="444"/>
        <w:gridCol w:w="116"/>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6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Partners’ Capital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(After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Amount, at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1"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Partners’ capital,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and associated payments on vested SMLP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Partners’ capital,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and associated payments on vested SMLP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Partners’ capital,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and associated payments on vested SMLP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Reorganization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Tax impact of Corporate Reorganization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Equity,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21"/>
        <w:gridCol w:w="319"/>
        <w:gridCol w:w="320"/>
        <w:gridCol w:w="109"/>
        <w:gridCol w:w="109"/>
        <w:gridCol w:w="109"/>
        <w:gridCol w:w="204"/>
        <w:gridCol w:w="673"/>
        <w:gridCol w:w="113"/>
        <w:gridCol w:w="109"/>
        <w:gridCol w:w="109"/>
        <w:gridCol w:w="109"/>
        <w:gridCol w:w="209"/>
        <w:gridCol w:w="787"/>
        <w:gridCol w:w="116"/>
        <w:gridCol w:w="109"/>
        <w:gridCol w:w="109"/>
        <w:gridCol w:w="109"/>
        <w:gridCol w:w="236"/>
        <w:gridCol w:w="490"/>
        <w:gridCol w:w="132"/>
        <w:gridCol w:w="109"/>
        <w:gridCol w:w="109"/>
        <w:gridCol w:w="109"/>
        <w:gridCol w:w="241"/>
        <w:gridCol w:w="499"/>
        <w:gridCol w:w="134"/>
        <w:gridCol w:w="109"/>
        <w:gridCol w:w="109"/>
        <w:gridCol w:w="109"/>
        <w:gridCol w:w="253"/>
        <w:gridCol w:w="525"/>
        <w:gridCol w:w="141"/>
        <w:gridCol w:w="109"/>
        <w:gridCol w:w="109"/>
        <w:gridCol w:w="109"/>
        <w:gridCol w:w="222"/>
        <w:gridCol w:w="459"/>
        <w:gridCol w:w="124"/>
        <w:gridCol w:w="109"/>
        <w:gridCol w:w="109"/>
        <w:gridCol w:w="109"/>
        <w:gridCol w:w="196"/>
        <w:gridCol w:w="736"/>
        <w:gridCol w:w="166"/>
      </w:tblGrid>
      <w:tr>
        <w:trPr/>
        <w:tc>
          <w:tcPr>
            <w:tcW w:w="6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Partners’ Capital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(Before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(After Corporate Reorganization)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Amount, at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Partners’ capital,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679,491 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764,818 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and associated payments on vested SMLP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Partners’ capital,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661,736 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749,702 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and associated payments on vested SMLP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Partners’ capital,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643,586 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734,351 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withholdings and associated payments on vested SMLP LTIP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Partners’ capital,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642,221 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735,990 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w:t>
      </w:r>
    </w:p>
    <w:tbl>
      <w:tblPr>
        <w:tblW w:w="7526" w:type="dxa"/>
        <w:jc w:val="left"/>
        <w:tblInd w:w="0" w:type="dxa"/>
        <w:tblLayout w:type="fixed"/>
        <w:tblCellMar>
          <w:top w:w="28" w:type="dxa"/>
          <w:left w:w="28" w:type="dxa"/>
          <w:bottom w:w="28" w:type="dxa"/>
          <w:right w:w="28" w:type="dxa"/>
        </w:tblCellMar>
      </w:tblPr>
      <w:tblGrid>
        <w:gridCol w:w="1843"/>
        <w:gridCol w:w="1622"/>
        <w:gridCol w:w="1635"/>
        <w:gridCol w:w="198"/>
        <w:gridCol w:w="709"/>
        <w:gridCol w:w="119"/>
        <w:gridCol w:w="119"/>
        <w:gridCol w:w="119"/>
        <w:gridCol w:w="119"/>
        <w:gridCol w:w="198"/>
        <w:gridCol w:w="676"/>
        <w:gridCol w:w="169"/>
      </w:tblGrid>
      <w:tr>
        <w:trPr/>
        <w:tc>
          <w:tcPr>
            <w:tcW w:w="184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Nine Months Ended September 30,</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Net income (loss) </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(88,392)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(23,829)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Deferred income taxes </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142,267 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76,028 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91,438 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Amortization of debt issuance costs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Equity compensation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from equity method investees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(19,828)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(22,302)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from equity method investees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31,241 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40,732 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asset sales, net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gain and other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earn-out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early extinguishment of debt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47,199 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loss on sale of business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(82,338)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 on sale of equity method investment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(126,261)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loss on interest rate swaps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Long-lived asset impairment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67,936 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(3,765)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Trade accounts payable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(3,917)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 net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(4,206)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 valorem taxes payable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interest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(4,695)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22,113 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environmental remediation, net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(14,563)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(12,784)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operating activities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40,124 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110,759 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 expenditures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(37,861)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(49,863)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Summit Utica Sale (excluding Ohio Gathering)</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292,266 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Ohio Gathering</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332,734 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Mountaineer Transaction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69,304 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asset sale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Investment in Double E equity method investee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(2,611)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investing activities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659,412 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(55,846)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ABL Facility</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Redemption of 2026 Unsecured Notes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(209,510)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- 2026 Secured Notes (Excess Cash Flow Offer)</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- 2026 Secured Notes (Asset Sale Offer)</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Permian Transmission Term Loan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(11,555)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- 2025 Senior Notes Redemption</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(49,783)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repayments - 2026 Secured Notes Redemption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(649,805)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Borrowings on Amended and Restated ABL Facility</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of 2029 Secured Notes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565,800 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 on Subsidiary Series A Preferred Units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extinguishment costs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(21,355)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Debt issuance costs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net</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financing activities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(571,815)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(49,549)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change in cash, cash equivalents and restricted cash</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127,721 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5,364 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beginning of period</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16,645 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13,531 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end of period</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144,366 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18,895 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SUMMIT MIDSTREAM CORPORATION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OPERATIONS, CORPORATE REORGANIZATION AND PRESENTATION AND CONSOLIDATION</w:t>
      </w:r>
    </w:p>
    <w:p>
      <w:pPr>
        <w:pStyle w:val="TextBody"/>
        <w:bidi w:val="0"/>
        <w:spacing w:lineRule="auto" w:line="288" w:before="120" w:after="283"/>
        <w:jc w:val="left"/>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 xml:space="preserve">Summit Midstream Partners, LP (“SMLP” or the “Partnership”) was formed in May 2012 and prior to August 1, 2024, the Partnership’s common units were listed on NYSE under the ticker symbol “SMLP.” The Partnership reorganized from a Delaware limited partnership to a Delaware corporation (the “Corporate Reorganization”) named Summit Midstream Corporation (including its subsidiaries, collectively “SMC” or the “Company”) effective as of August 1,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 is a Delaware corporation that was incorporated in May 2024 and as of August 1, 2024, the Company’s common stock, par value $0.01 per share (the “common stock”), is listed on NYSE under the ticker symbol “SMC.” SMC is a value-oriented company focused on developing, owning and operating midstream energy infrastructure assets that are strategically located in unconventional resource basins, primarily shale formations, in the continental United States. The Company’s business activities are primarily conducted through various operating subsidiaries, each of which is owned or controlled by its wholly owned subsidiary holding company, Summit Holdings, a Delaware limited liability company.</w:t>
      </w:r>
    </w:p>
    <w:p>
      <w:pPr>
        <w:pStyle w:val="TextBody"/>
        <w:bidi w:val="0"/>
        <w:spacing w:lineRule="auto" w:line="288" w:before="120" w:after="283"/>
        <w:jc w:val="left"/>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Company provides natural gas gathering, compression, treating and processing services as well as crude oil and produced water gathering services pursuant to primarily long-term, fee-based agreements with its customers. In addition to these services, the Company also provides freshwater delivery services pursuant to short-term agreements with customers. The Company’s results are primarily driven by the volumes of natural gas that it transports, gathers, compresses, treats and/or processes as well as by the volumes of crude oil and produced water that it gathers. As of September 30, 2024, other than the Company’s investment in Double E, all of its business activities are conducted through wholly owned operating subsidiaries.</w:t>
      </w:r>
    </w:p>
    <w:p>
      <w:pPr>
        <w:pStyle w:val="TextBody"/>
        <w:bidi w:val="0"/>
        <w:spacing w:lineRule="auto" w:line="288" w:before="120" w:after="283"/>
        <w:jc w:val="left"/>
        <w:rPr/>
      </w:pPr>
      <w:r>
        <w:rPr>
          <w:rFonts w:ascii="Times New Roman;sans-serif" w:hAnsi="Times New Roman;sans-serif"/>
          <w:b/>
          <w:i/>
          <w:color w:val="000000"/>
          <w:sz w:val="20"/>
        </w:rPr>
        <w:t>Corporate Reorganization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In connection with the Corporate Reorganization, the Partnership entered into an Agreement and Plan of Merger (the “Merger Agreement”), by and among the Partnership, the Company, Summit SMC NewCo, LLC (“Merger Sub”), a wholly owned subsidiary of the Company, and the General Partner. Pursuant to the Merger Agreement, Merger Sub merged with and into the Partnership (the “Merger”), with the Partnership continuing as the surviving entity and a wholly owned subsidiary of the Company, with (i) each then outstanding common unit representing limited partner interests in the Partnership automatically converting into the right to receive one share of the Company’s common stock and (ii) each then outstanding Series A Preferred Unit automatically converting into the right to receive one share of Series A Preferred Stock. The Merger was accounted for as a common-control transaction between the Partnership and Summit Midstream Corporation as a result of the Partnership’s unitholders controlling both the Partnership and Summit Midstream Corporation before and after the Merger. Upon consummation of the Corporate Reorganization, Summit Midstream Corporation recognized (i) income tax expense in its unaudited condensed consolidated statements of operations for temporary differences that existed as of the date of the Corporate Reorganization, (ii) a tax benefit to equity due to changes in tax bases and liabilities and (iii) a net deferred tax liability in its unaudited condensed consolidated balance sheets. Upon completion of the Merger, the Partnership’s common limited partner capital accounts were eliminated and replaced with shares of common stock, paid in capital, and retained deficit. Additionally, the Series A Preferred Units were exchanged for an equivalent number of shares of Series A Preferred Stock, with no substantive changes in contractual terms or investor 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Corporate Reorganization, periods prior to August 1, 2024 reflect Summit Midstream as a limited partnership, not a corporation. References to common units for periods prior to the Corporate Reorganization refer to common units of SMLP, and references to common stock for periods following the Corporate Reorganization refer to shares of common stock of SMC. The primary financial impacts of the Corporate Reorganization to the consolidated financial statements were (i) reclassification of the partnership capital accounts to equity accounts reflective of a corporation and (ii) income tax effects.</w:t>
      </w:r>
    </w:p>
    <w:p>
      <w:pPr>
        <w:pStyle w:val="TextBody"/>
        <w:bidi w:val="0"/>
        <w:spacing w:lineRule="auto" w:line="288" w:before="120" w:after="283"/>
        <w:jc w:val="left"/>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Company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SMLP’s Annual Report on Form 10-K for the year ended December 31, 2023 (the “2023 Annual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assets, liabilities and results of operations of SMC.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COMPANY</w:t>
      </w:r>
    </w:p>
    <w:p>
      <w:pPr>
        <w:pStyle w:val="TextBody"/>
        <w:bidi w:val="0"/>
        <w:spacing w:lineRule="auto" w:line="288" w:before="120" w:after="283"/>
        <w:jc w:val="left"/>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Prior to the consummation of the Corporate Reorganization on August 1, 2024, SMLP was treated as a partnership for federal and state income tax purposes, in which the taxable income or loss generally was passed through to its unitholders. SMLP was subject to Texas margin tax. Therefore, for periods prior to the Corporate Reorganization, with the exception of the state of Texas, SMLP did not directly pay federal and state income taxes and no entity-level income tax provision was recognized other than for the effects of the Texas margin tax.</w:t>
      </w:r>
    </w:p>
    <w:p>
      <w:pPr>
        <w:pStyle w:val="TextBody"/>
        <w:bidi w:val="0"/>
        <w:spacing w:lineRule="auto" w:line="288" w:before="120" w:after="283"/>
        <w:jc w:val="left"/>
        <w:rPr/>
      </w:pPr>
      <w:r>
        <w:rPr>
          <w:rFonts w:ascii="Times New Roman;sans-serif" w:hAnsi="Times New Roman;sans-serif"/>
          <w:b w:val="false"/>
          <w:color w:val="000000"/>
          <w:sz w:val="20"/>
        </w:rPr>
        <w:t xml:space="preserve">Effective upon the consummation of the Corporate Reorganization, SMC became subject to federal and state income taxes as a C-corporation. As such, it accounts for income taxes, as required, under ASC 740, </w:t>
      </w:r>
      <w:r>
        <w:rPr>
          <w:rFonts w:ascii="Times New Roman;sans-serif" w:hAnsi="Times New Roman;sans-serif"/>
          <w:b w:val="false"/>
          <w:i/>
          <w:color w:val="000000"/>
          <w:sz w:val="20"/>
        </w:rPr>
        <w:t>Accounting for Income Taxes</w:t>
      </w:r>
      <w:r>
        <w:rPr>
          <w:rFonts w:ascii="Times New Roman;sans-serif" w:hAnsi="Times New Roman;sans-serif"/>
          <w:b w:val="false"/>
          <w:color w:val="000000"/>
          <w:sz w:val="20"/>
        </w:rPr>
        <w:t>. Deferred tax assets and liabilities are recognized for future tax consequences attributable to differences between the financial statement carrying amounts of existing assets and liabilities and their respective tax bases and net operating loss and tax credit carry-forwards. Deferred tax assets and liabilities are measured using enacted tax rates applied to taxable income in the relevant years in which those temporary differences are expected to be recovered or settled. The effect on deferred tax assets and liabilities of a change in tax rates is recognized in net income or loss in the period that includes the enactment date. Deferred tax assets are reduced by a valuation allowance when, in the opinion of management, it is more likely than not that some portion or all of the deferred tax assets will not be realized.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record interest and penalties relating to uncertain tax positions in income tax expense. At September 30, 2024, SMC did not have any uncertain tax positions and does not anticipate recognition of any significant liabilities for uncertain tax positions during the next 12 months.</w:t>
      </w:r>
    </w:p>
    <w:p>
      <w:pPr>
        <w:pStyle w:val="TextBody"/>
        <w:bidi w:val="0"/>
        <w:spacing w:lineRule="auto" w:line="288" w:before="120" w:after="283"/>
        <w:jc w:val="left"/>
        <w:rPr/>
      </w:pPr>
      <w:r>
        <w:rPr>
          <w:rFonts w:ascii="Times New Roman;sans-serif" w:hAnsi="Times New Roman;sans-serif"/>
          <w:b/>
          <w:i/>
          <w:color w:val="000000"/>
          <w:sz w:val="20"/>
        </w:rPr>
        <w:t xml:space="preserve">Accounting standards recently implemented. </w:t>
      </w:r>
      <w:r>
        <w:rPr>
          <w:rFonts w:ascii="Times New Roman;sans-serif" w:hAnsi="Times New Roman;sans-serif"/>
          <w:b w:val="false"/>
          <w:color w:val="000000"/>
          <w:sz w:val="20"/>
        </w:rPr>
        <w:t>ASU No. 2020-06 Debt – Debt with Conversion and Other Options (Subtopic 470-20) and Derivatives and Hedging – Contracts in Entity’s Own Equity (Subtopic 815–40) (“ASU 2020-06”). ASU 2020-06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provisions of ASU 2020-06 did not have a material impact on the Company’s condensed consolidated financial statements and disclosures.</w:t>
      </w:r>
    </w:p>
    <w:p>
      <w:pPr>
        <w:pStyle w:val="TextBody"/>
        <w:bidi w:val="0"/>
        <w:spacing w:lineRule="auto" w:line="288" w:before="120" w:after="120"/>
        <w:jc w:val="left"/>
        <w:rPr/>
      </w:pPr>
      <w:r>
        <w:rPr>
          <w:rFonts w:ascii="Times New Roman;sans-serif" w:hAnsi="Times New Roman;sans-serif"/>
          <w:b/>
          <w:i/>
          <w:color w:val="000000"/>
          <w:sz w:val="20"/>
        </w:rPr>
        <w:t xml:space="preserve">New accounting standards not yet implemented. </w:t>
      </w:r>
      <w:r>
        <w:rPr>
          <w:rFonts w:ascii="Times New Roman;sans-serif" w:hAnsi="Times New Roman;sans-serif"/>
          <w:b w:val="false"/>
          <w:color w:val="000000"/>
          <w:sz w:val="20"/>
        </w:rPr>
        <w:t>ASU No. 2023-07, Segment Reporting (Topic 280): Improvements to Reportable Segment Disclosures (“ASU 2023-07”). ASU 2023-07 enhances disclosures on reportable segments and provides additional detailed information about significant segment expenses. The guidance in ASU 2023-07 is effective for fiscal years beginning after December 15, 2023 and interim periods within fiscal years beginning after December 15, 2024. The Company continues to assess the impact of the new guidance, but does not expect the provisions of ASU 2023-07 will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DIVESTITURES</w:t>
      </w:r>
    </w:p>
    <w:p>
      <w:pPr>
        <w:pStyle w:val="TextBody"/>
        <w:bidi w:val="0"/>
        <w:spacing w:lineRule="auto" w:line="288" w:before="120" w:after="120"/>
        <w:jc w:val="left"/>
        <w:rPr/>
      </w:pPr>
      <w:r>
        <w:rPr>
          <w:rFonts w:ascii="Times New Roman;sans-serif" w:hAnsi="Times New Roman;sans-serif"/>
          <w:b/>
          <w:i/>
          <w:color w:val="000000"/>
          <w:sz w:val="20"/>
        </w:rPr>
        <w:t>Summit Utica Sale.</w:t>
      </w:r>
      <w:r>
        <w:rPr>
          <w:color w:val="000000"/>
        </w:rPr>
        <w:t xml:space="preserve"> </w:t>
      </w:r>
      <w:r>
        <w:rPr>
          <w:rFonts w:ascii="Times New Roman;sans-serif" w:hAnsi="Times New Roman;sans-serif"/>
          <w:b w:val="false"/>
          <w:color w:val="000000"/>
          <w:sz w:val="20"/>
        </w:rPr>
        <w:t xml:space="preserve">On March 22, 2024, the Partnership completed the disposition of Summit Utica, LLC (“Summit Utica”) to a subsidiary of MPLX LP for a cash sale price of $625.0 million, subject to customary post-closing adjustments (the “Utica Sale”).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ended March 31, 2024, the Partnership recognized a total gain on the disposition of Summit Utica of $212.5 million based on total cash proceeds received of $625.0 million and net assets sold of $412.5 million. A portion of the cash proceeds was used to reduce amounts outstanding under the ABL Facility and pay the costs and expenses in connection with the Asset Sale Offer (as defined below; see Note 8 - Debt, for additional information) and are subject to final working capital adjustments.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$625.0 million sale price did not discretely list values for OGC, OCC or the Partnership’s midstream assets located in the Utica Shale. Using fair value methods allowed by GAAP, the Partnership derived a preliminary fair value estimate for the disposed assets and then determined the appropriate gain recognition amount for each disposal to include in its unaudited condensed consolidated financial statements. The estimated fair values were determined utilizing a discounted cash flow technique based on estimated revenues, costs, capital expenditures and an appropriate discount rate. Given the unobservable nature of the inputs, the fair value measurement is deemed to use Level 3 inputs. These fair value estimates are preliminary,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change and such changes could be material. Based on these preliminary fair values, the Partnership recognized a gain on the disposition of the Utica midstream business of $85.6 million, which is recorded within gain on sale of business in the Company’s unaudited condensed consolidated statements of operations, and a gain of $126.3 million related to the disposition of Ohio Gathering, which is recorded within gain on sale of Ohio Gathering in the Company’s unaudited condensed consolidated statements of operations. </w:t>
      </w:r>
    </w:p>
    <w:p>
      <w:pPr>
        <w:pStyle w:val="TextBody"/>
        <w:bidi w:val="0"/>
        <w:spacing w:lineRule="auto" w:line="288" w:before="120" w:after="120"/>
        <w:jc w:val="left"/>
        <w:rPr/>
      </w:pPr>
      <w:r>
        <w:rPr>
          <w:rFonts w:ascii="Times New Roman;sans-serif" w:hAnsi="Times New Roman;sans-serif"/>
          <w:b/>
          <w:i/>
          <w:color w:val="000000"/>
          <w:sz w:val="20"/>
        </w:rPr>
        <w:t>Mountaineer Midstream System.</w:t>
      </w:r>
      <w:r>
        <w:rPr>
          <w:color w:val="000000"/>
        </w:rPr>
        <w:t xml:space="preserve"> </w:t>
      </w:r>
      <w:r>
        <w:rPr>
          <w:rFonts w:ascii="Times New Roman;sans-serif" w:hAnsi="Times New Roman;sans-serif"/>
          <w:b w:val="false"/>
          <w:color w:val="000000"/>
          <w:sz w:val="20"/>
        </w:rPr>
        <w:t>On May 1, 2024, the Partnership completed the sale of its Mountaineer Midstream system, to Antero Midstream LLC for a cash sale price of $70.0 million, subject to customary post-closing adjustments (the “Mountaineer Transaction”). Mountaineer Midstream was the owner of midstream assets located in the Marcellus Shale. Prior to closing the Mountaineer Transaction, the Partnership sold related compression assets located in the Marcellus Shale to a compression service provider for cash consideration of approximately $5 million in April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Partnership recognized an impairment of $68.0 million in connection with the Mountaineer Transaction and the sale of compression assets based on their estimated fair value and net assets of approximately $143.0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as of September 30, 2024, expected to be recognized during the remainder of 2024 and over the remaining contract period related to performance obligations that are unsatisfied and are comprised of estimated MVC shortfall payments.</w:t>
      </w:r>
    </w:p>
    <w:tbl>
      <w:tblPr>
        <w:tblW w:w="10205" w:type="dxa"/>
        <w:jc w:val="left"/>
        <w:tblInd w:w="0" w:type="dxa"/>
        <w:tblLayout w:type="fixed"/>
        <w:tblCellMar>
          <w:top w:w="28" w:type="dxa"/>
          <w:left w:w="28" w:type="dxa"/>
          <w:bottom w:w="28" w:type="dxa"/>
          <w:right w:w="28" w:type="dxa"/>
        </w:tblCellMar>
      </w:tblPr>
      <w:tblGrid>
        <w:gridCol w:w="956"/>
        <w:gridCol w:w="840"/>
        <w:gridCol w:w="8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54"/>
        <w:gridCol w:w="490"/>
        <w:gridCol w:w="18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Revenue by category.</w:t>
      </w:r>
      <w:r>
        <w:rPr>
          <w:color w:val="000000"/>
        </w:rPr>
        <w:t> </w:t>
      </w:r>
      <w:r>
        <w:rPr>
          <w:rFonts w:ascii="Times New Roman;sans-serif" w:hAnsi="Times New Roman;sans-serif"/>
          <w:b w:val="false"/>
          <w:color w:val="000000"/>
          <w:sz w:val="20"/>
        </w:rPr>
        <w:t>In the following tables, revenue is disaggregated by geographic area and major products and services. For more detailed information about reportable segments, see Note 16 – Segment Information.</w:t>
      </w:r>
    </w:p>
    <w:tbl>
      <w:tblPr>
        <w:tblW w:w="10205" w:type="dxa"/>
        <w:jc w:val="left"/>
        <w:tblInd w:w="0" w:type="dxa"/>
        <w:tblLayout w:type="fixed"/>
        <w:tblCellMar>
          <w:top w:w="28" w:type="dxa"/>
          <w:left w:w="28" w:type="dxa"/>
          <w:bottom w:w="28" w:type="dxa"/>
          <w:right w:w="28" w:type="dxa"/>
        </w:tblCellMar>
      </w:tblPr>
      <w:tblGrid>
        <w:gridCol w:w="714"/>
        <w:gridCol w:w="627"/>
        <w:gridCol w:w="631"/>
        <w:gridCol w:w="465"/>
        <w:gridCol w:w="1592"/>
        <w:gridCol w:w="240"/>
        <w:gridCol w:w="109"/>
        <w:gridCol w:w="109"/>
        <w:gridCol w:w="109"/>
        <w:gridCol w:w="523"/>
        <w:gridCol w:w="1788"/>
        <w:gridCol w:w="270"/>
        <w:gridCol w:w="109"/>
        <w:gridCol w:w="109"/>
        <w:gridCol w:w="109"/>
        <w:gridCol w:w="238"/>
        <w:gridCol w:w="816"/>
        <w:gridCol w:w="123"/>
        <w:gridCol w:w="109"/>
        <w:gridCol w:w="109"/>
        <w:gridCol w:w="109"/>
        <w:gridCol w:w="211"/>
        <w:gridCol w:w="826"/>
        <w:gridCol w:w="160"/>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48,243 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142,917 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151,211 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145,294 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4"/>
        <w:gridCol w:w="627"/>
        <w:gridCol w:w="631"/>
        <w:gridCol w:w="465"/>
        <w:gridCol w:w="1592"/>
        <w:gridCol w:w="240"/>
        <w:gridCol w:w="109"/>
        <w:gridCol w:w="109"/>
        <w:gridCol w:w="109"/>
        <w:gridCol w:w="523"/>
        <w:gridCol w:w="1788"/>
        <w:gridCol w:w="270"/>
        <w:gridCol w:w="109"/>
        <w:gridCol w:w="109"/>
        <w:gridCol w:w="109"/>
        <w:gridCol w:w="238"/>
        <w:gridCol w:w="816"/>
        <w:gridCol w:w="123"/>
        <w:gridCol w:w="109"/>
        <w:gridCol w:w="109"/>
        <w:gridCol w:w="109"/>
        <w:gridCol w:w="211"/>
        <w:gridCol w:w="826"/>
        <w:gridCol w:w="160"/>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4"/>
        <w:gridCol w:w="627"/>
        <w:gridCol w:w="424"/>
        <w:gridCol w:w="1663"/>
        <w:gridCol w:w="219"/>
        <w:gridCol w:w="109"/>
        <w:gridCol w:w="109"/>
        <w:gridCol w:w="109"/>
        <w:gridCol w:w="476"/>
        <w:gridCol w:w="1865"/>
        <w:gridCol w:w="245"/>
        <w:gridCol w:w="109"/>
        <w:gridCol w:w="109"/>
        <w:gridCol w:w="109"/>
        <w:gridCol w:w="238"/>
        <w:gridCol w:w="815"/>
        <w:gridCol w:w="122"/>
        <w:gridCol w:w="109"/>
        <w:gridCol w:w="109"/>
        <w:gridCol w:w="109"/>
        <w:gridCol w:w="211"/>
        <w:gridCol w:w="826"/>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331,585 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on the Company’s property, plant and equipment follow.</w:t>
      </w:r>
    </w:p>
    <w:tbl>
      <w:tblPr>
        <w:tblW w:w="8142" w:type="dxa"/>
        <w:jc w:val="left"/>
        <w:tblInd w:w="0" w:type="dxa"/>
        <w:tblLayout w:type="fixed"/>
        <w:tblCellMar>
          <w:top w:w="28" w:type="dxa"/>
          <w:left w:w="28" w:type="dxa"/>
          <w:bottom w:w="28" w:type="dxa"/>
          <w:right w:w="28" w:type="dxa"/>
        </w:tblCellMar>
      </w:tblPr>
      <w:tblGrid>
        <w:gridCol w:w="1712"/>
        <w:gridCol w:w="1502"/>
        <w:gridCol w:w="1511"/>
        <w:gridCol w:w="251"/>
        <w:gridCol w:w="1164"/>
        <w:gridCol w:w="130"/>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1,939,969 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2,335,980 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2,053,752 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2,468,607 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1,350,758 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1,698,585 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Company follow.</w:t>
      </w:r>
    </w:p>
    <w:tbl>
      <w:tblPr>
        <w:tblW w:w="7975" w:type="dxa"/>
        <w:jc w:val="left"/>
        <w:tblInd w:w="0" w:type="dxa"/>
        <w:tblLayout w:type="fixed"/>
        <w:tblCellMar>
          <w:top w:w="28" w:type="dxa"/>
          <w:left w:w="28" w:type="dxa"/>
          <w:bottom w:w="28" w:type="dxa"/>
          <w:right w:w="28" w:type="dxa"/>
        </w:tblCellMar>
      </w:tblPr>
      <w:tblGrid>
        <w:gridCol w:w="679"/>
        <w:gridCol w:w="597"/>
        <w:gridCol w:w="599"/>
        <w:gridCol w:w="235"/>
        <w:gridCol w:w="803"/>
        <w:gridCol w:w="121"/>
        <w:gridCol w:w="121"/>
        <w:gridCol w:w="121"/>
        <w:gridCol w:w="121"/>
        <w:gridCol w:w="235"/>
        <w:gridCol w:w="803"/>
        <w:gridCol w:w="121"/>
        <w:gridCol w:w="109"/>
        <w:gridCol w:w="109"/>
        <w:gridCol w:w="109"/>
        <w:gridCol w:w="231"/>
        <w:gridCol w:w="790"/>
        <w:gridCol w:w="119"/>
        <w:gridCol w:w="117"/>
        <w:gridCol w:w="117"/>
        <w:gridCol w:w="117"/>
        <w:gridCol w:w="227"/>
        <w:gridCol w:w="776"/>
        <w:gridCol w:w="117"/>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has an equity method investment in Double E, the balance of which is included in the Investment in equity method investees caption on the unaudited condensed consolidated balance sheets. On March 22, 2024, in connection with the Utica Sale, the Company sold its investment in Ohio Gathering and recognized an estimated $126.3 million gain, which is recorded within Gain on sale of Ohio Gathering within the unaudited condensed consolidated statements of operations. See Note 3 - Divestitures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Company’s equity method investments follow.</w:t>
      </w:r>
    </w:p>
    <w:tbl>
      <w:tblPr>
        <w:tblW w:w="4795" w:type="dxa"/>
        <w:jc w:val="left"/>
        <w:tblInd w:w="0" w:type="dxa"/>
        <w:tblLayout w:type="fixed"/>
        <w:tblCellMar>
          <w:top w:w="28" w:type="dxa"/>
          <w:left w:w="28" w:type="dxa"/>
          <w:bottom w:w="28" w:type="dxa"/>
          <w:right w:w="28" w:type="dxa"/>
        </w:tblCellMar>
      </w:tblPr>
      <w:tblGrid>
        <w:gridCol w:w="499"/>
        <w:gridCol w:w="437"/>
        <w:gridCol w:w="443"/>
        <w:gridCol w:w="284"/>
        <w:gridCol w:w="1114"/>
        <w:gridCol w:w="147"/>
        <w:gridCol w:w="109"/>
        <w:gridCol w:w="109"/>
        <w:gridCol w:w="109"/>
        <w:gridCol w:w="273"/>
        <w:gridCol w:w="1072"/>
        <w:gridCol w:w="199"/>
      </w:tblGrid>
      <w:tr>
        <w:trPr/>
        <w:tc>
          <w:tcPr>
            <w:tcW w:w="4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486,434 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September 30, 2024 and December 31, 2023 are primarily related to contributions in aid of construction which will be recognized as revenue over the life of the contract. An update of current deferred revenue follows.</w:t>
      </w:r>
    </w:p>
    <w:tbl>
      <w:tblPr>
        <w:tblW w:w="5219" w:type="dxa"/>
        <w:jc w:val="left"/>
        <w:tblInd w:w="0" w:type="dxa"/>
        <w:tblLayout w:type="fixed"/>
        <w:tblCellMar>
          <w:top w:w="28" w:type="dxa"/>
          <w:left w:w="28" w:type="dxa"/>
          <w:bottom w:w="28" w:type="dxa"/>
          <w:right w:w="28" w:type="dxa"/>
        </w:tblCellMar>
      </w:tblPr>
      <w:tblGrid>
        <w:gridCol w:w="1458"/>
        <w:gridCol w:w="1285"/>
        <w:gridCol w:w="1291"/>
        <w:gridCol w:w="230"/>
        <w:gridCol w:w="787"/>
        <w:gridCol w:w="168"/>
      </w:tblGrid>
      <w:tr>
        <w:trPr/>
        <w:tc>
          <w:tcPr>
            <w:tcW w:w="145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2023</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September 30,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noncurrent deferred revenue follows.</w:t>
      </w:r>
    </w:p>
    <w:tbl>
      <w:tblPr>
        <w:tblW w:w="6030" w:type="dxa"/>
        <w:jc w:val="left"/>
        <w:tblInd w:w="0" w:type="dxa"/>
        <w:tblLayout w:type="fixed"/>
        <w:tblCellMar>
          <w:top w:w="28" w:type="dxa"/>
          <w:left w:w="28" w:type="dxa"/>
          <w:bottom w:w="28" w:type="dxa"/>
          <w:right w:w="28" w:type="dxa"/>
        </w:tblCellMar>
      </w:tblPr>
      <w:tblGrid>
        <w:gridCol w:w="1755"/>
        <w:gridCol w:w="1543"/>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2023</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September 30,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for the Company at September 30, 2024 and December 31, 2023, follows:</w:t>
      </w:r>
    </w:p>
    <w:tbl>
      <w:tblPr>
        <w:tblW w:w="10205" w:type="dxa"/>
        <w:jc w:val="left"/>
        <w:tblInd w:w="0" w:type="dxa"/>
        <w:tblLayout w:type="fixed"/>
        <w:tblCellMar>
          <w:top w:w="28" w:type="dxa"/>
          <w:left w:w="28" w:type="dxa"/>
          <w:bottom w:w="28" w:type="dxa"/>
          <w:right w:w="28" w:type="dxa"/>
        </w:tblCellMar>
      </w:tblPr>
      <w:tblGrid>
        <w:gridCol w:w="2632"/>
        <w:gridCol w:w="2181"/>
        <w:gridCol w:w="2196"/>
        <w:gridCol w:w="257"/>
        <w:gridCol w:w="1007"/>
        <w:gridCol w:w="133"/>
        <w:gridCol w:w="109"/>
        <w:gridCol w:w="109"/>
        <w:gridCol w:w="109"/>
        <w:gridCol w:w="231"/>
        <w:gridCol w:w="1070"/>
        <w:gridCol w:w="171"/>
      </w:tblGrid>
      <w:tr>
        <w:trPr/>
        <w:tc>
          <w:tcPr>
            <w:tcW w:w="263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Amended and Restated ABL Facility</w:t>
            </w:r>
            <w:r>
              <w:rPr>
                <w:rFonts w:ascii="Times New Roman;sans-serif" w:hAnsi="Times New Roman;sans-serif"/>
                <w:b w:val="false"/>
                <w:color w:val="000000"/>
                <w:sz w:val="20"/>
              </w:rPr>
              <w:t>: Summit Holdings’ asset based credit facility due July 2029</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Permian Transmission Term Loan</w:t>
            </w:r>
            <w:r>
              <w:rPr>
                <w:rFonts w:ascii="Times New Roman;sans-serif" w:hAnsi="Times New Roman;sans-serif"/>
                <w:b w:val="false"/>
                <w:color w:val="000000"/>
                <w:sz w:val="20"/>
              </w:rPr>
              <w:t>: Summit Permian Transmission’s variable rate senior secured term loan due January 2028</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2029 Secured Notes</w:t>
            </w:r>
            <w:r>
              <w:rPr>
                <w:rFonts w:ascii="Times New Roman;sans-serif" w:hAnsi="Times New Roman;sans-serif"/>
                <w:b w:val="false"/>
                <w:color w:val="000000"/>
                <w:sz w:val="20"/>
              </w:rPr>
              <w:t>: 8.625% senior secured second lien notes due October 2029</w:t>
            </w:r>
            <w:r>
              <w:rPr>
                <w:color w:val="000000"/>
              </w:rPr>
              <w:t xml:space="preserve"> </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Unsecured Notes</w:t>
            </w:r>
            <w:r>
              <w:rPr>
                <w:rFonts w:ascii="Times New Roman;sans-serif" w:hAnsi="Times New Roman;sans-serif"/>
                <w:b w:val="false"/>
                <w:color w:val="000000"/>
                <w:sz w:val="20"/>
              </w:rPr>
              <w:t>: 12.00% senior unsecured notes due October 2026</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2025 Senior Notes</w:t>
            </w:r>
            <w:r>
              <w:rPr>
                <w:rFonts w:ascii="Times New Roman;sans-serif" w:hAnsi="Times New Roman;sans-serif"/>
                <w:b w:val="false"/>
                <w:color w:val="000000"/>
                <w:sz w:val="20"/>
              </w:rPr>
              <w:t>: 5.75% senior unsecured notes due April 2025</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Secured Notes</w:t>
            </w:r>
            <w:r>
              <w:rPr>
                <w:rFonts w:ascii="Times New Roman;sans-serif" w:hAnsi="Times New Roman;sans-serif"/>
                <w:b w:val="false"/>
                <w:color w:val="000000"/>
                <w:sz w:val="20"/>
              </w:rPr>
              <w:t>: 8.50% senior second lien notes due October 2026</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debt issuance costs </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unamortized debt discount and debt issuance costs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1,470,690 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Permian Transmission Term Loan and 2026 Secured Notes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826,453 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1,455,166 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ABL Facility.</w:t>
      </w:r>
      <w:r>
        <w:rPr>
          <w:color w:val="000000"/>
        </w:rPr>
        <w:t xml:space="preserve"> </w:t>
      </w:r>
      <w:r>
        <w:rPr>
          <w:rFonts w:ascii="Times New Roman;sans-serif" w:hAnsi="Times New Roman;sans-serif"/>
          <w:b w:val="false"/>
          <w:color w:val="000000"/>
          <w:sz w:val="20"/>
        </w:rPr>
        <w:t xml:space="preserve">Concurrently with the issuance of the 2029 Secured Notes, as discussed below, on July 26, 2024, Summit Holdings, as borrower, amended and restated its existing first-lien, senior secured credit agreement, with the Partnership, the subsidiaries party thereto, Bank of America, N.A., as agent, and the several lenders and other agents party thereto, consisting of a $500.0 million asset-based revolving credit facility (the “Amended and Restated ABL Facility”), subject to a borrowing base comprised of a percentage of eligible accounts receivable of Summit Holdings and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 As of September 30, 2024, the most recent borrowing base determination of eligible assets totaled $538.8 million, an amount greater than the $500.0 million of aggregate lending commitments.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amended and restated its existing ABL Facility pursuant to that certain Amended and Restated Loan and Security Agreement (the “Amended and Restated ABL Agreement”), dated as of July 26,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(c) any date on which the aggregate Commitments terminate thereunder (such date, the “Amended and Restated ABL Termination Date”). As of September 30, 2024, the Amended and Restated ABL Facility will mature on July 26, 2029.</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Amended and Restated ABL Facility will bear interest, at the election of Summit Holdings, at a SOFR-based rate or a base rate, in each case, plus an applicable borrowing margin based on our Total Net Leverage Ratio (as defined in the Amended and Restated ABL Agreement consistent with the Amended and Restated ABL Facility). The applicable margin for base rate loans will vary from 1.50% to 2.25% and the applicable margin for SOFR-based loans will vary from 2.50% to 3.25%, in each case, depending on our Total Net Leverage Ratio.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(together with certain Secured Bank Product Obligations (as defined in the Amended and Restated ABL Agreement)) will be jointly and severally guaranteed, on a senior first-priority secured basis (subject to permitted liens), by the Partnership, Summit Holdings and each of the Amended and Restated ABL Facility Subsidiary Guarantors.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restricts, among other things, Summit Holdings’ and its Restricted Subsidiaries’ (as defined in the Amended and Restated ABL Agreement) ability and the ability of certain of their subsidiaries to: (i)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requires that Summit Holdings not permit (i) the First Lien Net Leverage Ratio (as defined in the Amended and Restated ABL Agreement) as of the last day of any fiscal quarter to be greater than 2.50:1.00, or (ii) the Interest Coverage Ratio (as defined in the Amended and Restated ABL Agreement) as of the last day of any fiscal quarter to be less than 2.00:1.00. As of September 30, 2024, the First Lien Net Leverage Ratio was 0.84:1.00 and the Interest Coverage Ratio was 2.42:1.00. As of September 30, 2024, the Company was in compliance with the financial covenants of the Amended and Restated ABL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Amended and Restated ABL Agreement) will become due and payable immediately without further action or notice and all commitments under the Amended and Restated ABL Facility will terminate.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ABL Agreement, the Obligations (as defined in the Amended and Restated ABL Agreement) are generally secured by a first priority lien on and security interest in (subject to permitted liens), subject to certain exclusions and limitations set forth in the Amended and Restated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the Partnership, (iii) Closing Date Gathering Station Real Property and Closing Date Pipeline Systems Real Property (each, as defined in the Amended and Restated ABL Agreement) and certain other material real property interests (including improvements thereon) of Summit Holdings and the Amended and Restated ABL Facility Subsidiary Guarantors as provided in the Amended and Restated ABL Agreement and (iv) all proceeds of the foregoing collateral.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applicable margin under the adjusted SOFR borrowings was 2.750%, the interest rate was 7.70%, and the total available borrowing capacity totaled $349.2 million, after giving effect to the issuance of $0.8 million in outstanding but undrawn irrevocable standby letters of credit.</w:t>
      </w:r>
    </w:p>
    <w:p>
      <w:pPr>
        <w:pStyle w:val="TextBody"/>
        <w:bidi w:val="0"/>
        <w:spacing w:lineRule="auto" w:line="288" w:before="120" w:after="283"/>
        <w:jc w:val="left"/>
        <w:rPr/>
      </w:pPr>
      <w:r>
        <w:rPr>
          <w:rFonts w:ascii="Times New Roman;sans-serif" w:hAnsi="Times New Roman;sans-serif"/>
          <w:b/>
          <w:i/>
          <w:color w:val="000000"/>
          <w:sz w:val="20"/>
        </w:rPr>
        <w:t>Intercreditor Agreement.</w:t>
      </w:r>
      <w:r>
        <w:rPr>
          <w:color w:val="000000"/>
        </w:rPr>
        <w:t xml:space="preserve"> </w:t>
      </w:r>
      <w:r>
        <w:rPr>
          <w:rFonts w:ascii="Times New Roman;sans-serif" w:hAnsi="Times New Roman;sans-serif"/>
          <w:b w:val="false"/>
          <w:color w:val="000000"/>
          <w:sz w:val="20"/>
        </w:rPr>
        <w:t>On November 2, 2021, Summit Holdings and the other guarantors party thereto entered into an Intercreditor Agreement (as amended, restated, supplemented or otherwise modified, the “Intercreditor Agreement”) with Bank of America, N.A., as first lien representative and collateral agent for the initial first lien claimholders, and Regions Bank, as initial second lien representative for the initial second lien claimholders and collateral agent for the initial second lien claimholders, which was reaffirmed by Bank of America, N.A., in connection with its entry into the Amended and Restated ABL Facility, and which Regions Bank joined as an additional second lien representative for the additional second lien claimholders and additional second lien collateral agent for the additional second lien claimholders, in each case, substantially concurrently with the entry into the Amended and Restated ABL Facility. The Intercreditor Agreement establishes (i) a first-priority lien (subject to permitted liens) status for the liens on the collateral securing the ABL Facility (and will apply to the Amended and Restated ABL Facility) and any additional first-lien indebtedness and (ii) a junior priority lien (subject to permitted liens) status for the liens on the collateral securing the 2029 Secured Notes.</w:t>
      </w:r>
    </w:p>
    <w:p>
      <w:pPr>
        <w:pStyle w:val="TextBody"/>
        <w:bidi w:val="0"/>
        <w:spacing w:lineRule="auto" w:line="288" w:before="120" w:after="283"/>
        <w:jc w:val="left"/>
        <w:rPr/>
      </w:pPr>
      <w:r>
        <w:rPr>
          <w:rFonts w:ascii="Times New Roman;sans-serif" w:hAnsi="Times New Roman;sans-serif"/>
          <w:b/>
          <w:i/>
          <w:color w:val="000000"/>
          <w:sz w:val="20"/>
        </w:rPr>
        <w:t>Permian Transmission Credit Facilities.</w:t>
      </w:r>
      <w:r>
        <w:rPr>
          <w:color w:val="000000"/>
        </w:rPr>
        <w:t xml:space="preserve"> </w:t>
      </w:r>
      <w:r>
        <w:rPr>
          <w:rFonts w:ascii="Times New Roman;sans-serif" w:hAnsi="Times New Roman;sans-serif"/>
          <w:b w:val="false"/>
          <w:color w:val="000000"/>
          <w:sz w:val="20"/>
        </w:rPr>
        <w:t>On March 8, 2021, the Partnership’s unrestricted subsidiary, Summit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applicable margin under adjusted term SOFR borrowings was 2.475%, the average interest rate was 7.79% and the unused portion of the Permian Transmission Credit Facilities totaled $4.5 million, subject to a commitment fee of 0.7% after giving effect to the issuance of $10.5 million in outstanding but undrawn irrevocable standby letters of credit. Summit Permian Transmission entered into interest rate hedges with notional amounts representing approximately 90% of the Permian Term Loan Facility at a fixed SOFR rate of 1.23%. As of September 30, 2024, the Company was in compliance with the financial covenants of the Permian Transmission Credit Facilities. </w:t>
      </w:r>
    </w:p>
    <w:p>
      <w:pPr>
        <w:pStyle w:val="TextBody"/>
        <w:bidi w:val="0"/>
        <w:spacing w:lineRule="auto" w:line="288" w:before="120" w:after="283"/>
        <w:jc w:val="left"/>
        <w:rPr/>
      </w:pPr>
      <w:r>
        <w:rPr>
          <w:rFonts w:ascii="Times New Roman;sans-serif" w:hAnsi="Times New Roman;sans-serif"/>
          <w:b/>
          <w:i/>
          <w:color w:val="000000"/>
          <w:sz w:val="20"/>
        </w:rPr>
        <w:t xml:space="preserve">Permian Transmission Term Loan. </w:t>
      </w:r>
      <w:r>
        <w:rPr>
          <w:rFonts w:ascii="Times New Roman;sans-serif" w:hAnsi="Times New Roman;sans-serif"/>
          <w:b w:val="false"/>
          <w:color w:val="000000"/>
          <w:sz w:val="20"/>
        </w:rPr>
        <w:t xml:space="preserve">In accordance with the terms of the Permian Transmission Credit Facilities, in January 2022, the Permian Term Loan Facility was converted into a Term Loan (the “Permian Transmission Term Loan”). The Permian Transmission Term Loan is due January 2028. As of September 30, 2024, the applicable margin under adjusted term SOFR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was 2.475% and the average interest rate was 7.79%. As of September 30, 2024, the Company was in compliance with the financial covenants of the Permian Transmission Term Loan.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Permian Transmission Term Loan, Summit Permian Transmission is required to make mandatory principal repayments. Below is a summary of the remaining mandatory principal repayments as of September 30, 2024: </w:t>
      </w:r>
    </w:p>
    <w:tbl>
      <w:tblPr>
        <w:tblW w:w="10205" w:type="dxa"/>
        <w:jc w:val="left"/>
        <w:tblInd w:w="0" w:type="dxa"/>
        <w:tblLayout w:type="fixed"/>
        <w:tblCellMar>
          <w:top w:w="28" w:type="dxa"/>
          <w:left w:w="28" w:type="dxa"/>
          <w:bottom w:w="28" w:type="dxa"/>
          <w:right w:w="28" w:type="dxa"/>
        </w:tblCellMar>
      </w:tblPr>
      <w:tblGrid>
        <w:gridCol w:w="744"/>
        <w:gridCol w:w="609"/>
        <w:gridCol w:w="598"/>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7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color w:val="000000"/>
          <w:sz w:val="20"/>
        </w:rPr>
        <w:t xml:space="preserve">2029 Secured Notes. </w:t>
      </w:r>
      <w:r>
        <w:rPr>
          <w:rFonts w:ascii="Times New Roman;sans-serif" w:hAnsi="Times New Roman;sans-serif"/>
          <w:b w:val="false"/>
          <w:color w:val="000000"/>
          <w:sz w:val="20"/>
        </w:rPr>
        <w:t xml:space="preserve">On July 26, 2024, Summit Holdings issued $575.0 million aggregate principal amount of 8.625% Senior Secured Second Lien Notes due 2029 (the “2029 Secured Notes”).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The 2029 Secured Notes mature on October 31, 2029 and have interest payable semi-annually in arrears on each February 15 and August 15, commencing on February 15, 2025.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July 31, 2026, Summit Holdings may on any one or more occasions redeem up to 40% of the aggregate principal amount of the 2029 Secured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Secured Notes, in whole or in part, at a price equal to 100% of their principal amount, plus a make-whole premium, together with accrued and unpaid interest to, but not including, the redemption date. Thereafter, Summit Holdings may redeem all or a portion of the 2029 Secured Notes in whole at any time or in part from time to time at the following redemption prices (expressed as percentages of the principal amount) plus accrued and unpaid interest if redeemed during the periods indicated below:</w:t>
      </w:r>
    </w:p>
    <w:tbl>
      <w:tblPr>
        <w:tblW w:w="473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13"/>
        <w:gridCol w:w="413"/>
        <w:gridCol w:w="9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25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2026 to July 30, 2027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104.313 </w:t>
            </w:r>
          </w:p>
        </w:tc>
        <w:tc>
          <w:tcPr>
            <w:tcW w:w="9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2027 to July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102.156 </w:t>
            </w:r>
          </w:p>
        </w:tc>
        <w:tc>
          <w:tcPr>
            <w:tcW w:w="9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2028 and 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98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was in compliance with the financial covenants of the 2029 Secured Notes.</w:t>
      </w:r>
    </w:p>
    <w:p>
      <w:pPr>
        <w:pStyle w:val="TextBody"/>
        <w:bidi w:val="0"/>
        <w:spacing w:lineRule="auto" w:line="288" w:before="120" w:after="283"/>
        <w:jc w:val="left"/>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 xml:space="preserve">In 2021, the Co-Issuers issued $700.0 million of 8.500% Senior Secured Second Lien Notes due 2026 to eligible purchasers pursuant to Rule 144A and Regulation S of the Securities Act, at a price of 98.5% of their face value. Additionally, in November 2022, in connection with the 2022 DJ Acquisitions, the Co-Issuers issued an additional $85.0 million of 2026 Secured Notes at a price of 99.26% of their face value. The Company paid interest on the 2026 Secured Notes semi-annually on April 15 and October 15 of each year. </w:t>
      </w:r>
    </w:p>
    <w:p>
      <w:pPr>
        <w:pStyle w:val="TextBody"/>
        <w:bidi w:val="0"/>
        <w:spacing w:lineRule="auto" w:line="288" w:before="120" w:after="283"/>
        <w:jc w:val="left"/>
        <w:rPr/>
      </w:pPr>
      <w:r>
        <w:rPr>
          <w:rFonts w:ascii="Times New Roman;sans-serif" w:hAnsi="Times New Roman;sans-serif"/>
          <w:b w:val="false"/>
          <w:i/>
          <w:color w:val="000000"/>
          <w:sz w:val="20"/>
        </w:rPr>
        <w:t xml:space="preserve">2026 Secured Notes Tender Offers and Redemption. </w:t>
      </w:r>
      <w:r>
        <w:rPr>
          <w:rFonts w:ascii="Times New Roman;sans-serif" w:hAnsi="Times New Roman;sans-serif"/>
          <w:b w:val="false"/>
          <w:color w:val="000000"/>
          <w:sz w:val="20"/>
        </w:rPr>
        <w:t>On March 27, 2024, the Co-Issuers commenced a cash tender offer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 up to $19.3 million of the outstanding 2026 Secured Notes (the “Excess Cash Flow Offer”). The Excess Cash Flow</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Offer expired on April 24, 2024 with $13.6 million of the 2026 Secured Notes tendered and validly accepted and fully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7, 2024, the Co-Issuers commenced a cash tender offer to purchase up to $215.0 million of the outstanding 2026 Secured Notes (the “Asset Sale Offer”). The Asset Sale Offer expired on June 5, 2024 with $6.9 million of the 2026 Secured Notes tendered and validly accepted and fully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2024, concurrently with closing the offering of 2029 Secured Notes, the Co-Issuers consummated a cash tender offer to purchase any and all of the outstanding 2026 Secured Notes (the “2026 Secured Notes Tender Offer”). The Co-Issuers accepted for payment and made payment for $649.8 million aggregate principal amount of the 2026 Secured Notes validly tendered in the 2026 Secured Notes Tender Offer. On July 26, 2024, concurrently with consummation of the 2026 Secured Notes Tender Offer, the Co-Issuers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was October 15, 2024). On July 26, 2024, concurrently with delivery of the notice of redemption, the Co-Issuers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 however as of September 30, 2024, $114.7 million aggregate principal amount of 2026 Secured Notes remained outstanding and classified under current portion of long term debt on the unaudited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 xml:space="preserve">2026 Unsecured Notes. </w:t>
      </w:r>
      <w:r>
        <w:rPr>
          <w:rFonts w:ascii="Times New Roman;sans-serif" w:hAnsi="Times New Roman;sans-serif"/>
          <w:b w:val="false"/>
          <w:color w:val="000000"/>
          <w:sz w:val="20"/>
        </w:rPr>
        <w:t xml:space="preserve">In November 2023, the Co-Issuers issued a total of $209.5 million aggregate principal amount of 2026 Unsecured Notes in exchange for $180.0 million aggregate principal amount of the 2025 Senior Notes and $29.5 million in cash. The cash raised was used to repurchase $29.7 million aggregate principal amount of the remaining 2025 Senior Notes that were not exchanged. The Partnership paid interest on the 2026 Unsecured Notes semi-annually in cash in arrears on April 15 and October 15 of each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7, 2024, the Co-Issuers delivered a redemption notice with respect to all $209.5 million of the outstanding 2026 Unsecured Notes. On June 24, 2024, the 2026 Unsecured Notes were fully repaid and discharged. As of September 30, 2024, no amounts of the 2026 Unsecured Notes remained outstanding. </w:t>
      </w:r>
    </w:p>
    <w:p>
      <w:pPr>
        <w:pStyle w:val="TextBody"/>
        <w:bidi w:val="0"/>
        <w:spacing w:lineRule="auto" w:line="288" w:before="120" w:after="283"/>
        <w:jc w:val="left"/>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the Co-Issuers issued the 2025 Senior Notes. The Partnership paid interest on the 2025 Senior Notes semi-annually in cash in arrears on April 15 and October 15 of each year. The 2025 Senior Notes were senior, unsecured obligations and ranked equally in right of payment with all of the Partnership’s existing and future senior obligations. The 2025 Senior Notes were effectively subordinated to all of the Partnership’s secured indebtedness, to the extent of the collateral securing such indebtedness including indebtedness incurred under the ABL Facility and the 2026 Secured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Co-Issuers had the right to redeem all or part of the 2025 Senior Notes at a redemption price of 100.00%, plus accrued and unpaid interest, if any, to, but not including the redemption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Partnership exchanged $180.0 million aggregate principal amount of the 2025 Senior Notes and repurchased $29.7 million aggregate principal amount of the remaining 2025 Senior Notes that were not exchanged.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2024, the Co-Issuers delivered a conditional notice of redemption to holders of 2025 Senior Notes for the redemption of all $49.8 million aggregate principal amount of outstanding 2025 Senior Notes, at a price equal to 100.000% of the principal amount thereof, plus accrued and unpaid interest to the redemption date, which was conditioned on the closing of the offering of 2029 Secured Notes. On July 26, 2024, concurrently with the closing of the offering of 2029 Secured Notes, the Co-Issuers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 August 16, 2024, the 2025 Senior Notes were fully repaid, and as of September 30, 2024, no amounts of the 2025 Senior Notes remained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FINANCIAL INSTRUMENTS</w:t>
      </w:r>
    </w:p>
    <w:p>
      <w:pPr>
        <w:pStyle w:val="TextBody"/>
        <w:bidi w:val="0"/>
        <w:spacing w:lineRule="auto" w:line="288" w:before="120" w:after="283"/>
        <w:jc w:val="left"/>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A summary of the estimated fair value of our debt financial instruments follows.</w:t>
      </w:r>
    </w:p>
    <w:tbl>
      <w:tblPr>
        <w:tblW w:w="7560" w:type="dxa"/>
        <w:jc w:val="left"/>
        <w:tblInd w:w="0" w:type="dxa"/>
        <w:tblLayout w:type="fixed"/>
        <w:tblCellMar>
          <w:top w:w="28" w:type="dxa"/>
          <w:left w:w="28" w:type="dxa"/>
          <w:bottom w:w="28" w:type="dxa"/>
          <w:right w:w="28" w:type="dxa"/>
        </w:tblCellMar>
      </w:tblPr>
      <w:tblGrid>
        <w:gridCol w:w="706"/>
        <w:gridCol w:w="619"/>
        <w:gridCol w:w="62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2026 Secured Notes </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Secured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Excludes applicable unamortized debt issuance costs and debt discounts.</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Estimated fair value of the 2026 Secured Notes equaled carrying value as of September, 30, 2024, as notes were satisfied and discharged on July 26,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on the balance sheets of the Amended and Restated ABL Facility and the Permian Transmission Term Loan represent their fair value due to their floating interest rates. The fair values of the 2029 Secured Notes, 2026 Unsecured Notes, 2026 Secured Notes and 2025 Senior Notes are based on an average of nonbinding broker quotes as of September 30, 2024 and December 31, 2023. The use of different market assumptions or valuation methodologies may have a material effect on their estimated fair value.</w:t>
      </w:r>
    </w:p>
    <w:p>
      <w:pPr>
        <w:pStyle w:val="TextBody"/>
        <w:bidi w:val="0"/>
        <w:spacing w:lineRule="auto" w:line="288" w:before="120" w:after="283"/>
        <w:jc w:val="left"/>
        <w:rPr/>
      </w:pPr>
      <w:r>
        <w:rPr>
          <w:rFonts w:ascii="Times New Roman;sans-serif" w:hAnsi="Times New Roman;sans-serif"/>
          <w:b/>
          <w:i/>
          <w:color w:val="000000"/>
          <w:sz w:val="20"/>
        </w:rPr>
        <w:t>Deferred earn-out.</w:t>
      </w:r>
      <w:r>
        <w:rPr>
          <w:color w:val="000000"/>
        </w:rPr>
        <w:t xml:space="preserve"> </w:t>
      </w:r>
      <w:r>
        <w:rPr>
          <w:rFonts w:ascii="Times New Roman;sans-serif" w:hAnsi="Times New Roman;sans-serif"/>
          <w:b w:val="false"/>
          <w:color w:val="000000"/>
          <w:sz w:val="20"/>
        </w:rPr>
        <w:t>The Company’s deferred earn-out liability was settled in full during the quarterly period ended June 30, 2024. As of December 31, 2023, the estimated fair value of the deferred earn-out liability was $5.1 million, and was estimated using a discounted cash flow technique based on estimated future freshwater deliveries and appropriate discount rates. Given the unobservable nature of the inputs, the fair value measurement of the deferred earn-out is deemed to use Level 3 inputs.</w:t>
      </w:r>
    </w:p>
    <w:p>
      <w:pPr>
        <w:pStyle w:val="TextBody"/>
        <w:bidi w:val="0"/>
        <w:spacing w:lineRule="auto" w:line="288" w:before="120" w:after="283"/>
        <w:jc w:val="left"/>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 xml:space="preserve">In connection with the Permian Transmission Term Loan, the Partnership entered into amortizing interest rate swap agreements. As of September 30, 2024 and December 31, 2023, the outstanding notional amounts of interest rate swaps were $120.0 million and $130.4 million, respectively. These interest rate swaps manage exposure to variability in expected cash flows attributable to interest rate risk. Interest rate swaps convert a portion of the Company’s variable rate debt to fixed rate debt. The Company chooses counterparties for its derivative instruments that it believes are creditworthy at the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transactions are entered into, and the Company actively monitors the creditworthiness where applicable. However, there can be no assurance that a counterparty will be able to meet its obligations to the Company. The Company presents its derivative positions on a gross basis and does not net the asset and liability positions.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the Company’s interest rate swap agreements had a fair value of $8.9 million and $11.9 million, respectively, and are recorded within other noncurrent assets within the unaudited condensed consolidated balance sheets. The derivative instruments’ fair value are determined using level 2 inputs from the fair value hierarchy.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2024 and September 30, 2023, the Company recorded a loss on interest rate swaps of $2.6 million and a gain on interest rate swaps of $2.9 million,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and September 30, 2023, the Company recorded a gain on interest rate swaps of $0.9 million and $4.9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AND MEZZANINE EQUITY</w:t>
      </w:r>
    </w:p>
    <w:p>
      <w:pPr>
        <w:pStyle w:val="TextBody"/>
        <w:bidi w:val="0"/>
        <w:spacing w:lineRule="auto" w:line="288" w:before="120" w:after="283"/>
        <w:jc w:val="left"/>
        <w:rPr/>
      </w:pPr>
      <w:r>
        <w:rPr>
          <w:rFonts w:ascii="Times New Roman;sans-serif" w:hAnsi="Times New Roman;sans-serif"/>
          <w:b/>
          <w:i/>
          <w:color w:val="000000"/>
          <w:sz w:val="20"/>
        </w:rPr>
        <w:t>Common Stock.</w:t>
      </w:r>
      <w:r>
        <w:rPr>
          <w:color w:val="000000"/>
        </w:rPr>
        <w:t> </w:t>
      </w:r>
      <w:r>
        <w:rPr>
          <w:rFonts w:ascii="Times New Roman;sans-serif" w:hAnsi="Times New Roman;sans-serif"/>
          <w:b w:val="false"/>
          <w:color w:val="000000"/>
          <w:sz w:val="20"/>
        </w:rPr>
        <w:t>Upon the consummation of the Corporate Reorganization, each outstanding common unit of the Partnership was converted into the right to receive 1.000 shares of common stock of Summit Midstream Corporation. An update on the number of shares of common stock is as follows for the period from December 31, 2023 to September 30, 2024:</w:t>
      </w:r>
    </w:p>
    <w:tbl>
      <w:tblPr>
        <w:tblW w:w="7352" w:type="dxa"/>
        <w:jc w:val="left"/>
        <w:tblInd w:w="0" w:type="dxa"/>
        <w:tblLayout w:type="fixed"/>
        <w:tblCellMar>
          <w:top w:w="28" w:type="dxa"/>
          <w:left w:w="28" w:type="dxa"/>
          <w:bottom w:w="28" w:type="dxa"/>
          <w:right w:w="28" w:type="dxa"/>
        </w:tblCellMar>
      </w:tblPr>
      <w:tblGrid>
        <w:gridCol w:w="1262"/>
        <w:gridCol w:w="1111"/>
        <w:gridCol w:w="1122"/>
        <w:gridCol w:w="576"/>
        <w:gridCol w:w="579"/>
        <w:gridCol w:w="396"/>
        <w:gridCol w:w="109"/>
        <w:gridCol w:w="109"/>
        <w:gridCol w:w="109"/>
        <w:gridCol w:w="578"/>
        <w:gridCol w:w="578"/>
        <w:gridCol w:w="823"/>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of Common Stock</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2023</w:t>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10,376,189 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(10,648,685)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10,648,685 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September 30, 2024</w:t>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10,648,685 </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Series A Preferred Stock.</w:t>
      </w:r>
      <w:r>
        <w:rPr>
          <w:color w:val="000000"/>
        </w:rPr>
        <w:t xml:space="preserve"> </w:t>
      </w:r>
      <w:r>
        <w:rPr>
          <w:rFonts w:ascii="Times New Roman;sans-serif" w:hAnsi="Times New Roman;sans-serif"/>
          <w:b w:val="false"/>
          <w:color w:val="000000"/>
          <w:sz w:val="20"/>
        </w:rPr>
        <w:t xml:space="preserve">Upon the consummation of the Corporate Reorganization, each outstanding Series A Preferred Unit was converted into the right to receive 1.000 shares of Series A Preferred Stock of Summit Midstream Corporation, with the liquidation preference of each share of Series A Preferred Stock initially equal to $1,000 and the Certificate of Designation of Series A Floating Rate Cumulative Redeemable Perpetual Preferred Stock of Summit Midstream Corporation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 As of September 30, 2024, the Company had 65,508 shares of Series A Preferred Stock outstanding and $43.0 million of accrued and unpaid distributions on its Series A Preferred Stock.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on the number of shares of Series A Preferred Stock is as follows for the period from December 31, 2023 to September 30, 2024:</w:t>
      </w:r>
    </w:p>
    <w:tbl>
      <w:tblPr>
        <w:tblW w:w="6566" w:type="dxa"/>
        <w:jc w:val="left"/>
        <w:tblInd w:w="0" w:type="dxa"/>
        <w:tblLayout w:type="fixed"/>
        <w:tblCellMar>
          <w:top w:w="28" w:type="dxa"/>
          <w:left w:w="28" w:type="dxa"/>
          <w:bottom w:w="28" w:type="dxa"/>
          <w:right w:w="28" w:type="dxa"/>
        </w:tblCellMar>
      </w:tblPr>
      <w:tblGrid>
        <w:gridCol w:w="883"/>
        <w:gridCol w:w="777"/>
        <w:gridCol w:w="785"/>
        <w:gridCol w:w="619"/>
        <w:gridCol w:w="619"/>
        <w:gridCol w:w="621"/>
        <w:gridCol w:w="109"/>
        <w:gridCol w:w="109"/>
        <w:gridCol w:w="109"/>
        <w:gridCol w:w="565"/>
        <w:gridCol w:w="565"/>
        <w:gridCol w:w="805"/>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2023</w:t>
            </w:r>
          </w:p>
        </w:tc>
        <w:tc>
          <w:tcPr>
            <w:tcW w:w="12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65,508 </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September 30, 2024</w:t>
            </w:r>
          </w:p>
        </w:tc>
        <w:tc>
          <w:tcPr>
            <w:tcW w:w="12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65,508 </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The Company records its Subsidiary Series A Preferred Units at fair value upon issuance, net of issuance costs, and subsequently records an effective interest method accretion amount each reporting period to accrete the carrying value to a most probable redemption value that is based on a predetermined internal rate of return measure. Net income (loss) attributable to common stockholders includes adjustments for payment-in-kind distributions and redemption accretion.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93,039 Subsidiary Series A Preferred Units issued and outstanding.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September 30, 2024, the redemption amount would be $130.6 million when considering the applicable multiple on invested capital metric and make-whole amount provisions contained in the Amended and Restated Limited Liability Company Agreement of Permian Holdco.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Company’s Subsidiary Series A Preferred Unit balance from January 1, 2024 to September 30, 2024, net of $1.3 million and $1.7 million of unamortized issuance costs at September 30, 2024 and December 31, 2023, respectively:</w:t>
      </w:r>
    </w:p>
    <w:tbl>
      <w:tblPr>
        <w:tblW w:w="8540" w:type="dxa"/>
        <w:jc w:val="left"/>
        <w:tblInd w:w="0" w:type="dxa"/>
        <w:tblLayout w:type="fixed"/>
        <w:tblCellMar>
          <w:top w:w="28" w:type="dxa"/>
          <w:left w:w="28" w:type="dxa"/>
          <w:bottom w:w="28" w:type="dxa"/>
          <w:right w:w="28" w:type="dxa"/>
        </w:tblCellMar>
      </w:tblPr>
      <w:tblGrid>
        <w:gridCol w:w="2659"/>
        <w:gridCol w:w="2341"/>
        <w:gridCol w:w="2349"/>
        <w:gridCol w:w="211"/>
        <w:gridCol w:w="826"/>
        <w:gridCol w:w="154"/>
      </w:tblGrid>
      <w:tr>
        <w:trPr/>
        <w:tc>
          <w:tcPr>
            <w:tcW w:w="265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a $1.6 million distribution payable as of September 30,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Blank Check Common Stock. </w:t>
      </w:r>
      <w:r>
        <w:rPr>
          <w:rFonts w:ascii="Times New Roman;sans-serif" w:hAnsi="Times New Roman;sans-serif"/>
          <w:b w:val="false"/>
          <w:color w:val="000000"/>
          <w:sz w:val="20"/>
        </w:rPr>
        <w:t>The Board of Directors is authorized to establish one or more series of Blank Check Common Stock (including convertible Blank Check Common Stock). The Board of Directors has the ability to determine, with respect to any series of Blank Check Common Stock, the powers, preferences and relative, participating, optional or other special rights, and the qualifications, limitations or restrictions thereof, including, without limitation (i) the designation of the series; (ii) the number of shares of the series, which the Board of Directors may, except where otherwise provided in the Blank Check Common Stock designation, increase (but not above the total number of authorized shares of the class) or decrease (but not below the number of shares then outstanding); (iii) whether dividends, if any, will be cumulative or non-cumulative and the dividend rate of the series; (iv) the dates at which dividends, if any, will be payable; (v) the redemption or repurchase rights and price or prices, if any, for shares of the series; (vi) the terms and amounts of any sinking fund provided for the purchase or redemption of shares of the series; (vii) the amounts payable on shares of the series in the event of any voluntary or involuntary liquidation, dissolution or winding-up of the Company’s affairs; (viii) whether the shares of the series will be convertible into shares of any other class or series, or any other security, of the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 (ix) restrictions on the issuance of shares of the same series or of any other class or series; and (x) the voting rights, if any, of the holders of the series. As of September 30, 2024, no Blank Check Common Stock has been issued.</w:t>
      </w:r>
    </w:p>
    <w:p>
      <w:pPr>
        <w:pStyle w:val="TextBody"/>
        <w:bidi w:val="0"/>
        <w:spacing w:lineRule="auto" w:line="288" w:before="120" w:after="283"/>
        <w:jc w:val="left"/>
        <w:rPr/>
      </w:pPr>
      <w:r>
        <w:rPr>
          <w:rFonts w:ascii="Times New Roman;sans-serif" w:hAnsi="Times New Roman;sans-serif"/>
          <w:b/>
          <w:i/>
          <w:color w:val="000000"/>
          <w:sz w:val="20"/>
        </w:rPr>
        <w:t>Cash Distribution Policy.</w:t>
      </w:r>
      <w:r>
        <w:rPr>
          <w:color w:val="000000"/>
        </w:rPr>
        <w:t> </w:t>
      </w:r>
      <w:r>
        <w:rPr>
          <w:rFonts w:ascii="Times New Roman;sans-serif" w:hAnsi="Times New Roman;sans-serif"/>
          <w:b w:val="false"/>
          <w:color w:val="000000"/>
          <w:sz w:val="20"/>
        </w:rPr>
        <w:t xml:space="preserve">In March 2020, the Partnership suspended cash distributions to holders of its common units and Series A Preferred Units, commencing with respect to the quarter ended March 31, 2020. Upon the resumption of distributions, the Partnership Agreement would have required that it distribute all available cash, subject to reserves established by its General Partner, within 45 days after the end of each quarter to unitholders of record on the applicable record date. The amount of distributions paid under this policy was subject to fluctuations based on the amount of cash the Partnership generated from its business and the decision to make any distribution was determined by the General Partner, taking into consideration the terms of the Partnership Agreement.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distributions paid by the Company or the Partnership, as applicable, during the three and nine months ended September 30, 2024, or during the twelve months ended December 31, 2023. In connection with the consummation of the Corporate Reorganization, the Partnership Agreement was amended by the Fifth Amended and Restated Agreement of Limited Partnership to, among other things, reflect that all of the issued and outstanding limited partnership interests of the Partnership are held by the Company. For information on the Corporate Reorganization, see Note 1– Organization, Business Operations, Corporate Reorganization and Presentation and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EPS.</w:t>
      </w:r>
    </w:p>
    <w:tbl>
      <w:tblPr>
        <w:tblW w:w="10205" w:type="dxa"/>
        <w:jc w:val="left"/>
        <w:tblInd w:w="0" w:type="dxa"/>
        <w:tblLayout w:type="fixed"/>
        <w:tblCellMar>
          <w:top w:w="28" w:type="dxa"/>
          <w:left w:w="28" w:type="dxa"/>
          <w:bottom w:w="28" w:type="dxa"/>
          <w:right w:w="28" w:type="dxa"/>
        </w:tblCellMar>
      </w:tblPr>
      <w:tblGrid>
        <w:gridCol w:w="1773"/>
        <w:gridCol w:w="1422"/>
        <w:gridCol w:w="1427"/>
        <w:gridCol w:w="217"/>
        <w:gridCol w:w="905"/>
        <w:gridCol w:w="112"/>
        <w:gridCol w:w="112"/>
        <w:gridCol w:w="112"/>
        <w:gridCol w:w="112"/>
        <w:gridCol w:w="217"/>
        <w:gridCol w:w="689"/>
        <w:gridCol w:w="112"/>
        <w:gridCol w:w="109"/>
        <w:gridCol w:w="109"/>
        <w:gridCol w:w="109"/>
        <w:gridCol w:w="211"/>
        <w:gridCol w:w="878"/>
        <w:gridCol w:w="109"/>
        <w:gridCol w:w="109"/>
        <w:gridCol w:w="109"/>
        <w:gridCol w:w="109"/>
        <w:gridCol w:w="211"/>
        <w:gridCol w:w="773"/>
        <w:gridCol w:w="159"/>
      </w:tblGrid>
      <w:tr>
        <w:trPr/>
        <w:tc>
          <w:tcPr>
            <w:tcW w:w="177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per-share amounts)</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Numerator for basic and diluted EPS: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Subsidiary Series A Preferred Units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Summit Midstream Corporation</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Series A Preferred Stock</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2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equity holders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(204,941)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Denominator for basic and diluted EPS: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 – basic</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nonvested phantom shares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 – diluted</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Net income (loss) per share:</w:t>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basic</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anti-dilutive restricted stock shares excluded from the calculation of diluted EPS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SUPPLEMENTAL CASH FLOW INFORMATION</w:t>
      </w:r>
    </w:p>
    <w:tbl>
      <w:tblPr>
        <w:tblW w:w="9372" w:type="dxa"/>
        <w:jc w:val="left"/>
        <w:tblInd w:w="0" w:type="dxa"/>
        <w:tblLayout w:type="fixed"/>
        <w:tblCellMar>
          <w:top w:w="28" w:type="dxa"/>
          <w:left w:w="28" w:type="dxa"/>
          <w:bottom w:w="28" w:type="dxa"/>
          <w:right w:w="28" w:type="dxa"/>
        </w:tblCellMar>
      </w:tblPr>
      <w:tblGrid>
        <w:gridCol w:w="2440"/>
        <w:gridCol w:w="2142"/>
        <w:gridCol w:w="2153"/>
        <w:gridCol w:w="227"/>
        <w:gridCol w:w="775"/>
        <w:gridCol w:w="117"/>
        <w:gridCol w:w="117"/>
        <w:gridCol w:w="117"/>
        <w:gridCol w:w="117"/>
        <w:gridCol w:w="227"/>
        <w:gridCol w:w="775"/>
        <w:gridCol w:w="165"/>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 net of issuance cost amortization</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EQUITY COMPENSATION</w:t>
      </w:r>
    </w:p>
    <w:p>
      <w:pPr>
        <w:pStyle w:val="TextBody"/>
        <w:bidi w:val="0"/>
        <w:spacing w:lineRule="auto" w:line="288" w:before="120" w:after="283"/>
        <w:jc w:val="left"/>
        <w:rPr/>
      </w:pPr>
      <w:r>
        <w:rPr>
          <w:rFonts w:ascii="Times New Roman;sans-serif" w:hAnsi="Times New Roman;sans-serif"/>
          <w:b/>
          <w:i/>
          <w:color w:val="000000"/>
          <w:sz w:val="20"/>
        </w:rPr>
        <w:t>SMLP Long-Term Incentive Plan.</w:t>
      </w:r>
      <w:r>
        <w:rPr>
          <w:color w:val="000000"/>
        </w:rPr>
        <w:t> </w:t>
      </w:r>
      <w:r>
        <w:rPr>
          <w:rFonts w:ascii="Times New Roman;sans-serif" w:hAnsi="Times New Roman;sans-serif"/>
          <w:b w:val="false"/>
          <w:color w:val="000000"/>
          <w:sz w:val="20"/>
        </w:rPr>
        <w:t>The Partnership’s 2022 Long-Term Incentive Plan, as amended by the First Amendment, effective as of March 16, 2022 (the “SMLP LTIP”) provided for equity awards to eligible officers, employees, consultants and directors of the Partnership, thereby linking the recipients’ compensation directly to SMLP’s performance. Significant items to note: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nine-month period ended September 30, 2024, the Partnership granted 230,815 time-based phantom units and associated distribution equivalent rights to employees in connection with the Partnership’s annual incentive compensation award cycle. The grant date fair value of these awards totaled $3.7 million and the awards vest ratably over a 3-year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nine-month period ended September 30, 2024, the Partnership granted 122,867 performance-based phantom units and associated distribution equivalent rights to certain members of management in connection with the Partnership’s annual incentive compensation award cycle. The grant date fair value of these awards totaled $2.4 million and the awards vest at the end of three years.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nine-month period ended September 30, 2024, the Partnership issued 39,486 common units to the Partnership’s six independent directors in connection with their annual compensation plan. The grant date fair value of these awards totaled $0.6 million and became fully vested at the grant 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On May 16, 2024, the Board of Directors of the General Partner approved the First Amendment to the SMLP LTIP, which increased the number of common units that may be delivered with respect to awards granted under the SMLP LTIP by 750,000 common units. </w:t>
      </w:r>
    </w:p>
    <w:p>
      <w:pPr>
        <w:pStyle w:val="TextBody"/>
        <w:bidi w:val="0"/>
        <w:spacing w:lineRule="auto" w:line="288" w:before="120" w:after="283"/>
        <w:jc w:val="left"/>
        <w:rPr/>
      </w:pPr>
      <w:r>
        <w:rPr>
          <w:rFonts w:ascii="Times New Roman;sans-serif" w:hAnsi="Times New Roman;sans-serif"/>
          <w:b/>
          <w:i/>
          <w:color w:val="000000"/>
          <w:sz w:val="20"/>
        </w:rPr>
        <w:t xml:space="preserve">SMC Long-Term Incentive Plan. </w:t>
      </w:r>
      <w:r>
        <w:rPr>
          <w:rFonts w:ascii="Times New Roman;sans-serif" w:hAnsi="Times New Roman;sans-serif"/>
          <w:b w:val="false"/>
          <w:color w:val="000000"/>
          <w:sz w:val="20"/>
        </w:rPr>
        <w:t xml:space="preserve">In connection with the consummation of the Corporate Reorganization, the Company assumed the SMLP LTIP, and all the obligations of the Partnership thereunder. The SMLP LTIP units were exchanged on a one-for-one basis with equivalent terms. In connection with the assumption of the SMLP LTIP and the Corporate Reorganization, the Board of Directors approved the amendment and restatement of the 2022 LTIP, with such amendment and restatement effective as of August 1, 2024 (such amended and restated plan, the Summit Midstream Corporation 2024 Long-Term Incentive Plan (the “SMC LTIP”)). The SMC LTIP authorizes the Compensation Committee of the Board of Directors, in its discretion, to grant awards of restricted stock, restricted stock units, stock options, stock appreciation rights and other awards related to the Company’s common stock upon such terms and conditions as it may determine appropriate and in accordance with the terms of the SMC LTIP.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approximately 0.6 million shares of common stock remained available for future issuance under the SMC LTIP, which includes the impact of 0.9 million granted but unvested restricted stock and performance-based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283"/>
        <w:jc w:val="left"/>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Company believes that it is in material compliance with applicable environmental regulations, the risk of environmental remediation costs and liabilities are inherent in pipeline ownership and operation. Furthermore, the Company can provide no assurances that significant environmental remediation costs and liabilities will not be incurred in the future. The Company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has recognized (i) a current liability for remediation effort expenditures expected to be incurred within the next 12 months and (ii) a noncurrent liability for estimated remediation expenditures expected to be incurred subsequent to September 30, 2025. Each of these amounts represent the Company’s best estimate for costs expected to be incurred. Neither of these amounts have been discounted to their present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the Company’s undiscounted accrued environmental remediation is as follows and is primarily related to the 2015 Blacktail Release and other environmental remediation activities, as detailed below.</w:t>
      </w:r>
    </w:p>
    <w:tbl>
      <w:tblPr>
        <w:tblW w:w="6134" w:type="dxa"/>
        <w:jc w:val="left"/>
        <w:tblInd w:w="0" w:type="dxa"/>
        <w:tblLayout w:type="fixed"/>
        <w:tblCellMar>
          <w:top w:w="28" w:type="dxa"/>
          <w:left w:w="28" w:type="dxa"/>
          <w:bottom w:w="28" w:type="dxa"/>
          <w:right w:w="28" w:type="dxa"/>
        </w:tblCellMar>
      </w:tblPr>
      <w:tblGrid>
        <w:gridCol w:w="1794"/>
        <w:gridCol w:w="1576"/>
        <w:gridCol w:w="1579"/>
        <w:gridCol w:w="255"/>
        <w:gridCol w:w="744"/>
        <w:gridCol w:w="186"/>
      </w:tblGrid>
      <w:tr>
        <w:trPr/>
        <w:tc>
          <w:tcPr>
            <w:tcW w:w="179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2023</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September 30, 2024</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 Department of Justice (“DOJ”),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September 30, 2024 and December 31, 2023, the accrued loss liability for the 2015 Blacktail Release were $18.6 million and $21.7 million, respectively and are recorded within Other noncurrent liabilities and Accrued settlement payable within the Company’s unaudited condensed consolidated balance sheets.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terms of the Global Settlement included (i) payment of penalties and fines totaling $36.3 million, consisting of $1.25 million in natural resource damages payable to federal and state governments, $25.0 million payable to the federal government over 5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pPr>
      <w:r>
        <w:rPr>
          <w:rFonts w:ascii="Times New Roman;sans-serif" w:hAnsi="Times New Roman;sans-serif"/>
          <w:b w:val="false"/>
          <w:color w:val="000000"/>
          <w:sz w:val="20"/>
        </w:rPr>
        <w:t>Subsidiaries of the Company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of the Company have also received a show cause notice from the EPA requesting us to “show cause” why SDO should not issue a Notice of Proposed Debarment to the Defendant subsidiary and certain affiliates under 2 C.F.R. § 180.800(d), to which the Partnership has responded, and in which proceeding no further developments have occurred.</w:t>
      </w:r>
      <w:r>
        <w:rPr>
          <w:color w:val="000000"/>
        </w:rPr>
        <w:t xml:space="preserve"> </w:t>
      </w:r>
    </w:p>
    <w:p>
      <w:pPr>
        <w:pStyle w:val="TextBody"/>
        <w:bidi w:val="0"/>
        <w:spacing w:lineRule="auto" w:line="288" w:before="120" w:after="283"/>
        <w:jc w:val="left"/>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Company is involved in various litigation and administrative proceedings arising in the ordinary course of business. In the opinion of management, any liabilities, which include insured claims, would not individually or in the aggregate have a material adverse effect on the Company’s financial position or results of operations. When a liability is covered by insurance, the Company reports the gross liability for the loss and a separate asset for the estimate of the probably amount recoverable from the insurance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August 1, 2024, pursuant to the Corporate Reorganization, Summit Midstream Corporation became subject to federal and state income taxes. Prior to consummation of the Corporate Reorganization, SMLP was treated as a partnership for federal and state income tax purposes, in which the Partnership’s taxable income or loss was passed through to its unitholders. SMLP was subject to Texas margin tax. Therefore, with the exception of the state of Texas, SMLP did not directly pay federal and state income taxes and no entity-level income tax provisions was recorded other than for the effects of the Texas margin tax.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the Corporate Reorganization, Summit Midstream Corporation recognized (i) a $148.6 million income tax expense in its unaudited condensed consolidated statements of operations for temporary differences that existed as of the date of the Corporate Reorganization, (ii) a $28.1 million tax benefit to equity due to changes in tax bases and liabilities and (iii) a net deferred tax liability of $120.5 million in its unaudited condensed consolidated balance sheets. The tax amounts recognized in the financial statements are based on management’s best estimates, are preliminary and subject to change, and such changes could be material. The Partnership has not yet completed its tax return process for tax year 2024, which will require the receipt of final brokerage trade data and the determination of the Partnership’s final outside tax basis.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SMC’s effective income tax rate for the three and nine months ended September 30, 2024, was -259% and 264%, respectively. The effective tax rate differed from the statutory rate primarily due to the tax expense to establish a net deferred tax liability upon the Company’s change in tax status and SMLP’s pre-Corporate Reorganization income not being subject to U.S. federal or state income tax, other than the Texas margin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realizability of deferred tax assets, management considers whether it is more likely than not that some portion or all of the deferred tax assets will not be realized, and when necessary, valuation allowances are provided. The ultimate realization of deferred tax assets is dependent upon the generation of future taxable income during the periods in which those temporary differences become deductible. SMC assesses the realizability of its deferred tax assets quarterly and considers carryback availability, the scheduled reversal of deferred tax liabilities, projected future taxable income and tax planning strategies in making this assessment. No valuation allowance has been recognized as of September 30,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SMC continues to monitor income tax developments in the United States. SMC will incorporate into its future financial statements the impacts, if any, of future regulations and additional authoritative guidance when finalized.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Company’s reportable segments 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 xml:space="preserve">Includes the Company’s wholly owned midstream assets located in the Williston Basin and the DJ Basin.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Company’s equity method investment in Double 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Included the operations of the Company’s wholly owned midstream assets located in the Marcellus shale play and its wholly owned midstream assets located in the Utica shale play together with its equity method investment in Ohio Gathering that is focused on the Utica Shale. On March 22, 2024 and May 1, 2024, the Partnership completed the Utica Sale and Mountaineer Transaction, respectively. For additional information regarding the Utica Sale and Mountaineer Transaction, see Note 3 - Divestitures regarding the disposition of Northeast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Company’s wholly owned midstream assets located in the Piceance Basin.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Barnett </w:t>
      </w:r>
      <w:r>
        <w:rPr>
          <w:color w:val="000000"/>
        </w:rPr>
        <w:t xml:space="preserve">– </w:t>
      </w:r>
      <w:r>
        <w:rPr>
          <w:rFonts w:ascii="Times New Roman;sans-serif" w:hAnsi="Times New Roman;sans-serif"/>
          <w:b w:val="false"/>
          <w:color w:val="000000"/>
          <w:sz w:val="20"/>
        </w:rPr>
        <w:t xml:space="preserve">Includes the Company’s wholly owned midstream assets located in the Barnett Shale.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(i) are not specifically attributable to a reportable segment; (ii) are not individually reportable; or (iii) have not been allocated to our reportable segments, including certain general and administrative expense items, transaction costs, acquisition integration costs and 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6072" w:type="dxa"/>
        <w:jc w:val="left"/>
        <w:tblInd w:w="0" w:type="dxa"/>
        <w:tblLayout w:type="fixed"/>
        <w:tblCellMar>
          <w:top w:w="28" w:type="dxa"/>
          <w:left w:w="28" w:type="dxa"/>
          <w:bottom w:w="28" w:type="dxa"/>
          <w:right w:w="28" w:type="dxa"/>
        </w:tblCellMar>
      </w:tblPr>
      <w:tblGrid>
        <w:gridCol w:w="957"/>
        <w:gridCol w:w="842"/>
        <w:gridCol w:w="856"/>
        <w:gridCol w:w="251"/>
        <w:gridCol w:w="1164"/>
        <w:gridCol w:w="130"/>
        <w:gridCol w:w="109"/>
        <w:gridCol w:w="109"/>
        <w:gridCol w:w="109"/>
        <w:gridCol w:w="243"/>
        <w:gridCol w:w="1125"/>
        <w:gridCol w:w="177"/>
      </w:tblGrid>
      <w:tr>
        <w:trPr/>
        <w:tc>
          <w:tcPr>
            <w:tcW w:w="9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1,863,459 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2,483,258 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1,999,166 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by reportable segment follows.</w:t>
      </w:r>
    </w:p>
    <w:tbl>
      <w:tblPr>
        <w:tblW w:w="9647" w:type="dxa"/>
        <w:jc w:val="left"/>
        <w:tblInd w:w="0" w:type="dxa"/>
        <w:tblLayout w:type="fixed"/>
        <w:tblCellMar>
          <w:top w:w="28" w:type="dxa"/>
          <w:left w:w="28" w:type="dxa"/>
          <w:bottom w:w="28" w:type="dxa"/>
          <w:right w:w="28" w:type="dxa"/>
        </w:tblCellMar>
      </w:tblPr>
      <w:tblGrid>
        <w:gridCol w:w="1440"/>
        <w:gridCol w:w="1264"/>
        <w:gridCol w:w="1271"/>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Reportable segment adjusted EBITDA</w:t>
            </w:r>
            <w:r>
              <w:rPr>
                <w:rFonts w:ascii="Times New Roman;sans-serif" w:hAnsi="Times New Roman;sans-serif"/>
                <w:b/>
                <w:color w:val="000000"/>
                <w:sz w:val="10"/>
              </w:rPr>
              <w:t>(1)</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or loss before income taxes and income from equity method investees to total of reportable segments’ measures of profit follows.</w:t>
      </w:r>
    </w:p>
    <w:tbl>
      <w:tblPr>
        <w:tblW w:w="10205" w:type="dxa"/>
        <w:jc w:val="left"/>
        <w:tblInd w:w="0" w:type="dxa"/>
        <w:tblLayout w:type="fixed"/>
        <w:tblCellMar>
          <w:top w:w="28" w:type="dxa"/>
          <w:left w:w="28" w:type="dxa"/>
          <w:bottom w:w="28" w:type="dxa"/>
          <w:right w:w="28" w:type="dxa"/>
        </w:tblCellMar>
      </w:tblPr>
      <w:tblGrid>
        <w:gridCol w:w="1725"/>
        <w:gridCol w:w="1489"/>
        <w:gridCol w:w="1496"/>
        <w:gridCol w:w="216"/>
        <w:gridCol w:w="773"/>
        <w:gridCol w:w="111"/>
        <w:gridCol w:w="111"/>
        <w:gridCol w:w="111"/>
        <w:gridCol w:w="111"/>
        <w:gridCol w:w="216"/>
        <w:gridCol w:w="738"/>
        <w:gridCol w:w="111"/>
        <w:gridCol w:w="109"/>
        <w:gridCol w:w="109"/>
        <w:gridCol w:w="109"/>
        <w:gridCol w:w="211"/>
        <w:gridCol w:w="826"/>
        <w:gridCol w:w="109"/>
        <w:gridCol w:w="109"/>
        <w:gridCol w:w="109"/>
        <w:gridCol w:w="109"/>
        <w:gridCol w:w="211"/>
        <w:gridCol w:w="826"/>
        <w:gridCol w:w="160"/>
      </w:tblGrid>
      <w:tr>
        <w:trPr/>
        <w:tc>
          <w:tcPr>
            <w:tcW w:w="172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1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income (loss) before income taxes and income from equity method investees to total of reportable segments’ measures of profit:</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vMerge w:val="continue"/>
            <w:tcBorders/>
            <w:tcMar>
              <w:top w:w="0" w:type="dxa"/>
              <w:left w:w="0" w:type="dxa"/>
              <w:bottom w:w="0" w:type="dxa"/>
              <w:right w:w="0" w:type="dxa"/>
            </w:tcMar>
            <w:vAlign w:val="center"/>
          </w:tcPr>
          <w:p>
            <w:pPr>
              <w:pStyle w:val="Normal"/>
              <w:bidi w:val="0"/>
              <w:jc w:val="left"/>
              <w:rPr/>
            </w:pPr>
            <w:r>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income from equity method investees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20,650 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equity method investees </w:t>
            </w:r>
            <w:r>
              <w:rPr>
                <w:rFonts w:ascii="Times New Roman;sans-serif" w:hAnsi="Times New Roman;sans-serif"/>
                <w:b w:val="false"/>
                <w:color w:val="000000"/>
                <w:sz w:val="13"/>
              </w:rPr>
              <w:t>(2)</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and 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Early extinguishment of debt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211,095 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16"/>
        </w:rPr>
        <w:t>Includes the amortization expense associated with our favorable gas gathering contracts as reported in other revenues.</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The Company recorded financial results of its investment in Ohio Gathering on a one-month lag and is based on the financial information available to us during the reporting period. With the divestiture of Ohio Gathering in March 2024, proportional adjusted EBITDA includes financial results from December 1, 2023 through March 22,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bidi w:val="0"/>
        <w:spacing w:lineRule="auto" w:line="288" w:before="120" w:after="120"/>
        <w:jc w:val="left"/>
        <w:rPr/>
      </w:pPr>
      <w:r>
        <w:rPr>
          <w:rFonts w:ascii="Times New Roman;sans-serif" w:hAnsi="Times New Roman;sans-serif"/>
          <w:b/>
          <w:i/>
          <w:color w:val="000000"/>
          <w:sz w:val="20"/>
        </w:rPr>
        <w:t xml:space="preserve">Redemption of 2026 Secured Notes. </w:t>
      </w:r>
      <w:r>
        <w:rPr>
          <w:rFonts w:ascii="Times New Roman;sans-serif" w:hAnsi="Times New Roman;sans-serif"/>
          <w:b w:val="false"/>
          <w:color w:val="000000"/>
          <w:sz w:val="20"/>
        </w:rPr>
        <w:t xml:space="preserve">On July 26, 2024, concurrently with consummation of the 2026 Secured Notes Tender Offer, the Co-Issuers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On July 26, 2024, concurrently with delivery of the notice of redemption, the Co-Issuers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 October 15, 2024, the 2026 Secured Notes were fully repaid. </w:t>
      </w:r>
    </w:p>
    <w:p>
      <w:pPr>
        <w:pStyle w:val="TextBody"/>
        <w:bidi w:val="0"/>
        <w:spacing w:lineRule="auto" w:line="288" w:before="120" w:after="120"/>
        <w:jc w:val="left"/>
        <w:rPr/>
      </w:pPr>
      <w:r>
        <w:rPr>
          <w:rFonts w:ascii="Times New Roman;sans-serif" w:hAnsi="Times New Roman;sans-serif"/>
          <w:b/>
          <w:i/>
          <w:color w:val="000000"/>
          <w:sz w:val="20"/>
        </w:rPr>
        <w:t xml:space="preserve">Tall Oak Business Combination Agreement. </w:t>
      </w:r>
      <w:r>
        <w:rPr>
          <w:rFonts w:ascii="Times New Roman;sans-serif" w:hAnsi="Times New Roman;sans-serif"/>
          <w:b w:val="false"/>
          <w:color w:val="000000"/>
          <w:sz w:val="20"/>
        </w:rPr>
        <w:t xml:space="preserve">On October 1, 2024, the Company entered into a Business Contribution Agreement (the “Business Contribution Agreement”), by and among the Company, the Partnership, and Tall Oak Midstream Holdings, LLC, a Delaware limited liability company (“Tall Oak Parent”), pursuant to which, among other things, upon the satisfaction of the terms and conditions set forth therein, Tall Oak Parent will contribute all of its equity interests (the “Tall Oak Interests”) in Tall Oak Midstream Operating, LLC, a Delaware limited liability company (“Tall Oak”), to the Partnership, in exchange for an aggregate amount equal to (i) $425.0 million, consisting of (a) $155.0 million in cash consideration, subject to certain adjustments contemplated by the Business Contribution Agreement, and (b) 7,471,008 shares of Class B common stock of the Company, par value $0.01 per share (the “Class B Common Stock”) and 7,471,008 common units representing limited partner interests of the Partnership (together with the Class B Common Stock, the “Securities”), plus (ii) potential cumulative earnout payments continuing through March 31, 2026 not to exceed $25.0 million in the aggregate that Tall Oak Parent may become entitled to receive pursuant to the Business Contribution Agreement subject to Tall Oak and its customers meeting certain development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consummation of the transaction contemplated by the Business Contribution Agreement (the “Transaction”) is subject to various closing conditions, including, among other things, the approval by the holders of a majority of all votes cast at a special meeting of the stockholders of the Company relating to the issuance of the Securities. At the closing of the Transaction, the Board of Directors will be increased from the current seven directors to eleven directors, and Tailwater Capital LLC will elect four new directors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is intended to inform the reader about matters affecting the financial condition and results of operations of the Company and its subsidiaries for the periods since December 31, 2023. As a result, the following discussion should be read in conjunction with the Company’s unaudited condensed consolidated financial statements and notes thereto included in this report and the MD&amp;A and the audited consolidated financial statements and related notes that are included in the Partnership’s 2023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the section “Forward-Looking Statements.” Actual results may differ materially from those contained in any forward-looking statements.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or unless otherwise noted, all references to “Summit Midstream,” the “Company,” “we,” “us,” “our” or like terms are to Summit Midstream Corporation (including its subsidiaries) for the periods after August 1, 2024, the date the Corporate Reorganization was consummated. For the periods prior to August 1, 2024, unless the context requires otherwise or unless otherwise noted, all reference to “Summit Midstream,” or the “Company” are to Summit Midstream Partners, LP. (including its subsidiaries).</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value-oriented company focused on developing, owning and operating midstream energy infrastructure assets that are strategically located in unconventional resource basins, primarily shale formations, in the continental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Rockies and Piceance segment and (iv) additional gathering fees that are tied to the performance of certain commodity price indexes which are then added to the fixed gathering rates.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Three and Nine Months Ended September 30, 2024 and 2023” section included herein.</w:t>
      </w:r>
    </w:p>
    <w:tbl>
      <w:tblPr>
        <w:tblW w:w="10205" w:type="dxa"/>
        <w:jc w:val="left"/>
        <w:tblInd w:w="0" w:type="dxa"/>
        <w:tblLayout w:type="fixed"/>
        <w:tblCellMar>
          <w:top w:w="28" w:type="dxa"/>
          <w:left w:w="28" w:type="dxa"/>
          <w:bottom w:w="28" w:type="dxa"/>
          <w:right w:w="28" w:type="dxa"/>
        </w:tblCellMar>
      </w:tblPr>
      <w:tblGrid>
        <w:gridCol w:w="1734"/>
        <w:gridCol w:w="1429"/>
        <w:gridCol w:w="1433"/>
        <w:gridCol w:w="216"/>
        <w:gridCol w:w="916"/>
        <w:gridCol w:w="112"/>
        <w:gridCol w:w="112"/>
        <w:gridCol w:w="112"/>
        <w:gridCol w:w="112"/>
        <w:gridCol w:w="216"/>
        <w:gridCol w:w="743"/>
        <w:gridCol w:w="112"/>
        <w:gridCol w:w="109"/>
        <w:gridCol w:w="109"/>
        <w:gridCol w:w="109"/>
        <w:gridCol w:w="211"/>
        <w:gridCol w:w="786"/>
        <w:gridCol w:w="109"/>
        <w:gridCol w:w="109"/>
        <w:gridCol w:w="109"/>
        <w:gridCol w:w="109"/>
        <w:gridCol w:w="211"/>
        <w:gridCol w:w="827"/>
        <w:gridCol w:w="160"/>
      </w:tblGrid>
      <w:tr>
        <w:trPr/>
        <w:tc>
          <w:tcPr>
            <w:tcW w:w="173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Reportable segment adjusted EBITDA</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Capital expenditures </w:t>
            </w:r>
            <w:r>
              <w:rPr>
                <w:rFonts w:ascii="Times New Roman;sans-serif" w:hAnsi="Times New Roman;sans-serif"/>
                <w:b w:val="false"/>
                <w:color w:val="000000"/>
                <w:sz w:val="13"/>
              </w:rPr>
              <w:t>(1)</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Summit Utica Sale (excluding Ohio Gathering)</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Ohio Gathering</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Mountaineer Transaction</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ABL Facility</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Redemption of 2026 Unsecured Notes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(Excess Cash Flow Offer)</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(Asset Sale Offer)</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Permian Transmission Term Loan</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- 2025 Senior Notes Redemption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Redemption</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Amended and Restated ABL Facility</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2029 Secured Notes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 costs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See “Liquidity and Capital Resources” herein to the unaudited condensed consolidated financial statements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Ongoing impact of political and economic conditions and events in foreign oil and natural gas producing countries on commodity prices, including the continued conflict in the Middle East, current Russia-Ukraine conflict, the international sanctions against Russia and other sustained military campaigns;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markets availability and cost of capital;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Inflation and shifts in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2023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i/>
          <w:color w:val="000000"/>
          <w:sz w:val="20"/>
        </w:rPr>
        <w:t xml:space="preserve">Tall Oak Business Combination Agreement. </w:t>
      </w:r>
      <w:r>
        <w:rPr>
          <w:rFonts w:ascii="Times New Roman;sans-serif" w:hAnsi="Times New Roman;sans-serif"/>
          <w:b w:val="false"/>
          <w:color w:val="000000"/>
          <w:sz w:val="20"/>
        </w:rPr>
        <w:t xml:space="preserve">On October 1, 2024, we entered into a Business Contribution Agreement (the “Business Contribution Agreement”), by and among the Company, the Partnership, and Tall Oak Midstream Holdings, LLC, a Delaware limited liability company (“Tall Oak Parent”), pursuant to which, among other things, upon the satisfaction of the terms and conditions set forth therein, Tall Oak Parent will contribute all of its equity interests (the “Tall Oak Interests”) in Tall Oak Midstream Operating, LLC, a Delaware limited liability company (“Tall Oak”), to the Partnership, in exchange for an aggregate amount equal to (i) $425.0 million, consisting of (a) $155.0 million in cash consideration, subject to certain adjustments contemplated by the Business Contribution Agreement, and (b) 7,471,008 shares of Class B common stock of the Company, par value $0.01 per share (the “Class B Common Stock”) and 7,471,008 common units representing limited partner interests of the Partnership (together with the Class B Common Stock, the “Securities”), plus (ii) potential cumulative earnout payments continuing through March 31, 2026 not to exceed $25.0 million in the aggregate that Tall Oak Parent may become entitled to receive pursuant to the Business Contribution Agreement subject to Tall Oak and its customers meeting certain development requirements. </w:t>
      </w:r>
    </w:p>
    <w:p>
      <w:pPr>
        <w:pStyle w:val="TextBody"/>
        <w:bidi w:val="0"/>
        <w:spacing w:lineRule="auto" w:line="288" w:before="120" w:after="1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consummation of the transaction contemplated by the Business Contribution Agreement (the “Transaction”) is subject to various closing conditions, including, among other things, the approval by the holders of a majority of all votes cast at a special meeting of the stockholders of the Company relating to the issuance of the Securities. At the closing of the Transaction, the Board of Directors will be increased from the current seven directors to eleven directors, and Tailwater Capital LLC will elect four new directors to the Board of Directors.</w:t>
      </w:r>
    </w:p>
    <w:p>
      <w:pPr>
        <w:pStyle w:val="TextBody"/>
        <w:bidi w:val="0"/>
        <w:spacing w:lineRule="auto" w:line="288" w:before="120" w:after="283"/>
        <w:jc w:val="left"/>
        <w:rPr/>
      </w:pPr>
      <w:r>
        <w:rPr>
          <w:rFonts w:ascii="Times New Roman;sans-serif" w:hAnsi="Times New Roman;sans-serif"/>
          <w:b/>
          <w:i/>
          <w:color w:val="000000"/>
          <w:sz w:val="20"/>
        </w:rPr>
        <w:t>Corporate Reorganization</w:t>
      </w:r>
      <w:r>
        <w:rPr>
          <w:rFonts w:ascii="Times New Roman;sans-serif" w:hAnsi="Times New Roman;sans-serif"/>
          <w:b/>
          <w:color w:val="000000"/>
          <w:sz w:val="20"/>
        </w:rPr>
        <w:t xml:space="preserve">. </w:t>
      </w:r>
      <w:r>
        <w:rPr>
          <w:rFonts w:ascii="Times New Roman;sans-serif" w:hAnsi="Times New Roman;sans-serif"/>
          <w:b w:val="false"/>
          <w:color w:val="000000"/>
          <w:sz w:val="20"/>
        </w:rPr>
        <w:t>On August 1, 2024, following unitholder approval at the Partnership’s Special Meeting of Unitholders on July 18, 2024, the Partnership consummated a previously announced transaction that resulted in the Partnership becoming a wholly owned subsidiary of a newly formed Delaware corporation, Summit Midstream Corporation. Upon the consummation of the Corporate Reorganization, each outstanding common unit of the Partnership was converted into the right to receive 1.000 shares of common stock of Summit Midstream Corporation and each outstanding Series A Preferred Unit was converted into the right to receive 1.000 shares of Series A Preferred Stock of Summit Midstream Corporation, with the liquidation preference of each share of Series A Preferred Stock initially equal to $1,000 and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Reorganization was accounted for as a common-control transaction between the Partnership and Summit Midstream Corporation as a result of the Partnership’s unitholders controlling both the Partnership and Summit Midstream Corporation before and after the Merger. In the case of this common-control transaction, the historical financial statements of the Partnership became the historical financial statements of Summit Midstream Corporation, except for certain changes that conform the Partnership’s historical financial statements to a corporate entity. These changes include, but are not limited to, the reclassification of the Partnership’s capital accounts to shareholders’ equity accounts and an update of certain limited partner terms to synonymous corporate entity terms. The Corporate Reorganization had no impact to historical revenues, expenses, assets, liabilities, or cash flows.</w:t>
      </w:r>
    </w:p>
    <w:p>
      <w:pPr>
        <w:pStyle w:val="TextBody"/>
        <w:bidi w:val="0"/>
        <w:spacing w:lineRule="auto" w:line="288" w:before="120" w:after="283"/>
        <w:jc w:val="left"/>
        <w:rPr/>
      </w:pPr>
      <w:r>
        <w:rPr>
          <w:rFonts w:ascii="Times New Roman;sans-serif" w:hAnsi="Times New Roman;sans-serif"/>
          <w:b/>
          <w:i/>
          <w:color w:val="000000"/>
          <w:sz w:val="20"/>
        </w:rPr>
        <w:t>Mountaineer Transaction.</w:t>
      </w:r>
      <w:r>
        <w:rPr>
          <w:color w:val="000000"/>
        </w:rPr>
        <w:t xml:space="preserve"> </w:t>
      </w:r>
      <w:r>
        <w:rPr>
          <w:rFonts w:ascii="Times New Roman;sans-serif" w:hAnsi="Times New Roman;sans-serif"/>
          <w:b w:val="false"/>
          <w:color w:val="000000"/>
          <w:sz w:val="20"/>
        </w:rPr>
        <w:t>On May 1, 2024, we completed the Mountaineer Transaction for a cash sale price of $70.0 million, subject to customary post-closing adjustments. Mountaineer Midstream was the owner of midstream assets located in the Marcellus Shale. Prior to closing the Mountaineer Transaction, we sold related compression assets located in the Marcellus Shale to a compression service provider for approximately $5 million in April 2024.</w:t>
      </w:r>
    </w:p>
    <w:p>
      <w:pPr>
        <w:pStyle w:val="TextBody"/>
        <w:bidi w:val="0"/>
        <w:spacing w:lineRule="auto" w:line="288" w:before="120" w:after="283"/>
        <w:jc w:val="left"/>
        <w:rPr/>
      </w:pPr>
      <w:r>
        <w:rPr>
          <w:rFonts w:ascii="Times New Roman;sans-serif" w:hAnsi="Times New Roman;sans-serif"/>
          <w:b/>
          <w:i/>
          <w:color w:val="000000"/>
          <w:sz w:val="20"/>
        </w:rPr>
        <w:t xml:space="preserve">Summit Utica Sale. </w:t>
      </w:r>
      <w:r>
        <w:rPr>
          <w:rFonts w:ascii="Times New Roman;sans-serif" w:hAnsi="Times New Roman;sans-serif"/>
          <w:b w:val="false"/>
          <w:color w:val="000000"/>
          <w:sz w:val="20"/>
        </w:rPr>
        <w:t>As previously announced on March 22, 2024, we completed the Utica Sale for a cash sale price of $625.0 million, subject to customary post-closing adjustments.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w:t>
      </w:r>
    </w:p>
    <w:p>
      <w:pPr>
        <w:pStyle w:val="TextBody"/>
        <w:bidi w:val="0"/>
        <w:spacing w:lineRule="auto" w:line="288" w:before="120" w:after="283"/>
        <w:jc w:val="left"/>
        <w:rPr/>
      </w:pPr>
      <w:r>
        <w:rPr>
          <w:rFonts w:ascii="Times New Roman;sans-serif" w:hAnsi="Times New Roman;sans-serif"/>
          <w:b/>
          <w:i/>
          <w:color w:val="000000"/>
          <w:sz w:val="20"/>
        </w:rPr>
        <w:t xml:space="preserve">Refinancing Transactions. </w:t>
      </w:r>
      <w:r>
        <w:rPr>
          <w:rFonts w:ascii="Times New Roman;sans-serif" w:hAnsi="Times New Roman;sans-serif"/>
          <w:b w:val="false"/>
          <w:color w:val="000000"/>
          <w:sz w:val="20"/>
        </w:rPr>
        <w:t xml:space="preserve">The Partnership issued the 2029 Secured Notes and completed the 2026 Secured Notes Tender Offer and subsequent redemption, and the redemption of the 2025 Senior Notes. </w:t>
      </w:r>
    </w:p>
    <w:p>
      <w:pPr>
        <w:pStyle w:val="TextBody"/>
        <w:bidi w:val="0"/>
        <w:spacing w:lineRule="auto" w:line="288" w:before="120" w:after="283"/>
        <w:jc w:val="left"/>
        <w:rPr/>
      </w:pPr>
      <w:r>
        <w:rPr>
          <w:rFonts w:ascii="Times New Roman;sans-serif" w:hAnsi="Times New Roman;sans-serif"/>
          <w:b w:val="false"/>
          <w:i/>
          <w:color w:val="000000"/>
          <w:sz w:val="20"/>
        </w:rPr>
        <w:t>2029 Secured Notes.</w:t>
      </w:r>
      <w:r>
        <w:rPr>
          <w:color w:val="000000"/>
        </w:rPr>
        <w:t xml:space="preserve"> </w:t>
      </w:r>
      <w:r>
        <w:rPr>
          <w:rFonts w:ascii="Times New Roman;sans-serif" w:hAnsi="Times New Roman;sans-serif"/>
          <w:b w:val="false"/>
          <w:color w:val="000000"/>
          <w:sz w:val="20"/>
        </w:rPr>
        <w:t xml:space="preserve">On July 26, 2024, Summit Holdings issued $575.0 million aggregate principal amount of 8.625% Senior Secured Second Lien Notes due 2029. The 2029 Secured Notes mature on October 31, 2029 and have interest payable semi-annually in arrears on each February 15 and August 15, commencing on February 15, 2025. </w:t>
      </w:r>
    </w:p>
    <w:p>
      <w:pPr>
        <w:pStyle w:val="TextBody"/>
        <w:bidi w:val="0"/>
        <w:spacing w:lineRule="auto" w:line="288" w:before="120" w:after="283"/>
        <w:jc w:val="left"/>
        <w:rPr/>
      </w:pPr>
      <w:r>
        <w:rPr>
          <w:rFonts w:ascii="Times New Roman;sans-serif" w:hAnsi="Times New Roman;sans-serif"/>
          <w:b w:val="false"/>
          <w:i/>
          <w:color w:val="000000"/>
          <w:sz w:val="20"/>
        </w:rPr>
        <w:t>2026 Secured Notes Tender Offer and Redemption.</w:t>
      </w:r>
      <w:r>
        <w:rPr>
          <w:color w:val="000000"/>
        </w:rPr>
        <w:t xml:space="preserve"> </w:t>
      </w:r>
      <w:r>
        <w:rPr>
          <w:rFonts w:ascii="Times New Roman;sans-serif" w:hAnsi="Times New Roman;sans-serif"/>
          <w:b w:val="false"/>
          <w:color w:val="000000"/>
          <w:sz w:val="20"/>
        </w:rPr>
        <w:t xml:space="preserve">Concurrently with closing the offering of 2029 Secured Notes, Summit Holdings and Finance Corp. consummated a cash tender offer to purchase any and all of the outstanding 2026 Secured Notes. Summit Holdings and Finance Corp. accepted for payment and made payment for $649.8 million aggregate principal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Secured Notes validly tendered in the 2026 Notes Tender Offer. On July 26, 2024, concurrently with consummation of the 2026 Secured Notes Tender Offer, Summit Holdings and Finance Corp. delivered a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was October 15, 2024). On July 26, 2024, concurrently with delivery of the notice of redemption, Summit Holdings and Finance Corp. irrevocably deposited $121.2 million in aggregate principal amount of non-callable United States Treasury securities, which included amounts for principal, interest, and premium with the trustee to satisfy and discharge the 2026 Secured Notes until redeemed on October 15, 2024 with the funds deposited with the trustee. 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15, 2024, the 2026 Secured Notes were fully repaid.</w:t>
      </w:r>
    </w:p>
    <w:p>
      <w:pPr>
        <w:pStyle w:val="TextBody"/>
        <w:bidi w:val="0"/>
        <w:spacing w:lineRule="auto" w:line="288" w:before="120" w:after="283"/>
        <w:jc w:val="left"/>
        <w:rPr/>
      </w:pPr>
      <w:r>
        <w:rPr>
          <w:rFonts w:ascii="Times New Roman;sans-serif" w:hAnsi="Times New Roman;sans-serif"/>
          <w:b w:val="false"/>
          <w:i/>
          <w:color w:val="000000"/>
          <w:sz w:val="20"/>
        </w:rPr>
        <w:t>2025 Senior Notes Redemption.</w:t>
      </w:r>
      <w:r>
        <w:rPr>
          <w:color w:val="000000"/>
        </w:rPr>
        <w:t xml:space="preserve"> </w:t>
      </w:r>
      <w:r>
        <w:rPr>
          <w:rFonts w:ascii="Times New Roman;sans-serif" w:hAnsi="Times New Roman;sans-serif"/>
          <w:b w:val="false"/>
          <w:color w:val="000000"/>
          <w:sz w:val="20"/>
        </w:rPr>
        <w:t>On July 17, 2024, Summit Holdings and Finance Corp. delivered a conditional notice of redemption to holders of 2025 Senior Notes for the redemption of all $49.8 million aggregate principal amount of outstanding 2025 Senior Notes, at a price equal to 100.000% of the principal amount thereof, plus accrued and unpaid interest to the redemption date, which was conditioned on the closing of the offering of 2029 Secured Notes. On July 26, 2024, concurrently with closing of the offering of 2029 Secured Notes, Summit Holdings and Finance Corp. irrevocably deposited $50.6 million in aggregate principal amount of non-callable United States Treasury securities, which included amounts for principal and interest with the trustee to satisfy and discharge the 2025 Senior Notes until redeemed with the funds deposited with the trustee. 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16, 2024, the 2025 Senior Notes were fully repaid.</w:t>
      </w:r>
    </w:p>
    <w:p>
      <w:pPr>
        <w:pStyle w:val="TextBody"/>
        <w:bidi w:val="0"/>
        <w:spacing w:lineRule="auto" w:line="288" w:before="120" w:after="283"/>
        <w:jc w:val="left"/>
        <w:rPr/>
      </w:pPr>
      <w:r>
        <w:rPr>
          <w:rFonts w:ascii="Times New Roman;sans-serif" w:hAnsi="Times New Roman;sans-serif"/>
          <w:b/>
          <w:i/>
          <w:color w:val="000000"/>
          <w:sz w:val="20"/>
        </w:rPr>
        <w:t>Conclusion of Strategic Alternatives Review</w:t>
      </w:r>
      <w:r>
        <w:rPr>
          <w:rFonts w:ascii="Times New Roman;sans-serif" w:hAnsi="Times New Roman;sans-serif"/>
          <w:b w:val="false"/>
          <w:color w:val="000000"/>
          <w:sz w:val="20"/>
        </w:rPr>
        <w:t>. In connection with the announcement of the Utica Sale, we also announced the conclusion of the strategic alternative review process undertaken by our Board of Directors that was previously announced on October 3, 2023. While we have concluded our active process, we remain open to all potential value-enhancing transactions.</w:t>
      </w:r>
    </w:p>
    <w:p>
      <w:pPr>
        <w:pStyle w:val="TextBody"/>
        <w:bidi w:val="0"/>
        <w:spacing w:lineRule="auto" w:line="288" w:before="120" w:after="283"/>
        <w:jc w:val="left"/>
        <w:rPr/>
      </w:pPr>
      <w:r>
        <w:rPr>
          <w:rFonts w:ascii="Times New Roman;sans-serif" w:hAnsi="Times New Roman;sans-serif"/>
          <w:b/>
          <w:i/>
          <w:color w:val="000000"/>
          <w:sz w:val="20"/>
        </w:rPr>
        <w:t>Capital structure optimization and portfolio management</w:t>
      </w:r>
      <w:r>
        <w:rPr>
          <w:rFonts w:ascii="Times New Roman;sans-serif" w:hAnsi="Times New Roman;sans-serif"/>
          <w:b w:val="false"/>
          <w:color w:val="000000"/>
          <w:sz w:val="20"/>
        </w:rPr>
        <w:t>. We intend to continue to improve our capital structure in the future by reducing our indebtedness with free cash flow, and when appropriate, we may pursue opportunistic transactions with the objective of increasing long term shareholder value. This may include opportunistic acquisitions, divestitures, re-allocation of capital to new or existing areas, and development of joint ventures involving our existing midstream assets or new investment opportunities. We believe that our current cash balance, internally generated cash flow, our Amended and Restated ABL Facility, the Permian Credit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 For additional information, see Note 17 – Subsequent Events.</w:t>
      </w:r>
    </w:p>
    <w:p>
      <w:pPr>
        <w:pStyle w:val="TextBody"/>
        <w:bidi w:val="0"/>
        <w:spacing w:lineRule="auto" w:line="288" w:before="120" w:after="283"/>
        <w:jc w:val="left"/>
        <w:rPr/>
      </w:pPr>
      <w:r>
        <w:rPr>
          <w:rFonts w:ascii="Times New Roman;sans-serif" w:hAnsi="Times New Roman;sans-serif"/>
          <w:b/>
          <w:i/>
          <w:color w:val="000000"/>
          <w:sz w:val="20"/>
        </w:rPr>
        <w:t xml:space="preserve">Ongoing impact of political and economic conditions and events in foreign oil and natural gas producing countries on commodity prices. </w:t>
      </w:r>
      <w:r>
        <w:rPr>
          <w:rFonts w:ascii="Times New Roman;sans-serif" w:hAnsi="Times New Roman;sans-serif"/>
          <w:b w:val="false"/>
          <w:color w:val="000000"/>
          <w:sz w:val="20"/>
        </w:rPr>
        <w:t>Although we operate solely in the United States, certain events and conditions in foreign oil and natural gas producing countries, such as the continued conflict in the Middle East, including the Hamas-Israel war, the Hezbollah-Israel conflict, and Russia’s invasion of Ukraine,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pPr>
      <w:r>
        <w:rPr>
          <w:rFonts w:ascii="Times New Roman;sans-serif" w:hAnsi="Times New Roman;sans-serif"/>
          <w:b/>
          <w:i/>
          <w:color w:val="000000"/>
          <w:sz w:val="20"/>
        </w:rPr>
        <w:t xml:space="preserve">Impact of increases in interest rates. </w:t>
      </w:r>
      <w:r>
        <w:rPr>
          <w:rFonts w:ascii="Times New Roman;sans-serif" w:hAnsi="Times New Roman;sans-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to a current target range of 4.50% to 4.75%, and the timing of any potential further increases or decreases remains uncertain. As of September 30, 2024, we had approximately $689.7 million principal of fixed-rate debt, $150.0 million outstanding under our variable rate Amended and Restated ABL Facility and $133.3 million outstanding under the variable rate Permian Transmission Term Loan (see Note 8 - Debt). As of September 30, 2024, we had $120.0 million of interest rate exposure hedged to offset the impact of changes in interest rates on our Permian Transmission Term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How We Evaluate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Utica Sale and Mountaineer Transaction, we conducted and reported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16 - 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a variety of financial and operational metrics to analyze our consolidated and segment performance. We view these metrics as important factors in evaluating our profitability. These metrics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throughput volume;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revenues;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 and maintenance expenses;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these metrics on a regular basis for consistency and trend analysis. There have been no changes in the composition or characteristics of these metrics during the three and nine months ended September 30, 2024.</w:t>
      </w:r>
    </w:p>
    <w:p>
      <w:pPr>
        <w:pStyle w:val="TextBody"/>
        <w:bidi w:val="0"/>
        <w:spacing w:lineRule="auto" w:line="288" w:before="120" w:after="283"/>
        <w:jc w:val="left"/>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2023 Annual Report. For information on impending accounting changes that are expected to materially impact our financial results reported in future periods, see Note 2 – Summary of Significant Accounting Policies and Recently Issued Accounting Standards Applicable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Consolidated Overview for the Three and Nine Months Ended September 30,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financial and operating data.</w:t>
      </w:r>
    </w:p>
    <w:tbl>
      <w:tblPr>
        <w:tblW w:w="10205" w:type="dxa"/>
        <w:jc w:val="left"/>
        <w:tblInd w:w="0" w:type="dxa"/>
        <w:tblLayout w:type="fixed"/>
        <w:tblCellMar>
          <w:top w:w="28" w:type="dxa"/>
          <w:left w:w="28" w:type="dxa"/>
          <w:bottom w:w="28" w:type="dxa"/>
          <w:right w:w="28" w:type="dxa"/>
        </w:tblCellMar>
      </w:tblPr>
      <w:tblGrid>
        <w:gridCol w:w="1679"/>
        <w:gridCol w:w="1429"/>
        <w:gridCol w:w="1438"/>
        <w:gridCol w:w="217"/>
        <w:gridCol w:w="923"/>
        <w:gridCol w:w="112"/>
        <w:gridCol w:w="112"/>
        <w:gridCol w:w="112"/>
        <w:gridCol w:w="112"/>
        <w:gridCol w:w="217"/>
        <w:gridCol w:w="745"/>
        <w:gridCol w:w="112"/>
        <w:gridCol w:w="109"/>
        <w:gridCol w:w="109"/>
        <w:gridCol w:w="109"/>
        <w:gridCol w:w="211"/>
        <w:gridCol w:w="826"/>
        <w:gridCol w:w="109"/>
        <w:gridCol w:w="109"/>
        <w:gridCol w:w="109"/>
        <w:gridCol w:w="109"/>
        <w:gridCol w:w="211"/>
        <w:gridCol w:w="826"/>
        <w:gridCol w:w="160"/>
      </w:tblGrid>
      <w:tr>
        <w:trPr/>
        <w:tc>
          <w:tcPr>
            <w:tcW w:w="167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interest rate swaps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investees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(197,541)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Excludes volume throughput for Ohio Gathering and Double E. For additional information, see the Northeast and Permian sections herein under the caption “Segment Overview for the Three and Nine Months Ended September 30, 2024 and 2023”.</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i/>
          <w:color w:val="000000"/>
          <w:sz w:val="20"/>
        </w:rPr>
        <w:t xml:space="preserve">Volumes – Gas. </w:t>
      </w:r>
      <w:r>
        <w:rPr>
          <w:rFonts w:ascii="Times New Roman;sans-serif" w:hAnsi="Times New Roman;sans-serif"/>
          <w:b w:val="false"/>
          <w:color w:val="000000"/>
          <w:sz w:val="20"/>
        </w:rPr>
        <w:t>Natural gas throughput volumes decreased</w:t>
      </w:r>
      <w:r>
        <w:rPr>
          <w:color w:val="FF0000"/>
        </w:rPr>
        <w:t> </w:t>
      </w:r>
      <w:r>
        <w:rPr>
          <w:rFonts w:ascii="Times New Roman;sans-serif" w:hAnsi="Times New Roman;sans-serif"/>
          <w:b w:val="false"/>
          <w:color w:val="000000"/>
          <w:sz w:val="20"/>
        </w:rPr>
        <w:t>685 MMcf/d for the three months ended September 30, 2024 compared to the three months ended September 30, 2023, primarily reflecting: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752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11 MMcf/d for the Rockies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29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85 MMcf/d for the Barnett segment.</w:t>
      </w:r>
    </w:p>
    <w:p>
      <w:pPr>
        <w:pStyle w:val="TextBody"/>
        <w:bidi w:val="0"/>
        <w:spacing w:lineRule="auto" w:line="288" w:before="120" w:after="283"/>
        <w:jc w:val="left"/>
        <w:rPr/>
      </w:pPr>
      <w:r>
        <w:rPr>
          <w:rFonts w:ascii="Times New Roman;sans-serif" w:hAnsi="Times New Roman;sans-serif"/>
          <w:b w:val="false"/>
          <w:color w:val="000000"/>
          <w:sz w:val="20"/>
        </w:rPr>
        <w:t>Natural gas throughput volumes decreased</w:t>
      </w:r>
      <w:r>
        <w:rPr>
          <w:color w:val="FF0000"/>
        </w:rPr>
        <w:t> </w:t>
      </w:r>
      <w:r>
        <w:rPr>
          <w:rFonts w:ascii="Times New Roman;sans-serif" w:hAnsi="Times New Roman;sans-serif"/>
          <w:b w:val="false"/>
          <w:color w:val="000000"/>
          <w:sz w:val="20"/>
        </w:rPr>
        <w:t xml:space="preserve">346 MMcf/d for the nine months ended September 30, 2024 compared to the nine months ended September 30, 2023, primarily reflecting: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389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19 MMcf/d for the Rockies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4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28 MMcf/d for the Barnett segment.</w:t>
      </w:r>
    </w:p>
    <w:p>
      <w:pPr>
        <w:pStyle w:val="TextBody"/>
        <w:bidi w:val="0"/>
        <w:spacing w:lineRule="auto" w:line="288" w:before="120" w:after="283"/>
        <w:jc w:val="left"/>
        <w:rPr/>
      </w:pPr>
      <w:r>
        <w:rPr>
          <w:rFonts w:ascii="Times New Roman;sans-serif" w:hAnsi="Times New Roman;sans-serif"/>
          <w:b/>
          <w:i/>
          <w:color w:val="000000"/>
          <w:sz w:val="20"/>
        </w:rPr>
        <w:t xml:space="preserve">Volumes – Liquids. </w:t>
      </w:r>
      <w:r>
        <w:rPr>
          <w:rFonts w:ascii="Times New Roman;sans-serif" w:hAnsi="Times New Roman;sans-serif"/>
          <w:b w:val="false"/>
          <w:color w:val="000000"/>
          <w:sz w:val="20"/>
        </w:rPr>
        <w:t>Crude oil and produced water throughput volumes at the Rockies segment decreased for the three months ended September 30, 2024, compared to the three months ended September 30, 2023, primarily as a result of natural production declines, offset by 25 new well connections that came online subsequent to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 and produced water throughput volumes at the Rockies segment decreased for the nine months ended September 30, 2024, compared to the nine months ended September 30, 2023, primarily as a result of natural production declines, offset by 25 new well connections that came online subsequent to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Three and Nine Months Ended September 30, 2024 and 2023” section herein.</w:t>
      </w:r>
    </w:p>
    <w:p>
      <w:pPr>
        <w:pStyle w:val="TextBody"/>
        <w:bidi w:val="0"/>
        <w:spacing w:lineRule="auto" w:line="288" w:before="120" w:after="283"/>
        <w:jc w:val="left"/>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decreased $18.8 million during the three months ended September 30, 2024 compared to the three months ended September 30, 2023, comprised of a $22.0 million decrease in gathering services and related fees, offset by a $3.1 million increase</w:t>
      </w:r>
      <w:r>
        <w:rPr>
          <w:color w:val="FF0000"/>
        </w:rPr>
        <w:t> </w:t>
      </w:r>
      <w:r>
        <w:rPr>
          <w:rFonts w:ascii="Times New Roman;sans-serif" w:hAnsi="Times New Roman;sans-serif"/>
          <w:b w:val="false"/>
          <w:color w:val="000000"/>
          <w:sz w:val="20"/>
        </w:rPr>
        <w:t xml:space="preserve">in natural gas, NGLs and condensate sales, a $0.1 million increase in other revenue.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$22.0 million compared to the three months ended September 30, 2023,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$3.1 million decrease in the Rockies, primarily due to decreased volume throughput;</w:t>
      </w:r>
      <w:r>
        <w:rPr>
          <w:color w:val="000000"/>
          <w:shd w:fill="FFFFFF" w:val="clear"/>
        </w:rPr>
        <w:t xml:space="preserve">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 xml:space="preserve">a $18.2 million decrease in the Northeast, primarily due to the sale of the Mountaineer Midstream system and the disposition of Summit Utica;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$3.1 million decrease in the Piceance, primarily due to decreased volume throughput and contractual step-downs;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$2.3 million increase in the Barnett, primarily due to increased volume throughput. </w:t>
      </w:r>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 xml:space="preserve">$3.1 million compared to the three months ended September 30, 2023, primarily reflecting: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$3.8 million increase in the Rockies, primarily due to increased volume throughput.</w:t>
      </w:r>
    </w:p>
    <w:p>
      <w:pPr>
        <w:pStyle w:val="TextBody"/>
        <w:bidi w:val="0"/>
        <w:spacing w:lineRule="auto" w:line="288" w:before="120" w:after="283"/>
        <w:jc w:val="left"/>
        <w:rPr/>
      </w:pPr>
      <w:r>
        <w:rPr>
          <w:rFonts w:ascii="Times New Roman;sans-serif" w:hAnsi="Times New Roman;sans-serif"/>
          <w:b w:val="false"/>
          <w:color w:val="000000"/>
          <w:sz w:val="20"/>
        </w:rPr>
        <w:t>Total revenues decreased $9.0 million during the nine months ended September 30, 2024 compared to the nine months ended September 30, 2023, comprised of a $29.3 million decrease in gathering services and related fees, offset by a $14.9 million increase</w:t>
      </w:r>
      <w:r>
        <w:rPr>
          <w:color w:val="FF0000"/>
        </w:rPr>
        <w:t> </w:t>
      </w:r>
      <w:r>
        <w:rPr>
          <w:rFonts w:ascii="Times New Roman;sans-serif" w:hAnsi="Times New Roman;sans-serif"/>
          <w:b w:val="false"/>
          <w:color w:val="000000"/>
          <w:sz w:val="20"/>
        </w:rPr>
        <w:t xml:space="preserve">in natural gas, NGLs and condensate sales and a $5.4 million increase in other revenue.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$29.3 million compared to the nine months ended September 30, 2023,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$24.9 million decrease in the Northeast, primarily due to the sale of the Mountaineer Midstream system and the disposition of Summit Utica;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$3.7 million decrease in the Piceance, primarily due to contractual step-downs; offset by increased volume throughput.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 xml:space="preserve">$14.9 million compared to the nine months ended September 30, 2023, primarily reflecting: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$17.0 million increase in the Rockies, primarily due to increased volume throughput;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$1.8 million decrease in the Piceance; primarily due to lower commodity prices; partially offset by increased volume throughput.</w:t>
      </w:r>
    </w:p>
    <w:p>
      <w:pPr>
        <w:pStyle w:val="TextBody"/>
        <w:bidi w:val="0"/>
        <w:spacing w:lineRule="auto" w:line="288" w:before="120" w:after="283"/>
        <w:jc w:val="left"/>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decreased $4.7 million during the three months ended September 30, 2024 compared to the three months ended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increased $79.3 million during the nine months ended September 30, 2024 compared to the nine months ended September 30, 2023.</w:t>
      </w:r>
    </w:p>
    <w:p>
      <w:pPr>
        <w:pStyle w:val="TextBody"/>
        <w:bidi w:val="0"/>
        <w:spacing w:lineRule="auto" w:line="288" w:before="120" w:after="283"/>
        <w:jc w:val="left"/>
        <w:rPr/>
      </w:pPr>
      <w:r>
        <w:rPr>
          <w:rFonts w:ascii="Times New Roman;sans-serif" w:hAnsi="Times New Roman;sans-serif"/>
          <w:b w:val="false"/>
          <w:color w:val="000000"/>
          <w:sz w:val="20"/>
          <w:u w:val="single"/>
        </w:rPr>
        <w:t>Cost of Natural Gas and NGLs</w:t>
      </w:r>
      <w:r>
        <w:rPr>
          <w:rFonts w:ascii="Times New Roman;sans-serif" w:hAnsi="Times New Roman;sans-serif"/>
          <w:b w:val="false"/>
          <w:color w:val="000000"/>
          <w:sz w:val="20"/>
        </w:rPr>
        <w:t>. Cost of natural gas and NGLs increased $1.1 million for the three months ended September 30, 2024, compared to the three months ended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 increased $10.1 million for the nine months ended September 30, 2024, compared to the nine months ended September 30, 2023.</w:t>
      </w:r>
    </w:p>
    <w:p>
      <w:pPr>
        <w:pStyle w:val="TextBody"/>
        <w:bidi w:val="0"/>
        <w:spacing w:lineRule="auto" w:line="288" w:before="120" w:after="283"/>
        <w:jc w:val="left"/>
        <w:rPr/>
      </w:pPr>
      <w:r>
        <w:rPr>
          <w:rFonts w:ascii="Times New Roman;sans-serif" w:hAnsi="Times New Roman;sans-serif"/>
          <w:b w:val="false"/>
          <w:color w:val="000000"/>
          <w:sz w:val="20"/>
          <w:u w:val="single"/>
        </w:rPr>
        <w:t>Operation and Maintenance</w:t>
      </w:r>
      <w:r>
        <w:rPr>
          <w:rFonts w:ascii="Times New Roman;sans-serif" w:hAnsi="Times New Roman;sans-serif"/>
          <w:b w:val="false"/>
          <w:color w:val="000000"/>
          <w:sz w:val="20"/>
        </w:rPr>
        <w:t>. Operation and maintenance expense decreased $1.7 million for the three months ended September 30, 2024, compared to the three months ended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 expense decreased $2.4 million for the nine months ended September 30, 2024, compared to the nine months ended September 30, 2023.</w:t>
      </w:r>
    </w:p>
    <w:p>
      <w:pPr>
        <w:pStyle w:val="TextBody"/>
        <w:bidi w:val="0"/>
        <w:spacing w:lineRule="auto" w:line="288" w:before="120" w:after="283"/>
        <w:jc w:val="left"/>
        <w:rPr/>
      </w:pPr>
      <w:r>
        <w:rPr>
          <w:rFonts w:ascii="Times New Roman;sans-serif" w:hAnsi="Times New Roman;sans-serif"/>
          <w:b w:val="false"/>
          <w:color w:val="000000"/>
          <w:sz w:val="20"/>
          <w:u w:val="single"/>
        </w:rPr>
        <w:t>Long-lived asset impairments</w:t>
      </w:r>
      <w:r>
        <w:rPr>
          <w:rFonts w:ascii="Times New Roman;sans-serif" w:hAnsi="Times New Roman;sans-serif"/>
          <w:b w:val="false"/>
          <w:color w:val="000000"/>
          <w:sz w:val="20"/>
        </w:rPr>
        <w:t>. During the quarterly period ended March 31, 2024, we recognized an impairment charge of $67.9 million in connection with the Mountaineer Transaction.</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$8.9 million for the three months ended September 30, 2024, compared to three months ended September 30, 2023, primarily due to $10.5 million of reduced interest expense as a result of the 2026 Secured Notes Tender Offer and Asset Sale Offer that occurred in July 2024 and May 2024, respectively, $4.5 million of reduced interest expense as a result of decreased borrowings on the Amended and Restated ABL Facility and $3.4 million of reduced interest expense as a result of the exchange and repurchase of $209.7 million of the 2025 Senior Notes that occurred in November 2023, partially offset by $8.9 million of increased borrowing costs in connection with issuance of the 2029 Secured Notes in July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$9.0 million for the nine months ended September 30, 2024, compared to nine months ended September 30, 2023, primarily due to $12.3 million of reduced interest expense as a result of decreased borrowings on the Amended and Restated ABL Facility, $9.6 million of reduced interest expense as a result of the 2026 Secured Notes Tender Offer and Asset Sale Offer that occurred in July 2024 and May 2024, respectively and $9.4 million of reduced interest expense as a result of the exchange and repurchase of $209.7 million of the 2025 Senior Notes that occurred in November 2023, partially offset by $12.0 million of increased borrowing costs on the 2026 Unsecured Notes issued in November 2023 and $9.0 million of increased borrowing costs on the 2029 Secured Notes issued in July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Segment Overview for the Three and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Northeast.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10205" w:type="dxa"/>
        <w:jc w:val="left"/>
        <w:tblInd w:w="0" w:type="dxa"/>
        <w:tblLayout w:type="fixed"/>
        <w:tblCellMar>
          <w:top w:w="28" w:type="dxa"/>
          <w:left w:w="28" w:type="dxa"/>
          <w:bottom w:w="28" w:type="dxa"/>
          <w:right w:w="28" w:type="dxa"/>
        </w:tblCellMar>
      </w:tblPr>
      <w:tblGrid>
        <w:gridCol w:w="1106"/>
        <w:gridCol w:w="974"/>
        <w:gridCol w:w="976"/>
        <w:gridCol w:w="297"/>
        <w:gridCol w:w="219"/>
        <w:gridCol w:w="219"/>
        <w:gridCol w:w="219"/>
        <w:gridCol w:w="219"/>
        <w:gridCol w:w="219"/>
        <w:gridCol w:w="298"/>
        <w:gridCol w:w="244"/>
        <w:gridCol w:w="219"/>
        <w:gridCol w:w="109"/>
        <w:gridCol w:w="109"/>
        <w:gridCol w:w="109"/>
        <w:gridCol w:w="305"/>
        <w:gridCol w:w="305"/>
        <w:gridCol w:w="306"/>
        <w:gridCol w:w="109"/>
        <w:gridCol w:w="109"/>
        <w:gridCol w:w="109"/>
        <w:gridCol w:w="288"/>
        <w:gridCol w:w="242"/>
        <w:gridCol w:w="213"/>
        <w:gridCol w:w="213"/>
        <w:gridCol w:w="213"/>
        <w:gridCol w:w="213"/>
        <w:gridCol w:w="288"/>
        <w:gridCol w:w="242"/>
        <w:gridCol w:w="213"/>
        <w:gridCol w:w="109"/>
        <w:gridCol w:w="109"/>
        <w:gridCol w:w="109"/>
        <w:gridCol w:w="281"/>
        <w:gridCol w:w="281"/>
        <w:gridCol w:w="412"/>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considered meaningful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disposition of Summit Utica, the owner of our equity method investment, Ohio Gathering, and on May 1, 2024, we completed the disposition of our Mountaineer Midstream system.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excluding Ohio Gathering, decreased for the three and nine months ended September 30, 2024, compared to the three and nine months ended September 30, 2023, primarily due to the sale of our Mountaineer Midstream system and the disposition of Summit Utica as discussed above.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Ohio Gathering system decreased for the three and nine months ended September 30, 2024, compared to the three and nine months ended September 30, 2023, primarily due to the disposition of Summit Utica, which owns an interest in the Ohio Gathering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10205" w:type="dxa"/>
        <w:jc w:val="left"/>
        <w:tblInd w:w="0" w:type="dxa"/>
        <w:tblLayout w:type="fixed"/>
        <w:tblCellMar>
          <w:top w:w="28" w:type="dxa"/>
          <w:left w:w="28" w:type="dxa"/>
          <w:bottom w:w="28" w:type="dxa"/>
          <w:right w:w="28" w:type="dxa"/>
        </w:tblCellMar>
      </w:tblPr>
      <w:tblGrid>
        <w:gridCol w:w="1079"/>
        <w:gridCol w:w="730"/>
        <w:gridCol w:w="735"/>
        <w:gridCol w:w="233"/>
        <w:gridCol w:w="450"/>
        <w:gridCol w:w="120"/>
        <w:gridCol w:w="120"/>
        <w:gridCol w:w="120"/>
        <w:gridCol w:w="120"/>
        <w:gridCol w:w="233"/>
        <w:gridCol w:w="799"/>
        <w:gridCol w:w="120"/>
        <w:gridCol w:w="109"/>
        <w:gridCol w:w="109"/>
        <w:gridCol w:w="109"/>
        <w:gridCol w:w="305"/>
        <w:gridCol w:w="305"/>
        <w:gridCol w:w="306"/>
        <w:gridCol w:w="109"/>
        <w:gridCol w:w="109"/>
        <w:gridCol w:w="109"/>
        <w:gridCol w:w="217"/>
        <w:gridCol w:w="742"/>
        <w:gridCol w:w="112"/>
        <w:gridCol w:w="112"/>
        <w:gridCol w:w="112"/>
        <w:gridCol w:w="112"/>
        <w:gridCol w:w="217"/>
        <w:gridCol w:w="742"/>
        <w:gridCol w:w="112"/>
        <w:gridCol w:w="109"/>
        <w:gridCol w:w="109"/>
        <w:gridCol w:w="109"/>
        <w:gridCol w:w="281"/>
        <w:gridCol w:w="281"/>
        <w:gridCol w:w="409"/>
      </w:tblGrid>
      <w:tr>
        <w:trPr/>
        <w:tc>
          <w:tcPr>
            <w:tcW w:w="10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Ohio Gathering </w:t>
            </w:r>
            <w:r>
              <w:rPr>
                <w:rFonts w:ascii="Times New Roman;sans-serif" w:hAnsi="Times New Roman;sans-serif"/>
                <w:b w:val="false"/>
                <w:color w:val="000000"/>
                <w:sz w:val="13"/>
              </w:rPr>
              <w:t>(1)</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considered meaningful</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Partnership recorded its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2024</w:t>
      </w:r>
      <w:r>
        <w:rPr>
          <w:rFonts w:ascii="Times New Roman;sans-serif" w:hAnsi="Times New Roman;sans-serif"/>
          <w:b w:val="false"/>
          <w:color w:val="000000"/>
          <w:sz w:val="20"/>
        </w:rPr>
        <w:t>. Segment adjusted EBITDA decreased $27.8 million and</w:t>
      </w:r>
      <w:r>
        <w:rPr>
          <w:color w:val="FF0000"/>
        </w:rPr>
        <w:t> </w:t>
      </w:r>
      <w:r>
        <w:rPr>
          <w:rFonts w:ascii="Times New Roman;sans-serif" w:hAnsi="Times New Roman;sans-serif"/>
          <w:b w:val="false"/>
          <w:color w:val="000000"/>
          <w:sz w:val="20"/>
        </w:rPr>
        <w:t xml:space="preserve">$35.2 million, compared to the three and nine months ended September 30, 2023, respectively, primarily as the result of the sale of our Mountaineer Midstream system and the disposition of Summit Utica, the owner of our equity method investment, Ohio Gathering.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Rockies.</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10205" w:type="dxa"/>
        <w:jc w:val="left"/>
        <w:tblInd w:w="0" w:type="dxa"/>
        <w:tblLayout w:type="fixed"/>
        <w:tblCellMar>
          <w:top w:w="28" w:type="dxa"/>
          <w:left w:w="28" w:type="dxa"/>
          <w:bottom w:w="28" w:type="dxa"/>
          <w:right w:w="28" w:type="dxa"/>
        </w:tblCellMar>
      </w:tblPr>
      <w:tblGrid>
        <w:gridCol w:w="1179"/>
        <w:gridCol w:w="1037"/>
        <w:gridCol w:w="1041"/>
        <w:gridCol w:w="276"/>
        <w:gridCol w:w="216"/>
        <w:gridCol w:w="216"/>
        <w:gridCol w:w="216"/>
        <w:gridCol w:w="216"/>
        <w:gridCol w:w="216"/>
        <w:gridCol w:w="276"/>
        <w:gridCol w:w="216"/>
        <w:gridCol w:w="216"/>
        <w:gridCol w:w="109"/>
        <w:gridCol w:w="109"/>
        <w:gridCol w:w="109"/>
        <w:gridCol w:w="305"/>
        <w:gridCol w:w="305"/>
        <w:gridCol w:w="306"/>
        <w:gridCol w:w="109"/>
        <w:gridCol w:w="109"/>
        <w:gridCol w:w="109"/>
        <w:gridCol w:w="270"/>
        <w:gridCol w:w="211"/>
        <w:gridCol w:w="211"/>
        <w:gridCol w:w="211"/>
        <w:gridCol w:w="211"/>
        <w:gridCol w:w="211"/>
        <w:gridCol w:w="270"/>
        <w:gridCol w:w="211"/>
        <w:gridCol w:w="211"/>
        <w:gridCol w:w="109"/>
        <w:gridCol w:w="109"/>
        <w:gridCol w:w="109"/>
        <w:gridCol w:w="281"/>
        <w:gridCol w:w="281"/>
        <w:gridCol w:w="408"/>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2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2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68" w:before="120" w:after="283"/>
        <w:jc w:val="left"/>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increased for the three and nine months ended September 30, 2024,</w:t>
      </w:r>
      <w:r>
        <w:rPr>
          <w:color w:val="FF0000"/>
        </w:rPr>
        <w:t> </w:t>
      </w:r>
      <w:r>
        <w:rPr>
          <w:rFonts w:ascii="Times New Roman;sans-serif" w:hAnsi="Times New Roman;sans-serif"/>
          <w:b w:val="false"/>
          <w:color w:val="000000"/>
          <w:sz w:val="20"/>
        </w:rPr>
        <w:t>compared to the three and nine months ended September 30, 2023, primarily reflecting 123 new well connections that came online subsequent to September 30, 2023, partially offset by winter related interruptions which occurred during the first quarter of 2024.</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costs of natural gas and NGLs includes $13.5 million and $10.1 million, respectively, of gathering fees collected under percentage of proceeds arrangements.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costs of natural gas and NGLs includes $36.0 million and $30.6 million, respectively, of gathering fees collected under percentage of proceeds arrangements.</w:t>
      </w:r>
    </w:p>
    <w:p>
      <w:pPr>
        <w:pStyle w:val="TextBody"/>
        <w:bidi w:val="0"/>
        <w:spacing w:lineRule="auto" w:line="288" w:before="120" w:after="283"/>
        <w:jc w:val="left"/>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Liquids volume throughput decreased for the three and nine months ended September 30, 2024, compared to the three and nine months ended September 30, 2023, primarily due to natural production declines, offset by 25 new well connections that came online subsequent to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10205" w:type="dxa"/>
        <w:jc w:val="left"/>
        <w:tblInd w:w="0" w:type="dxa"/>
        <w:tblLayout w:type="fixed"/>
        <w:tblCellMar>
          <w:top w:w="28" w:type="dxa"/>
          <w:left w:w="28" w:type="dxa"/>
          <w:bottom w:w="28" w:type="dxa"/>
          <w:right w:w="28" w:type="dxa"/>
        </w:tblCellMar>
      </w:tblPr>
      <w:tblGrid>
        <w:gridCol w:w="1017"/>
        <w:gridCol w:w="676"/>
        <w:gridCol w:w="680"/>
        <w:gridCol w:w="219"/>
        <w:gridCol w:w="748"/>
        <w:gridCol w:w="113"/>
        <w:gridCol w:w="113"/>
        <w:gridCol w:w="113"/>
        <w:gridCol w:w="113"/>
        <w:gridCol w:w="219"/>
        <w:gridCol w:w="748"/>
        <w:gridCol w:w="113"/>
        <w:gridCol w:w="109"/>
        <w:gridCol w:w="109"/>
        <w:gridCol w:w="109"/>
        <w:gridCol w:w="305"/>
        <w:gridCol w:w="305"/>
        <w:gridCol w:w="306"/>
        <w:gridCol w:w="109"/>
        <w:gridCol w:w="109"/>
        <w:gridCol w:w="109"/>
        <w:gridCol w:w="216"/>
        <w:gridCol w:w="739"/>
        <w:gridCol w:w="111"/>
        <w:gridCol w:w="111"/>
        <w:gridCol w:w="111"/>
        <w:gridCol w:w="111"/>
        <w:gridCol w:w="216"/>
        <w:gridCol w:w="739"/>
        <w:gridCol w:w="111"/>
        <w:gridCol w:w="109"/>
        <w:gridCol w:w="109"/>
        <w:gridCol w:w="109"/>
        <w:gridCol w:w="281"/>
        <w:gridCol w:w="281"/>
        <w:gridCol w:w="409"/>
      </w:tblGrid>
      <w:tr>
        <w:trPr/>
        <w:tc>
          <w:tcPr>
            <w:tcW w:w="101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143,825 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2024</w:t>
      </w:r>
      <w:r>
        <w:rPr>
          <w:rFonts w:ascii="Times New Roman;sans-serif" w:hAnsi="Times New Roman;sans-serif"/>
          <w:b w:val="false"/>
          <w:color w:val="000000"/>
          <w:sz w:val="20"/>
        </w:rPr>
        <w:t>. Segment adjusted EBITDA increased $5.6 million, compared to the nine months ended September 30, 2023, primarily as a result of increased natural gas throughput as described above, partially offset by the decrease in liquids throughput and lower natural gas and NGL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Permian.</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10205" w:type="dxa"/>
        <w:jc w:val="left"/>
        <w:tblInd w:w="0" w:type="dxa"/>
        <w:tblLayout w:type="fixed"/>
        <w:tblCellMar>
          <w:top w:w="28" w:type="dxa"/>
          <w:left w:w="28" w:type="dxa"/>
          <w:bottom w:w="28" w:type="dxa"/>
          <w:right w:w="28" w:type="dxa"/>
        </w:tblCellMar>
      </w:tblPr>
      <w:tblGrid>
        <w:gridCol w:w="1063"/>
        <w:gridCol w:w="935"/>
        <w:gridCol w:w="938"/>
        <w:gridCol w:w="298"/>
        <w:gridCol w:w="251"/>
        <w:gridCol w:w="230"/>
        <w:gridCol w:w="230"/>
        <w:gridCol w:w="230"/>
        <w:gridCol w:w="230"/>
        <w:gridCol w:w="280"/>
        <w:gridCol w:w="230"/>
        <w:gridCol w:w="230"/>
        <w:gridCol w:w="109"/>
        <w:gridCol w:w="109"/>
        <w:gridCol w:w="109"/>
        <w:gridCol w:w="305"/>
        <w:gridCol w:w="305"/>
        <w:gridCol w:w="306"/>
        <w:gridCol w:w="109"/>
        <w:gridCol w:w="109"/>
        <w:gridCol w:w="109"/>
        <w:gridCol w:w="288"/>
        <w:gridCol w:w="248"/>
        <w:gridCol w:w="224"/>
        <w:gridCol w:w="224"/>
        <w:gridCol w:w="224"/>
        <w:gridCol w:w="224"/>
        <w:gridCol w:w="288"/>
        <w:gridCol w:w="248"/>
        <w:gridCol w:w="224"/>
        <w:gridCol w:w="109"/>
        <w:gridCol w:w="109"/>
        <w:gridCol w:w="109"/>
        <w:gridCol w:w="281"/>
        <w:gridCol w:w="281"/>
        <w:gridCol w:w="409"/>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Volume throughput for Double E increased </w:t>
      </w:r>
      <w:r>
        <w:rPr>
          <w:rFonts w:ascii="Times New Roman;sans-serif" w:hAnsi="Times New Roman;sans-serif"/>
          <w:b w:val="false"/>
          <w:color w:val="000000"/>
          <w:sz w:val="20"/>
        </w:rPr>
        <w:t>for the three and nine months ended September 30, 2024,</w:t>
      </w:r>
      <w:r>
        <w:rPr>
          <w:color w:val="000000"/>
          <w:shd w:fill="FFFFFF" w:val="clear"/>
        </w:rPr>
        <w:t xml:space="preserve"> </w:t>
      </w:r>
      <w:r>
        <w:rPr>
          <w:rFonts w:ascii="Times New Roman;sans-serif" w:hAnsi="Times New Roman;sans-serif"/>
          <w:b w:val="false"/>
          <w:color w:val="000000"/>
          <w:sz w:val="20"/>
        </w:rPr>
        <w:t>compared to the three and nine months ended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MVC quantities that Double E’s shippers have contracted to with firm transportation service agreements and related negotiated rate agreements:</w:t>
      </w:r>
    </w:p>
    <w:tbl>
      <w:tblPr>
        <w:tblW w:w="7124" w:type="dxa"/>
        <w:jc w:val="left"/>
        <w:tblInd w:w="0" w:type="dxa"/>
        <w:tblLayout w:type="fixed"/>
        <w:tblCellMar>
          <w:top w:w="28" w:type="dxa"/>
          <w:left w:w="28" w:type="dxa"/>
          <w:bottom w:w="28" w:type="dxa"/>
          <w:right w:w="28" w:type="dxa"/>
        </w:tblCellMar>
      </w:tblPr>
      <w:tblGrid>
        <w:gridCol w:w="744"/>
        <w:gridCol w:w="654"/>
        <w:gridCol w:w="657"/>
        <w:gridCol w:w="1484"/>
        <w:gridCol w:w="1484"/>
        <w:gridCol w:w="21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MMBTU/day)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MVC quantities for the year ended December 31,</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1,008,587 </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1,068,630 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1,009,521 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105,753 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10205" w:type="dxa"/>
        <w:jc w:val="left"/>
        <w:tblInd w:w="0" w:type="dxa"/>
        <w:tblLayout w:type="fixed"/>
        <w:tblCellMar>
          <w:top w:w="28" w:type="dxa"/>
          <w:left w:w="28" w:type="dxa"/>
          <w:bottom w:w="28" w:type="dxa"/>
          <w:right w:w="28" w:type="dxa"/>
        </w:tblCellMar>
      </w:tblPr>
      <w:tblGrid>
        <w:gridCol w:w="970"/>
        <w:gridCol w:w="742"/>
        <w:gridCol w:w="712"/>
        <w:gridCol w:w="232"/>
        <w:gridCol w:w="679"/>
        <w:gridCol w:w="120"/>
        <w:gridCol w:w="120"/>
        <w:gridCol w:w="120"/>
        <w:gridCol w:w="120"/>
        <w:gridCol w:w="232"/>
        <w:gridCol w:w="679"/>
        <w:gridCol w:w="120"/>
        <w:gridCol w:w="109"/>
        <w:gridCol w:w="109"/>
        <w:gridCol w:w="109"/>
        <w:gridCol w:w="305"/>
        <w:gridCol w:w="305"/>
        <w:gridCol w:w="306"/>
        <w:gridCol w:w="109"/>
        <w:gridCol w:w="109"/>
        <w:gridCol w:w="109"/>
        <w:gridCol w:w="218"/>
        <w:gridCol w:w="746"/>
        <w:gridCol w:w="112"/>
        <w:gridCol w:w="112"/>
        <w:gridCol w:w="112"/>
        <w:gridCol w:w="112"/>
        <w:gridCol w:w="218"/>
        <w:gridCol w:w="746"/>
        <w:gridCol w:w="112"/>
        <w:gridCol w:w="109"/>
        <w:gridCol w:w="109"/>
        <w:gridCol w:w="109"/>
        <w:gridCol w:w="281"/>
        <w:gridCol w:w="281"/>
        <w:gridCol w:w="412"/>
      </w:tblGrid>
      <w:tr>
        <w:trPr/>
        <w:tc>
          <w:tcPr>
            <w:tcW w:w="97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2024</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 xml:space="preserve">$2.6 million and $7.2 million, compared to the three and nine months ended September 30, 2023, primarily as a result of an increase in proportional adjusted EBITDA from our equity method investment in Double 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Piceance.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10205" w:type="dxa"/>
        <w:jc w:val="left"/>
        <w:tblInd w:w="0" w:type="dxa"/>
        <w:tblLayout w:type="fixed"/>
        <w:tblCellMar>
          <w:top w:w="28" w:type="dxa"/>
          <w:left w:w="28" w:type="dxa"/>
          <w:bottom w:w="28" w:type="dxa"/>
          <w:right w:w="28" w:type="dxa"/>
        </w:tblCellMar>
      </w:tblPr>
      <w:tblGrid>
        <w:gridCol w:w="1046"/>
        <w:gridCol w:w="920"/>
        <w:gridCol w:w="923"/>
        <w:gridCol w:w="298"/>
        <w:gridCol w:w="252"/>
        <w:gridCol w:w="231"/>
        <w:gridCol w:w="231"/>
        <w:gridCol w:w="231"/>
        <w:gridCol w:w="231"/>
        <w:gridCol w:w="298"/>
        <w:gridCol w:w="252"/>
        <w:gridCol w:w="231"/>
        <w:gridCol w:w="109"/>
        <w:gridCol w:w="109"/>
        <w:gridCol w:w="109"/>
        <w:gridCol w:w="305"/>
        <w:gridCol w:w="305"/>
        <w:gridCol w:w="306"/>
        <w:gridCol w:w="109"/>
        <w:gridCol w:w="109"/>
        <w:gridCol w:w="109"/>
        <w:gridCol w:w="288"/>
        <w:gridCol w:w="249"/>
        <w:gridCol w:w="224"/>
        <w:gridCol w:w="224"/>
        <w:gridCol w:w="224"/>
        <w:gridCol w:w="224"/>
        <w:gridCol w:w="288"/>
        <w:gridCol w:w="249"/>
        <w:gridCol w:w="224"/>
        <w:gridCol w:w="109"/>
        <w:gridCol w:w="109"/>
        <w:gridCol w:w="109"/>
        <w:gridCol w:w="281"/>
        <w:gridCol w:w="281"/>
        <w:gridCol w:w="408"/>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120" w:after="283"/>
        <w:jc w:val="left"/>
        <w:rPr/>
      </w:pPr>
      <w:r>
        <w:rPr>
          <w:rFonts w:ascii="Times New Roman;sans-serif" w:hAnsi="Times New Roman;sans-serif"/>
          <w:b w:val="false"/>
          <w:color w:val="000000"/>
          <w:sz w:val="20"/>
        </w:rPr>
        <w:t>Volume throughput decreased for the three and nine months ended September 30, 2024,</w:t>
      </w:r>
      <w:r>
        <w:rPr>
          <w:color w:val="000000"/>
          <w:shd w:fill="FFFFFF" w:val="clear"/>
        </w:rPr>
        <w:t xml:space="preserve"> </w:t>
      </w:r>
      <w:r>
        <w:rPr>
          <w:rFonts w:ascii="Times New Roman;sans-serif" w:hAnsi="Times New Roman;sans-serif"/>
          <w:b w:val="false"/>
          <w:color w:val="000000"/>
          <w:sz w:val="20"/>
        </w:rPr>
        <w:t>compared to the three and nine months ended September 30, 2023,</w:t>
      </w:r>
      <w:r>
        <w:rPr>
          <w:color w:val="000000"/>
          <w:shd w:fill="FFFFFF" w:val="clear"/>
        </w:rPr>
        <w:t xml:space="preserve"> </w:t>
      </w:r>
      <w:r>
        <w:rPr>
          <w:rFonts w:ascii="Times New Roman;sans-serif" w:hAnsi="Times New Roman;sans-serif"/>
          <w:b w:val="false"/>
          <w:color w:val="000000"/>
          <w:sz w:val="20"/>
        </w:rPr>
        <w:t>primarily as a result of natural production declines, offset by 21 new well connections that came online subsequent to September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10205" w:type="dxa"/>
        <w:jc w:val="left"/>
        <w:tblInd w:w="0" w:type="dxa"/>
        <w:tblLayout w:type="fixed"/>
        <w:tblCellMar>
          <w:top w:w="28" w:type="dxa"/>
          <w:left w:w="28" w:type="dxa"/>
          <w:bottom w:w="28" w:type="dxa"/>
          <w:right w:w="28" w:type="dxa"/>
        </w:tblCellMar>
      </w:tblPr>
      <w:tblGrid>
        <w:gridCol w:w="1032"/>
        <w:gridCol w:w="670"/>
        <w:gridCol w:w="674"/>
        <w:gridCol w:w="219"/>
        <w:gridCol w:w="748"/>
        <w:gridCol w:w="113"/>
        <w:gridCol w:w="113"/>
        <w:gridCol w:w="113"/>
        <w:gridCol w:w="113"/>
        <w:gridCol w:w="219"/>
        <w:gridCol w:w="748"/>
        <w:gridCol w:w="113"/>
        <w:gridCol w:w="109"/>
        <w:gridCol w:w="109"/>
        <w:gridCol w:w="109"/>
        <w:gridCol w:w="305"/>
        <w:gridCol w:w="305"/>
        <w:gridCol w:w="306"/>
        <w:gridCol w:w="109"/>
        <w:gridCol w:w="109"/>
        <w:gridCol w:w="109"/>
        <w:gridCol w:w="216"/>
        <w:gridCol w:w="739"/>
        <w:gridCol w:w="111"/>
        <w:gridCol w:w="111"/>
        <w:gridCol w:w="111"/>
        <w:gridCol w:w="111"/>
        <w:gridCol w:w="216"/>
        <w:gridCol w:w="739"/>
        <w:gridCol w:w="111"/>
        <w:gridCol w:w="109"/>
        <w:gridCol w:w="109"/>
        <w:gridCol w:w="109"/>
        <w:gridCol w:w="281"/>
        <w:gridCol w:w="281"/>
        <w:gridCol w:w="406"/>
      </w:tblGrid>
      <w:tr>
        <w:trPr/>
        <w:tc>
          <w:tcPr>
            <w:tcW w:w="103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68,072 </w:t>
            </w:r>
          </w:p>
        </w:tc>
        <w:tc>
          <w:tcPr>
            <w:tcW w:w="1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2024</w:t>
      </w:r>
      <w:r>
        <w:rPr>
          <w:rFonts w:ascii="Times New Roman;sans-serif" w:hAnsi="Times New Roman;sans-serif"/>
          <w:b w:val="false"/>
          <w:color w:val="000000"/>
          <w:sz w:val="20"/>
        </w:rPr>
        <w:t xml:space="preserve">. Segment adjusted EBITDA decreased $2.5 million and $2.7 million, compared to the three and nine months ended September 30, 2023 primarily related to the contractual step-downs.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i/>
          <w:color w:val="000000"/>
          <w:sz w:val="20"/>
        </w:rPr>
        <w:t>Barnett.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Barnett reportable segment follows.</w:t>
      </w:r>
    </w:p>
    <w:tbl>
      <w:tblPr>
        <w:tblW w:w="10205" w:type="dxa"/>
        <w:jc w:val="left"/>
        <w:tblInd w:w="0" w:type="dxa"/>
        <w:tblLayout w:type="fixed"/>
        <w:tblCellMar>
          <w:top w:w="28" w:type="dxa"/>
          <w:left w:w="28" w:type="dxa"/>
          <w:bottom w:w="28" w:type="dxa"/>
          <w:right w:w="28" w:type="dxa"/>
        </w:tblCellMar>
      </w:tblPr>
      <w:tblGrid>
        <w:gridCol w:w="940"/>
        <w:gridCol w:w="828"/>
        <w:gridCol w:w="830"/>
        <w:gridCol w:w="298"/>
        <w:gridCol w:w="268"/>
        <w:gridCol w:w="255"/>
        <w:gridCol w:w="255"/>
        <w:gridCol w:w="255"/>
        <w:gridCol w:w="255"/>
        <w:gridCol w:w="298"/>
        <w:gridCol w:w="268"/>
        <w:gridCol w:w="255"/>
        <w:gridCol w:w="109"/>
        <w:gridCol w:w="109"/>
        <w:gridCol w:w="109"/>
        <w:gridCol w:w="305"/>
        <w:gridCol w:w="305"/>
        <w:gridCol w:w="306"/>
        <w:gridCol w:w="109"/>
        <w:gridCol w:w="109"/>
        <w:gridCol w:w="109"/>
        <w:gridCol w:w="288"/>
        <w:gridCol w:w="263"/>
        <w:gridCol w:w="247"/>
        <w:gridCol w:w="247"/>
        <w:gridCol w:w="247"/>
        <w:gridCol w:w="247"/>
        <w:gridCol w:w="288"/>
        <w:gridCol w:w="263"/>
        <w:gridCol w:w="247"/>
        <w:gridCol w:w="109"/>
        <w:gridCol w:w="109"/>
        <w:gridCol w:w="109"/>
        <w:gridCol w:w="281"/>
        <w:gridCol w:w="281"/>
        <w:gridCol w:w="404"/>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bidi w:val="0"/>
        <w:spacing w:lineRule="auto" w:line="288" w:before="120" w:after="283"/>
        <w:jc w:val="left"/>
        <w:rPr/>
      </w:pPr>
      <w:r>
        <w:rPr>
          <w:rFonts w:ascii="Times New Roman;sans-serif" w:hAnsi="Times New Roman;sans-serif"/>
          <w:b w:val="false"/>
          <w:color w:val="000000"/>
          <w:sz w:val="20"/>
        </w:rPr>
        <w:t>Volume throughput increased for the three and nine months ended September 30, 2024,</w:t>
      </w:r>
      <w:r>
        <w:rPr>
          <w:color w:val="000000"/>
          <w:shd w:fill="FFFFFF" w:val="clear"/>
        </w:rPr>
        <w:t xml:space="preserve"> </w:t>
      </w:r>
      <w:r>
        <w:rPr>
          <w:rFonts w:ascii="Times New Roman;sans-serif" w:hAnsi="Times New Roman;sans-serif"/>
          <w:b w:val="false"/>
          <w:color w:val="000000"/>
          <w:sz w:val="20"/>
        </w:rPr>
        <w:t>compared to the three and nine months ended September 30, 2023,</w:t>
      </w:r>
      <w:r>
        <w:rPr>
          <w:color w:val="000000"/>
          <w:shd w:fill="FFFFFF" w:val="clear"/>
        </w:rPr>
        <w:t xml:space="preserve"> </w:t>
      </w:r>
      <w:r>
        <w:rPr>
          <w:rFonts w:ascii="Times New Roman;sans-serif" w:hAnsi="Times New Roman;sans-serif"/>
          <w:b w:val="false"/>
          <w:color w:val="000000"/>
          <w:sz w:val="20"/>
        </w:rPr>
        <w:t>primarily as a result of 27 new well connections that came online subsequent to September 30, 2023, partially offset by temporary production curtailments associated with reductions in commodity pricing.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Barnett reportable segment follows.</w:t>
      </w:r>
    </w:p>
    <w:tbl>
      <w:tblPr>
        <w:tblW w:w="10205" w:type="dxa"/>
        <w:jc w:val="left"/>
        <w:tblInd w:w="0" w:type="dxa"/>
        <w:tblLayout w:type="fixed"/>
        <w:tblCellMar>
          <w:top w:w="28" w:type="dxa"/>
          <w:left w:w="28" w:type="dxa"/>
          <w:bottom w:w="28" w:type="dxa"/>
          <w:right w:w="28" w:type="dxa"/>
        </w:tblCellMar>
      </w:tblPr>
      <w:tblGrid>
        <w:gridCol w:w="1048"/>
        <w:gridCol w:w="691"/>
        <w:gridCol w:w="695"/>
        <w:gridCol w:w="223"/>
        <w:gridCol w:w="763"/>
        <w:gridCol w:w="115"/>
        <w:gridCol w:w="115"/>
        <w:gridCol w:w="115"/>
        <w:gridCol w:w="115"/>
        <w:gridCol w:w="223"/>
        <w:gridCol w:w="652"/>
        <w:gridCol w:w="115"/>
        <w:gridCol w:w="109"/>
        <w:gridCol w:w="109"/>
        <w:gridCol w:w="109"/>
        <w:gridCol w:w="305"/>
        <w:gridCol w:w="305"/>
        <w:gridCol w:w="306"/>
        <w:gridCol w:w="109"/>
        <w:gridCol w:w="109"/>
        <w:gridCol w:w="109"/>
        <w:gridCol w:w="216"/>
        <w:gridCol w:w="740"/>
        <w:gridCol w:w="111"/>
        <w:gridCol w:w="111"/>
        <w:gridCol w:w="111"/>
        <w:gridCol w:w="111"/>
        <w:gridCol w:w="216"/>
        <w:gridCol w:w="740"/>
        <w:gridCol w:w="111"/>
        <w:gridCol w:w="109"/>
        <w:gridCol w:w="109"/>
        <w:gridCol w:w="109"/>
        <w:gridCol w:w="281"/>
        <w:gridCol w:w="281"/>
        <w:gridCol w:w="409"/>
      </w:tblGrid>
      <w:tr>
        <w:trPr/>
        <w:tc>
          <w:tcPr>
            <w:tcW w:w="104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60"/>
        <w:jc w:val="left"/>
        <w:rPr>
          <w:rFonts w:ascii="Times New Roman;sans-serif" w:hAnsi="Times New Roman;sans-serif"/>
          <w:b w:val="false"/>
          <w:color w:val="000000"/>
          <w:sz w:val="16"/>
        </w:rPr>
      </w:pPr>
      <w:r>
        <w:rPr>
          <w:rFonts w:ascii="Times New Roman;sans-serif" w:hAnsi="Times New Roman;sans-serif"/>
          <w:b w:val="false"/>
          <w:color w:val="000000"/>
          <w:sz w:val="16"/>
        </w:rPr>
        <w:t>*Not considered meaningful</w:t>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ans-serif" w:hAnsi="Times New Roman;sans-serif"/>
          <w:b w:val="false"/>
          <w:color w:val="000000"/>
          <w:sz w:val="20"/>
          <w:u w:val="single"/>
        </w:rPr>
        <w:t>Three and nine months ended September 30, 2024</w:t>
      </w:r>
      <w:r>
        <w:rPr>
          <w:rFonts w:ascii="Times New Roman;sans-serif" w:hAnsi="Times New Roman;sans-serif"/>
          <w:b w:val="false"/>
          <w:color w:val="000000"/>
          <w:sz w:val="20"/>
        </w:rPr>
        <w:t xml:space="preserve">. Segment adjusted EBITDA increased $1.2 million compared to the three months ended September 30, 2023, primarily as a result of increase throughput discussed above. Segment adjusted EBITDA decreased $2.6 million, compared to the nine months ended September 30, 2023, primarily as a result of production curtailments discussed above and unfavorable margin mix, partially offset by increased volume throughput.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Corporate and Other Overview for the Three and Nine Months Ended September 30,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tbl>
      <w:tblPr>
        <w:tblW w:w="10205" w:type="dxa"/>
        <w:jc w:val="left"/>
        <w:tblInd w:w="0" w:type="dxa"/>
        <w:tblLayout w:type="fixed"/>
        <w:tblCellMar>
          <w:top w:w="28" w:type="dxa"/>
          <w:left w:w="28" w:type="dxa"/>
          <w:bottom w:w="28" w:type="dxa"/>
          <w:right w:w="28" w:type="dxa"/>
        </w:tblCellMar>
      </w:tblPr>
      <w:tblGrid>
        <w:gridCol w:w="807"/>
        <w:gridCol w:w="680"/>
        <w:gridCol w:w="669"/>
        <w:gridCol w:w="239"/>
        <w:gridCol w:w="822"/>
        <w:gridCol w:w="124"/>
        <w:gridCol w:w="124"/>
        <w:gridCol w:w="124"/>
        <w:gridCol w:w="124"/>
        <w:gridCol w:w="239"/>
        <w:gridCol w:w="702"/>
        <w:gridCol w:w="124"/>
        <w:gridCol w:w="109"/>
        <w:gridCol w:w="109"/>
        <w:gridCol w:w="109"/>
        <w:gridCol w:w="305"/>
        <w:gridCol w:w="305"/>
        <w:gridCol w:w="306"/>
        <w:gridCol w:w="109"/>
        <w:gridCol w:w="109"/>
        <w:gridCol w:w="109"/>
        <w:gridCol w:w="224"/>
        <w:gridCol w:w="767"/>
        <w:gridCol w:w="115"/>
        <w:gridCol w:w="115"/>
        <w:gridCol w:w="115"/>
        <w:gridCol w:w="115"/>
        <w:gridCol w:w="224"/>
        <w:gridCol w:w="767"/>
        <w:gridCol w:w="115"/>
        <w:gridCol w:w="109"/>
        <w:gridCol w:w="109"/>
        <w:gridCol w:w="109"/>
        <w:gridCol w:w="281"/>
        <w:gridCol w:w="281"/>
        <w:gridCol w:w="411"/>
      </w:tblGrid>
      <w:tr>
        <w:trPr/>
        <w:tc>
          <w:tcPr>
            <w:tcW w:w="80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expenses increased by $1.7 million and $9.3 million for the three and nine months ended September 30, 2024,</w:t>
      </w:r>
      <w:r>
        <w:rPr>
          <w:color w:val="000000"/>
          <w:shd w:fill="FFFFFF" w:val="clear"/>
        </w:rPr>
        <w:t xml:space="preserve"> </w:t>
      </w:r>
      <w:r>
        <w:rPr>
          <w:rFonts w:ascii="Times New Roman;sans-serif" w:hAnsi="Times New Roman;sans-serif"/>
          <w:b w:val="false"/>
          <w:color w:val="000000"/>
          <w:sz w:val="20"/>
        </w:rPr>
        <w:t>compared to the three months ended September 30, 2023, respectively, primarily due to increased employee salaries and benefit expense, as well as professional and other expenses associated with our Corporate Reorganization.</w:t>
      </w:r>
    </w:p>
    <w:p>
      <w:pPr>
        <w:pStyle w:val="TextBody"/>
        <w:bidi w:val="0"/>
        <w:spacing w:lineRule="auto" w:line="288" w:before="120" w:after="283"/>
        <w:jc w:val="left"/>
        <w:rPr/>
      </w:pPr>
      <w:r>
        <w:rPr>
          <w:rFonts w:ascii="Times New Roman;sans-serif" w:hAnsi="Times New Roman;sans-serif"/>
          <w:b w:val="false"/>
          <w:color w:val="000000"/>
          <w:sz w:val="20"/>
          <w:u w:val="single"/>
        </w:rPr>
        <w:t>Transaction costs.</w:t>
      </w:r>
      <w:r>
        <w:rPr>
          <w:color w:val="000000"/>
        </w:rPr>
        <w:t xml:space="preserve"> </w:t>
      </w:r>
      <w:r>
        <w:rPr>
          <w:rFonts w:ascii="Times New Roman;sans-serif" w:hAnsi="Times New Roman;sans-serif"/>
          <w:b w:val="false"/>
          <w:color w:val="000000"/>
          <w:sz w:val="20"/>
        </w:rPr>
        <w:t xml:space="preserve">Transaction costs in 2024 are primarily related to the </w:t>
      </w:r>
      <w:r>
        <w:rPr>
          <w:rFonts w:ascii="Times New Roman;sans-serif" w:hAnsi="Times New Roman;sans-serif"/>
          <w:b w:val="false"/>
          <w:i/>
          <w:color w:val="000000"/>
          <w:sz w:val="20"/>
        </w:rPr>
        <w:t>Utica Sale</w:t>
      </w:r>
      <w:r>
        <w:rPr>
          <w:color w:val="000000"/>
        </w:rPr>
        <w:t xml:space="preserve"> </w:t>
      </w:r>
      <w:r>
        <w:rPr>
          <w:rFonts w:ascii="Times New Roman;sans-serif" w:hAnsi="Times New Roman;sans-serif"/>
          <w:b w:val="false"/>
          <w:color w:val="000000"/>
          <w:sz w:val="20"/>
        </w:rPr>
        <w:t>that closed on March 22, 2024, the Mountaineer Transaction that closed on May 1, 2024 and the costs incurred in connection with our Corporate Reorganization and strategic alternatives review.</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$8.9 million for the three months ended September 30, 2024, compared to three months ended September 30, 2023, primarily due to $10.5 million of reduced interest expense as a result of the 2026 Secured Notes Tender Offer and Asset Sale Offer that occurred in July 2024 and May 2024, respectively, $4.5 million of reduced interest expense as a result of decreased borrowings on the Amended and Restated ABL Facility and $3.4 million of reduced interest expense as a result of the exchange and repurchase of $209.7 million of the 2025 Senior Notes that occurred in November 2023, partially offset by $8.9 million of increased borrowing costs in connection with issuance of the 2029 Secured Notes in July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$9.0 million for the nine months ended September 30, 2024, compared to nine months ended September 30, 2023, primarily due to $12.3 million of reduced interest expense as a result of decreased borrowings on the Amended and Restated ABL Facility, $9.6 million of reduced interest expense as a result of the 2026 Secured Notes Tender Offer and Asset Sale Offer that occurred in July 2024 and May 2024, respectively and $9.4 million of reduced interest expense as a result of the exchange and repurchase of $209.7 million of the 2025 Senior Notes that occurred in November 2023, partially offset by $12.0 million of increased borrowing costs on the 2026 Unsecured Notes issued in November 2023 and $9.0 million of increased borrowing costs on the 2029 Secured Notes issued in July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current cash balance and external financing sources, including commercial bank borrowings, and the issuance of debt, equity and preferred equity securities, and proceeds from potential asset divestitures to fund our capital expenditures. We believe that our Amended and Restated ABL Facility and Permian Transmission Credit Facility, together with internally generated cash flows, current cash balance and access to debt or equity capital markets, will be adequate to finance our operations for the next twelve months without adversely impacting our 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September 30, 2024, our material off-balance sheet arrangements and transactions include (i) letters of credit outstanding against our Amended and Restated ABL Facility aggregating to $0.8 million, and (ii) letters of credit outstanding against our Permian Transmission Credit Facility aggregating to $10.5 million. There are no other transactions, arrangements or other relationships with unconsolidated entities or other persons that are reasonably likely to materially affect our liquidity or availability of our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compliance with all covenants contained in the 2029 Secured Notes, the Amended and Restated ABL Facility and the Permian Transmission Credit Facility. The Amended and Restated ABL Facility requires that Summit Holdings not permit (i) the First Lien Net Leverage Ratio as of the last day of any fiscal quarter to be greater than 2.50:1.00, or (ii) the Interest Coverage Ratio (as defined in the Amended and Restated ABL Agreement) as of the last day of any fiscal quarter to be less than 2.00:1.00. As of September 30, 2024, the First Lien Net Leverage Ratio and the Interest Coverage Ratio was 0.84:1.00 and 2.42:1.00,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ABL Facility.</w:t>
      </w:r>
      <w:r>
        <w:rPr>
          <w:color w:val="000000"/>
        </w:rPr>
        <w:t xml:space="preserve"> </w:t>
      </w:r>
      <w:r>
        <w:rPr>
          <w:rFonts w:ascii="Times New Roman;sans-serif" w:hAnsi="Times New Roman;sans-serif"/>
          <w:b w:val="false"/>
          <w:color w:val="000000"/>
          <w:sz w:val="20"/>
        </w:rPr>
        <w:t xml:space="preserve">Concurrently with the issuance of the 2029 Secured Notes, on July 26, 2024, Summit Holdings, as borrower, amended and restated its existing first-lien, senior secured credit agreement, with the Partnership, consisting of a $500.0 million asset-based revolving credit facility. As of September 30, 2024, 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(c) any date on which the aggregate Commitments terminate thereunder. As of September 30, 2024, there was $150.0 million outstanding under the Amended and Restated ABL Facility and the available borrowing capacity totaled $349.2 million after giving effect to the issuance thereunder of $0.8 million of outstanding but undrawn irrevocable standby letters of credit. </w:t>
      </w:r>
    </w:p>
    <w:p>
      <w:pPr>
        <w:pStyle w:val="TextBody"/>
        <w:bidi w:val="0"/>
        <w:spacing w:lineRule="auto" w:line="288" w:before="120" w:after="283"/>
        <w:jc w:val="left"/>
        <w:rPr/>
      </w:pPr>
      <w:r>
        <w:rPr>
          <w:rFonts w:ascii="Times New Roman;sans-serif" w:hAnsi="Times New Roman;sans-serif"/>
          <w:b/>
          <w:i/>
          <w:color w:val="000000"/>
          <w:sz w:val="20"/>
        </w:rPr>
        <w:t>2029 Secured Notes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On July 26, 2024, Summit Holdings issued $575.0 million aggregate principal amount of 8.625% Senior Secured Second Lien Notes due 2029. The 2029 Secured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Restated ABL Facility. The 2029 Secured Notes mature on October 31, 2029 and have interest payable semi-annually in arrears on each February 15 and August 15, commencing on February 15, 2025. As of September 30, 2024, the outstanding balance of the 2029 Secured Notes was $575.0 million.</w:t>
      </w:r>
    </w:p>
    <w:p>
      <w:pPr>
        <w:pStyle w:val="TextBody"/>
        <w:bidi w:val="0"/>
        <w:spacing w:lineRule="auto" w:line="288" w:before="120" w:after="120"/>
        <w:jc w:val="left"/>
        <w:rPr/>
      </w:pPr>
      <w:r>
        <w:rPr>
          <w:rFonts w:ascii="Times New Roman;sans-serif" w:hAnsi="Times New Roman;sans-serif"/>
          <w:b/>
          <w:i/>
          <w:color w:val="000000"/>
          <w:sz w:val="20"/>
        </w:rPr>
        <w:t>Other.</w:t>
      </w:r>
      <w:r>
        <w:rPr>
          <w:color w:val="000000"/>
        </w:rPr>
        <w:t xml:space="preserve"> </w:t>
      </w:r>
      <w:r>
        <w:rPr>
          <w:rFonts w:ascii="Times New Roman;sans-serif" w:hAnsi="Times New Roman;sans-serif"/>
          <w:b w:val="false"/>
          <w:color w:val="000000"/>
          <w:sz w:val="20"/>
        </w:rPr>
        <w:t>We may in the future use a combination of cash, secured or unsecured borrowings and issuances of our common stock or other securities and the proceeds from asset sales to retire or refinance our outstanding debt or Series A Preferred Stock through privately negotiated transactions, open market repurchases, redemptions, exchange offers, tender offers or otherwise, but we are under no obligation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and cash equivalents were as follows:</w:t>
      </w:r>
    </w:p>
    <w:tbl>
      <w:tblPr>
        <w:tblW w:w="7298" w:type="dxa"/>
        <w:jc w:val="left"/>
        <w:tblInd w:w="0" w:type="dxa"/>
        <w:tblLayout w:type="fixed"/>
        <w:tblCellMar>
          <w:top w:w="28" w:type="dxa"/>
          <w:left w:w="28" w:type="dxa"/>
          <w:bottom w:w="28" w:type="dxa"/>
          <w:right w:w="28" w:type="dxa"/>
        </w:tblCellMar>
      </w:tblPr>
      <w:tblGrid>
        <w:gridCol w:w="1677"/>
        <w:gridCol w:w="1476"/>
        <w:gridCol w:w="1481"/>
        <w:gridCol w:w="211"/>
        <w:gridCol w:w="826"/>
        <w:gridCol w:w="109"/>
        <w:gridCol w:w="109"/>
        <w:gridCol w:w="109"/>
        <w:gridCol w:w="109"/>
        <w:gridCol w:w="211"/>
        <w:gridCol w:w="82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nine months ended September 30,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net loss of $88.4 million plus positive adjustments of $158.6 million for non-cash operating items;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$30.1 million change in working capital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nine months ended September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net loss of $23.8 million plus adjustments of $127.9 million for non-cash operating items;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$6.7 million change in working capital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investing activities during the nine months ended September 30,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$332.7 million of cash inflows from the proceeds of the sale Ohio Gathering;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$292.3 million of cash inflows from the proceeds of the Utica Sale (excluding Ohio Gathering);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$69.3 million of cash inflows from the proceeds of the Mountaineer Transaction;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$4.4 million of cash inflows from the sale of compressor equipment;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$37.9 million of cash outflows for capital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nine months ended September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$49.9 million of cash outflows for 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$3.5 million for cash investments in the Double E Project.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nine months ended September 30,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$649.8 million of cash outflows for the redemption of Secured Notes;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$313.0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$209.5 million of cash outflows from the redemption of 2026 Unsecured Notes;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$49.8 million of cash outflows from the 2025 Notes Redemption;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$21.4 million of cash outflows for debt extinguishment costs;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$13.6 million of cash outflows for the Excess Cash Flow Offer;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$11.6 million of cash outflows for repayments on the Permian Transmission Term Loan;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$6.9 million of cash outflows for the Asset Sale Offer; partially offset by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$565.8 million of cash inflows from the issuance of the 2029 Secured Notes;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$150.0 million of cash inflows from borrowings on the Amended and Restated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nine months ended September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$70.0 million of cash outflows for repayments on the Amended and Restated ABL Facility;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$7.8 million of cash outflows for repayments on the Permian Transmission Term Loan; offset by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$35.0 million of cash inflows from borrowings on the Amended and Restated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Capital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Corporate Reorganization, the Partnership Agreement was amended to, among other things, reflect that all of the issued and outstanding limited partnership interests of the Partnership are held by Summit Midstream Corporation. For information on the Corporate Reorganization, see Note 1 – Organization, Business Operations, Corporate Reorganization and Presentation and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cash paid for capital expenditures totaled $37.9 million which included $7.4 million of maintenance capital expenditures. For the nine months ended September 30, 2024, we did not make any contributions to Ohio Gathering and we contributed $1.4 million to Double 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Amended and Restated ABL Facility and the Permian Transmission Credit Facility, and access to debt or equity capital markets, will be adequate to finance our operations for the next twelve months without adversely impacting our liquidity.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Credit and Counterparty Concentration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2024, there were no material changes to the off-balance sheet obligations disclosed in our 2023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and the time required to consummate the Transaction;</w:t>
      </w:r>
    </w:p>
    <w:p>
      <w:pPr>
        <w:pStyle w:val="TextBody"/>
        <w:bidi w:val="0"/>
        <w:spacing w:lineRule="auto" w:line="288" w:before="120" w:after="283"/>
        <w:ind w:left="0" w:right="0" w:hanging="540"/>
        <w:jc w:val="left"/>
        <w:rPr>
          <w:color w:val="000000"/>
        </w:rPr>
      </w:pPr>
      <w:r>
        <w:rPr>
          <w:color w:val="000000"/>
        </w:rPr>
        <w:t>•     </w:t>
      </w:r>
      <w:r>
        <w:rPr>
          <w:rFonts w:ascii="Times New Roman;sans-serif" w:hAnsi="Times New Roman;sans-serif"/>
          <w:b w:val="false"/>
          <w:color w:val="000000"/>
          <w:sz w:val="20"/>
        </w:rPr>
        <w:t>our ability to achieve the strategic and other objectives relating to the proposed Transaction;</w:t>
      </w:r>
    </w:p>
    <w:p>
      <w:pPr>
        <w:pStyle w:val="TextBody"/>
        <w:bidi w:val="0"/>
        <w:spacing w:lineRule="auto" w:line="288" w:before="120" w:after="283"/>
        <w:ind w:left="0" w:right="0" w:hanging="540"/>
        <w:jc w:val="left"/>
        <w:rPr>
          <w:color w:val="000000"/>
        </w:rPr>
      </w:pPr>
      <w:r>
        <w:rPr>
          <w:color w:val="000000"/>
        </w:rPr>
        <w:t>•    </w:t>
      </w:r>
      <w:r>
        <w:rPr>
          <w:rFonts w:ascii="Times New Roman;sans-serif" w:hAnsi="Times New Roman;sans-serif"/>
          <w:b w:val="false"/>
          <w:color w:val="000000"/>
          <w:sz w:val="20"/>
        </w:rPr>
        <w:t>the risk that regulatory approvals for the Transaction are not obtained or are obtained subject to conditions that are not anticipated;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color w:val="000000"/>
        </w:rPr>
      </w:pPr>
      <w:r>
        <w:rPr>
          <w:color w:val="000000"/>
        </w:rPr>
        <w:t>•     </w:t>
      </w:r>
      <w:r>
        <w:rPr>
          <w:rFonts w:ascii="Times New Roman;sans-serif" w:hAnsi="Times New Roman;sans-serif"/>
          <w:b w:val="false"/>
          <w:color w:val="000000"/>
          <w:sz w:val="20"/>
        </w:rPr>
        <w:t>the risk that we are unable to integrate Tall Oak’s operations in a successful manner and in the expected time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decision whether to pay, or our ability to grow, our cash dividends;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current and potential future impact of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processing and freshwater facilities;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general economic conditions;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certain factors discussed elsewhere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stock, Series A Preferred Stock and 2029 Secured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Information About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rate risk exposure, which is largely related to our indebtedness, has not changed materially since December 31, 2023. As of September 30, 2024, we had approximately $689.7 million principal of fixed-rate debt, $150.0 million outstanding under our variable rate Amended and Restated ABL Facility and $133.3 million outstanding under the variable rate Permian Transmission Term Loan (see Note 8 - Debt). As of September 30, 2024, we had $120.0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Amended and Restated ABL Facility, which have a variable interest rate, also expose us to the risk of increasing interest rates. For additional information, see the “Interest Rate Risk” section included in Item 7A. Quantitative and Qualitative Disclosures About Market Risk of the 2023 Annual Report and updates to our risk factors included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8 – Debt for additional information on our Refinancing Transactions.</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Commodity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2023. For additional information, see the “Commodity Price Risk” section included in Item 7A. Quantitative and Qualitative Disclosures About Market Risk of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Chief Executive Officer and Chief Financial Officer, we evaluated our disclosure controls and procedures and internal control over financial reporting and concluded that (i) our disclosure controls and procedures were effective as of September 30, 2024 and (ii) no change in internal control over financial reporting occurred during the quarter ended September 30, 2024, other than the change discussed below, that has materially affected, or is reasonably likely to materially affect, our internal control over financial reporting.</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we added internal control processes over financial reporting as a result of our Corporate Reorganization and resulting federal and state income tax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88" w:before="120" w:after="283"/>
        <w:jc w:val="left"/>
        <w:rPr/>
      </w:pPr>
      <w:r>
        <w:rPr>
          <w:rFonts w:ascii="Times New Roman;sans-serif" w:hAnsi="Times New Roman;sans-serif"/>
          <w:b/>
          <w:i/>
          <w:color w:val="000000"/>
          <w:sz w:val="20"/>
        </w:rPr>
        <w:t>Fiberspar Corporation.</w:t>
      </w:r>
      <w:r>
        <w:rPr>
          <w:color w:val="000000"/>
        </w:rPr>
        <w:t xml:space="preserve"> </w:t>
      </w:r>
      <w:r>
        <w:rPr>
          <w:rFonts w:ascii="Times New Roman;sans-serif" w:hAnsi="Times New Roman;sans-serif"/>
          <w:b w:val="false"/>
          <w:color w:val="000000"/>
          <w:sz w:val="20"/>
        </w:rPr>
        <w:t>On May 3, 2022, Fiberspar Corporation (“Fiberspar”) filed a petition in the District Court of Harris County, Texas alleging, before costs and interest,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We are unable to predict the final outcome of this matter.</w:t>
      </w:r>
    </w:p>
    <w:p>
      <w:pPr>
        <w:pStyle w:val="TextBody"/>
        <w:bidi w:val="0"/>
        <w:spacing w:lineRule="auto" w:line="288" w:before="120" w:after="283"/>
        <w:jc w:val="left"/>
        <w:rPr/>
      </w:pP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On August 4, 2021, the Partnership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approximately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This Global Settlement resulted in losses amounting to $36.3 million and will be paid over five to six years, of which we have paid principal amounts of $17.7 million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following risk factors in addition to the other information included in this Quarterly Report. Each of these risk factors could adversely affect our business, operating results and financial condition, as well as adversely affect the value of an investment in our common stock. Below is a summary of the principal risks associated with an investment in the Company. This summary should not be relied upon as an exhaustive list of the material risks facing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have sufficient cash from operations following the establishment of cash reserves and payment of fees and expenses, to enable us to pay dividends to holders of our Series A Preferred Stock and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depend on a relatively small number of customers for a significant portion of our revenues.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Significant prolonged weakness in natural gas, NGL and crude oil prices could reduce throughput on our systems and materially adversely affect our revenues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our customers do not increase the volumes they provide to our gathering systems, our results of operations and financial condition may be materially adversely affected.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Certain of our gathering and processing agreements contain provisions that can reduce the cash flow stability that the agreements were designed to achieve.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not obtained independent evaluations of all of the reserves connected to our gathering systems; therefore, in the future, customer volumes on our systems could be less than we anticipate.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industry is highly competitive, and increased competitive pressure could materially adversely affect our business and operating results.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be able to renew or replace expiring contracts at favorable rates or on a long-term basis.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third-party pipelines or other midstream facilities interconnected to our gathering systems become partially or fully unavailable, our revenues and cash flows could be materially adversely affected.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Crude oil and natural gas production and gathering may be adversely affected by weather conditions and terrain, which in turn could negatively impact the operations of our gathering, treating, transportation and processing facilities and our construction of additional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construction of new assets may not result in revenue increases and will be subject to regulatory, environmental, political, legal and economic risks, which could materially adversely affect our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do not own all of the land on which our pipelines and facilities are located, which could result in disruptions to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transition from hydrocarbon energy sources to alternative energy sources could lead to changes in demand, technology and public sentiment, which could have material adverse effects on our business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Limited access to and/or availability of the commercial bank market or debt and equity capital markets could impair our ability to grow or cause us to be unable to meet future capital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be able to generate sufficient cash to service all of our indebtedness and may be forced to take other actions to satisfy our obligations under our indebtedness or to refinance, which may not be successful.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in the Permian Transmission Credit Facilities, the indenture governing the 2029 Secured Notes and the Amended and Restated ABL Facility could materially adversely affect our business, financial condition, results of operations and ability to make cash dividends.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 increase in interest rates will cause our debt service obligations to increase.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downgrade of our credit rating could impact our liquidity, access to capital and our costs of doing business, and independent third parties determine our credit ratings outside of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Regulatory and Environmental Policy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change in laws and regulations applicable to our assets or services, or the interpretation or implementation of existing laws and regulations may cause our revenues to decline or our operation and maintenance expenses to increase.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Increased regulation of hydraulic fracturing could result in reductions or delays in customer production, which could materially adversely impact our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subject to stringent environmental laws and regulations that may expose us to significant costs and liabilities.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incur greater than anticipated costs and liabilities as a result of pipeline safety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Climate change legislation, regulatory initiatives and litigation could result in increased operating costs and reduced demand for the services we provide.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Statutory and regulatory requirements for swap transactions could have an adverse impact on our ability to hedge risks associated with our business and increase the working capital requirements to conduct these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is subject to complex and evolving United States and international laws and regulations regarding privacy and data protection. Many of these data protection laws are subject to change and uncertain interpretation, and could result in claims, increased cost of operations or otherwise harm our business.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the Common Stock and Series A Preferred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 of the common stock or Series A Preferred Stock may experience volatility.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Governing Documents contain provisions that may make it difficult for a third party to acquire control of the Company, even if a change in control would result in the purchase of your shares of common stock or Series A Preferred Stock at a premium to the market price or would otherwise be beneficial to you.</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do not expect to pay dividends on our common stock for the foreseeable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value of our common stock may be diluted by future equity issuances and shares eligible for future sale may have adverse effects on our share price.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the Transaction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will be subject to certain uncertainties while the Transaction is pending, which could adversely affect our business.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Company stockholders as of immediately prior to the Transaction will have reduced ownership in the combined company immediately following the Transaction.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for Common Stock following the closing of the Transaction may be affected by factors different from those that historically have affected or currently affect the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be subject to lawsuits relating to the Transaction, which could adversely affect our business, financial condition and operating results.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termination of the Business Contribution Agreement could negatively impact our business or result in us being required to pay a termination fee.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failure to successfully integrate the business and operations of Tall Oak in the expected time frame may adversely affect the Company’s future results.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incur a substantial amount of additional debt to complete the Transaction. Our debt level may limit our financial and business flexibility.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value of our Common Stock could decline if large amounts of our equity securities are sold following the Transaction.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achieve the anticipated benefits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Transaction and subsequent changes in stock ownership of the Company (including upon the redemption or exchange of the Class B Common Stock and associated Partnership Common Units for Common Stock) may trigger a limitation on the utilization of net operating loss carryforwards of the Company.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the Partnership were to become a publicly traded partnership taxable as a corporation for U.S. federal income tax purposes, the Company and the Partnership might be subject to potentially significant tax inefficiencies.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have sufficient cash from operations following the establishment of cash reserves and payment of fees and expenses, to enable us to pay dividends to holders of our Series A Preferred Stock and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sufficient available cash from operating surplus each quarter to pay the dividends to holders of our Series A Preferred Stock and common stock. We have not made a distribution on our common stock or Series A Preferred Stock, or prior to the Corporate Reorganization, our Series A Preferred Units or our common units, since we announced suspension of those dividends on May 3, 2020. Because our Series A Preferred Stock rank senior to our common stock with respect to divided rights, any accrued amounts on our Series A Preferred Stock must first be paid prior to our resumption of dividends to our holders of common stock. As of September 30, 2024, the amount of accrued and unpaid dividends on the Series A Preferred Stock totaled $43.0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absent a material change to our business, we do not expect to pay dividends on the common stock or Series A Preferred Stock in the foreseeable future, and our outstanding indebtedness restricts our ability to pay cash dividends on any of our equity securities. We intend to use our cash flow to reduce debt and invest in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cash we can distribute on our common stock principally depends upon the amount of cash we generate from our operations, which will fluctuate from quarter to quarter based on,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volumes we gather, transport, treat and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production of natural gas and crude oil (and associated volumes of produced water) from wells connected to our gathering systems, which is dependent in part on the demand for, and the market prices of, crude oil, natural gas and NGLs;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damage to pipelines, facilities, related equipment and surrounding properties caused by earthquakes, floods, fires, severe weather, explosions and other natural disasters, accidents and acts of terrorism;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leaks or accidental releases of hazardous materials into the environment;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weather conditions and seasonal trends;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changes in the fees we charge for our services;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contractual MVCs and our customer’s capacity to make MVC shortfall payments when due;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competition from other midstream energy companies in our areas of operation;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the level of our operating, maintenance and general and administrative expenses;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action affecting the supply of, or demand for, crude oil, natural gas and NGLs, the fees we can charge, how we contract for services, our existing contracts, our operating and maintenance costs or our operating flexibility;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economic impacts from the COVID-19 pandemic or other epidemics, including disruptions in demand for oil, natural gas and other petroleum products, supply chain disruptions, and decreased productivity resulting from illness, travel restrictions, quarantine, or government mandates;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prevailing economic and market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actual amount of cash we have available for distribution to our holders of common stock depends on other factors, some of which are beyond our control,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and timing of capital expenditures we make;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our operating, maintenance and general and administrative expenses;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acquisitions, if 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sell assets, if any, and the price that we may receive for such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debt service requirements and other liabilities;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our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borrow funds and access the debt and equity capital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contained in our debt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amount of cash reserves established by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not receiving anticipated shortfall payments from our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legal judgments, fines and settlements;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dividends, if any, paid on our Series A Preferred Stock or on the preferred stock of our subsidiaries, including the Subsidiary Series A Preferred Units;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business risks affecting our cash levels.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depend on a relatively small number of customers for a significant portion of our revenues. The loss of, or material nonpayment or nonperformance by, or the curtailment of production by, any one or more of our customers could materially adversely affect our revenues, cash flows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have material financial and liquidity issues or may, as a result of operational incidents or other events, be disproportionately affected as compared to larger, better-capitalized companies. Any material nonpayment or nonperformance by any of our customers could have a material adverse effect on our revenues, cash flows and results of operations. We expect our exposure to concentrated risk of nonpayment or nonperformance to continue as long as we remain substantially dependent on a relatively small number of customers for a significant portion of our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customers curtail or reduce production in our areas of operation, it could reduce throughput on our systems and, therefore, materially adversely affect our revenues, cash flows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we are subject to the risk of non-payment or non-performance by our larger customers. We cannot predict the extent to which our customers’ businesses would be impacted if conditions in the energy industry deteriorate, nor can we estimate the impact such conditions would have on any of our customers’ abilities to execute their drilling and development programs or perform under our gathering and processing agreements. An extended low commodity price environment negatively impacts natural gas producers causing some producers in the industry significant economic stress, including, in certain cases, to file for bankruptcy protection or to renegotiate contracts. To the extent that any customer is in financial distress or commences bankruptcy proceedings, contracts with these customers may be subject to renegotiation or rejection under applicable provisions of the United States Bankruptcy Code. Any material non-payment or non-performance by our customers could adversely affect our business and operating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attempt to assess the creditworthiness and associated liquidity of our customers, suppliers and contract counterparties, there can be no assurance that our assessments will be accurate or that there will not be a rapid or unanticipated deterioration in their creditworthiness, which may have an adverse impact on our business, results of operations, financial condition and cash flows. In addition, there can be no assurance that our contract counterparties will perform or adhere to existing or future contractual arrangements, including making any required shortfall payments or other payments due under their respective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policies and procedures we use to manage our exposure to credit risk, such as credit analysis, credit monitoring and, if necessary, requiring credit support, cannot fully eliminate counterparty credit risks. To the extent our policies and procedures prove to be inadequate, our financial and operational results may be negatively impacted.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counterparties may be highly leveraged, have limited financial resources and/or have recently experienced a rating agency downgrade and will be subject to their own operating and regulatory risks. Even if our credit review and analysis mechanisms work properly, we may experience financial losses in our dealings with such parties. In addition, volatility in commodity prices could have a negative impact on our counterparties, which, in turn, could have a negative impact on their ability to meet their obligations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material nonpayment or nonperformance by any of our counterparties or suppliers could require us to pursue substitute counterparties or suppliers for the affected operations or reduce our operations. There can be no assurance that any such efforts would be successful or would provide similar financial and operational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prolonged weakness in natural gas, NGL and crude oil prices could reduce throughput on our systems and materially adversely affect our revenues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Lower natural gas, NGL and crude oil prices could negatively impact exploration, development and production of natural gas and crude oil, thereby resulting in reduced throughput on our gathering systems. If natural gas, NGL and/or crude oil prices decrease, it could cause sustained reductions in exploration or production activity in our areas of operation and result in a further reduction in throughput on our systems, which could have a material adverse effect on our business, financial condition, results of operations and cash flows. In the latter half of 2022 and the first half of 2023, the Henry Hub Natural Gas Spot Price declined from a monthly average of $8.81 per MMBtu in August 2022 to a monthly average of $2.18 per MMBtu in June 2023, before rising slightly in the second half of 2023 to close the year at $2.58 per MMBtu on December 29, 2023. As of September 30, 2024, Henry Hub 12-month strip pricing closed at $2.65 per MMBtu. Cushing, Oklahoma West Texas Intermediate crude oil spot prices similarly trended down in the latter half of 2022 through early 2023, from a monthly average of $114.84 per barrel in June 2022 to a monthly average of $70.25 per barrel in June 2023, closing the year at $71.89 per barrel on December 29, 2023. As of September 30, 2024, West Texas Intermediate 12-month strip pricing closed at $68.75 per barrel.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customer volumes that support our business depend on the level of production from natural gas and crude oil wells connected to our systems, the production from which may be less than expected and will naturally decline over time. As a result, our cash flows associated with these wells will also decline over time. To maintain or increase throughput levels on our systems, we must obtain new sources of volume throughput. The primary factors affecting our ability to obtain new sources of volume throughput include (i) the level of successful drilling activity in our areas of operation and (ii) our ability to compete for new volumes on our systems.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 control over the level of drilling activity in our areas of operation, the amount of reserves associated with wells connected to our systems or the rate at which production from a well declines. In addition, we have no control over producers or their drilling and production decisions, which are affected by,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and cost of capital;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prevailing and projected hydrocarbon commodity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demand for crude oil, natural gas and other hydrocarbon products, including NGLs;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levels of reserves;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geological considerations;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environmental or other governmental regulations, including the availability of drilling permits and the regulation of hydraulic fracturing;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of drilling rigs and other costs of production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energy prices can also greatly affect the development of new crude oil and natural gas reserves. Drilling and production activities generally decrease as commodity prices decrease. In general terms, the prices of crude oil, natural gas and other hydrocarbon products fluctuate in response to changes in supply and demand, market uncertainty and a variety of additional factors that are beyond our control. These factors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worldwide economic and geopolitical conditions;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global or national health concerns, including the outbreak of pandemic or contagious disease, such as COVID-19, which may reduce demand for crude oil, natural gas and NGLs because of reduced global or national economic activity;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weather conditions and seasonal trends;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levels of domestic production and consumer demand;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of imported liquefied natural gas (“LNG”);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ability to export LNG;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availability of transportation and storage systems with adequate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volatility and uncertainty of regional pricing differentials and premiums;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price and availability of alternative fuels, including alternative fuels that benefit from government subsidies;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 of energy conservation measures;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and availability of alternative energy 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nature and extent of governmental regulation and taxation;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anticipated future prices of crude oil, natural gas and other hydrocarbon products, including NGLs.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these factors, even if new crude oil or natural gas reserves are known to exist in areas served by our assets, producers may choose not to develop those reserves. If reductions in drilling activity result in our inability to maintain the current levels of throughput on our systems, those reductions could reduce our revenues and cash flows and materially adversely affect our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it may be more difficult to maintain or increase the current volumes on our gathering systems, as several of the formations in the unconventional resource plays in which we operate generally have higher initial production rates and steeper production decline curves than wells in more conventional basins and may have steeper production decline curves than initially anticipated. Should we determine that the economics of our gathering, treating, transportation and processing assets do not justify the capital expenditures needed to grow or maintain volumes associated therewith, revenues associated with these assets will decline over time. In addition to capital expenditures to support growth, the steeper production decline curves associated with unconventional resource plays may require us to incur higher maintenance capital expenditures over time, which will reduce our cash available for distribution.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costs are fixed and do not vary with our throughput. These costs will not decline ratably or at all should we experience a reduction in throughput, which could result in a decline in our revenues and cash flows and materially adversely affect our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our customers do not increase the volumes they provide to our gathering systems, our results of operations and financial condition may be materially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unsuccessful in attracting new customers and/or new gathering opportunities with existing customers, our results of operations will be impaired. Our customers are not obligated to provide additional volumes to our gathering systems, and they may determine in the future that drilling activities in areas outside of our current areas of operation are strategically more attractive to them. Reductions by our customers in our areas of mutual interest could result in reductions in throughput on our systems and materially adversely impact our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Certain of our gathering and processing agreements contain provisions that can reduce the cash flow stability that the agreements were designed to achieve.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designed those gathering and processing agreements that contain MVC provisions to generate stable cash flows for us over the life of the MVC contract term while also minimizing our direct commodity price risk. Under certain of these MVCs, our customers agree to ship a minimum volume on our gathering systems or send a minimum volume to our processing plants or, in some cases, to pay a minimum monetary amount, over certain periods during the term of the MVC. In addition, our gathering and processing agreements may also include an aggregate MVC, which represents the total amount that the customer must flow on our gathering system or send to our processing plants (or an equivalent monetary amount) over the MVC term. If such customer’s actual throughput volumes are less than its MVC for the contracted measurement period, it must make a shortfall payment to us at the end of the applicable measurement period. The amount of the shortfall payment is based on the difference between the actual throughput volume shipped or processed for the applicable period and the MVC for the applicable period, multiplied by the applicable fee. To the extent that a customer’s actual throughput volumes are above or below its MVC for the applicable contracted measurement period, certain of our gathering agreements contain provisions that allow the customer to use the excess volumes or the shortfall payment to credit against future excess volumes or future shortfall payments, which could have a material adverse effect on our results of operations, financial condition and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not obtained independent evaluations of all of the reserves connected to our gathering systems; therefore, in the future, customer volumes on our systems could be less than we anticipate.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routinely obtain or update independent evaluations of the reserves connected to our systems. Moreover, even if we did obtain independent evaluations of all of the reserves connected to our systems, such evaluations may prove to be incorrect. Crude oil and natural gas reserve engineering requires subjective estimates of underground accumulations of crude oil and natural gas and assumptions concerning future crude oil and natural gas prices, future production levels and operating and development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may not have accurate estimates of total reserves dedicated to our systems or the anticipated life of such reserves. If the total reserves or estimated life of the reserves connected to our gathering systems are less than we anticipate and we are unable to secure additional volumes, it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industry is highly competitive, and increased competitive pressure could materially adversely affect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other midstream companies in our areas of operations, some of which are large companies that have greater financial, managerial and other resources than we do. In addition, some of our competitors may have assets in closer proximity to natural gas and crude oil supplies and may have available idle capacity in existing assets that would not require new capital investments for use. Our competitors may expand or construct gathering systems that would create additional competition for the services we provide to our customers. Because our customers do not have leases that cover the entirety of our areas of mutual interest, non-customer producers that lease acreage within any of our areas of mutual interest may choose to use one of our competitors for their gathering and/or processing service needs.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customers may develop their own gathering systems outside of our areas of mutual interest. Our ability to renew or replace existing contracts with our customers at rates sufficient to maintain current revenues and cash flows could be materially adversely affected by the activities of our competitors and our customers. All of these competitive pressures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renew or replace expiring contracts at favorable rates or on a long-term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gathering, treating, transportation and processing contracts have terms of various durations. As these contracts expire, we may have to negotiate extensions or renewals with existing customers or enter into new contracts with other customers. We may be unable to obtain new contracts on favorable commercial terms, if at all. We also may be unable to maintain the economic structure of a particular contract with an existing customer or the overall mix of our contract portfolio. Moreover, we may be unable to obtain areas of mutual interest from new customers in the future, and we may be unable to renew existing areas of mutual interest with current customers as and when they expire. The extension or replacement of existing contracts depends on a number of factors beyond our control,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existing and new competition to provide gathering and/or processing services in our areas of operation;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macroeconomic factors affecting gathering, treating, transporting and processing economics for our current and potential customers;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balance of supply and demand, on a short-term, seasonal and long-term basis, in our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extent to which the customers in our areas of operation are willing to contract on a long-term basis;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federal, state or local regulations on the contracting practices of 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unable to renew our existing contracts on terms that are favorable to us or successfully manage our overall contract mix over time, our revenues and cash flows could decline.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third-party pipelines or other midstream facilities interconnected to our gathering systems become partially or fully unavailable, our revenues and cash flows could be materially adversely affected.</w:t>
      </w:r>
    </w:p>
    <w:p>
      <w:pPr>
        <w:pStyle w:val="TextBody"/>
        <w:bidi w:val="0"/>
        <w:spacing w:lineRule="auto" w:line="288" w:before="120" w:after="283"/>
        <w:jc w:val="left"/>
        <w:rPr/>
      </w:pPr>
      <w:r>
        <w:rPr>
          <w:rFonts w:ascii="Times New Roman;sans-serif" w:hAnsi="Times New Roman;sans-serif"/>
          <w:b w:val="false"/>
          <w:color w:val="000000"/>
          <w:sz w:val="20"/>
        </w:rPr>
        <w:t>Our gathering systems connect to third-party pipelines and other midstream facilities, such as processing plants, rail terminals and produced water disposal facilities. The continuing operation of such third-party pipelines and other midstream facilities is not within our control. These pipelines and other midstream facilities may become unavailable due to issues including, but not limited to, testing, turnarounds, line repair, reduced operating pressure, lack of operating capacity, regulatory requirements, curtailments of receipt or deliveries due to insufficient capacity or because of damage from other hazards. In addition, we do not have interconnect agreements with all of these pipelines and other facilities and the agreements we do have may be terminated in certain circumstances and/or on short notice. If any of these pipelines or other midstream facilities become unavailable for any reason, or, if these third parties are otherwise unwilling to receive or transport the natural gas, crude oil and produced water that we gather and/or process, our revenues, cash flows and results of operations could be materially adversely affected.</w:t>
      </w:r>
      <w:r>
        <w:rPr>
          <w:color w:val="000000"/>
        </w:rPr>
        <w:t xml:space="preserv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Crude oil and natural gas production and gathering may be adversely affected by weather conditions and terrain, which in turn could negatively impact the operations of our gathering, treating, transportation and processing facilities and our construction of additional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Extended periods of below freezing weather and unseasonably wet weather conditions, especially in North Dakota, Colorado, Texas and West Virginia, can be severe and can adversely affect crude oil and natural gas operations due to the potential shut-in of producing wells or decreased drilling activities. These types of interruptions could result in a decrease in the volumes supplied to our gathering systems. Further, delays and shutdowns caused by severe weather may have a material negative impact on the continuous operations of our gathering, treating, transporting and processing systems, including interruptions in service. These types of interruptions could negatively impact our ability to meet our contractual obligations to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thereby give rise to certain termination rights and/or the release of dedicated acreage. Any resulting terminations or releases could materially adversely affect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may be required to incur additional costs and expenses in connection with the design and installation of our facilities due to their locations and surrounding terrain. We may be required to install additional facilities, incur additional capital and operating expenditures, or experience interruptions in or impairments of our operations to the extent that the facilities are not designed or installed correctly. For example, certain of our pipeline facilities are located in locations with significant elevation changes, which may require specially designed facilities and special installation considerations. If such facilities are not designed or installed correctly, do not perform as intended, or fail, we may be required to incur significant expenditures to correct or repair the deficiencies, or may incur significant damages to or loss of facilities, and our operations may be interrupted as a result of deficiencies or failures. In addition, such deficiencies may cause damage to the surrounding environment, including slope failures, stream impacts and other natural resource damages, and we may as a result also be subject to increased operating expenses or environmental penalties and fines.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Finally, most scientists have concluded that increasing concentrations of greenhouse gasses (“GHGs”) in the Earth’s atmosphere may produce climate changes that have significant physical effects, such as increased frequency and severity of storms, droughts and floods, changes in weather patterns, extreme temperatures and other climatic events. While we cannot predict with any certainty at this time whether we will be affected by these possibilities, severe weather associated with climate change could result in disruptions or delays to our operations, damage to our assets and facilities and increased operating costs, any of which could materially adversely affect our business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Interruptions in operations at any of our facilities may adversely affect our operations and cash flows available for 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depend upon the infrastructure that we have developed and constructed. Any significant interruption at any of our gathering, treating, transporting or processing facilities, or in our ability to provide gathering, treating, transporting or processing services, could adversely affect our operations and cash flows available for dividends. Operations at our facilities could be partially or completely shut down, temporarily or permanently, as the result of circumstances not within our control, such as: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unscheduled turnarounds or catastrophic events at our physical plants or pipeline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imposed by governmental authorities or court proceedings;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labor difficulties that result in a work stoppage or slowdown;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disruption in the supply of resources necessary to operate our midstream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damage to our facilities resulting from production volumes that do not comply with applicable specifications;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inadequate transportation and/or market access to support production volumes, including lack of pipeline, rail terminals, produced water disposal facilities and/or third-party processing capacity.</w:t>
      </w:r>
    </w:p>
    <w:p>
      <w:pPr>
        <w:pStyle w:val="TextBody"/>
        <w:bidi w:val="0"/>
        <w:spacing w:lineRule="auto" w:line="288" w:before="120" w:after="283"/>
        <w:jc w:val="left"/>
        <w:rPr/>
      </w:pPr>
      <w:r>
        <w:rPr>
          <w:rFonts w:ascii="Times New Roman;sans-serif" w:hAnsi="Times New Roman;sans-serif"/>
          <w:b w:val="false"/>
          <w:color w:val="000000"/>
          <w:sz w:val="20"/>
        </w:rPr>
        <w:t>Any significant interruption at any of our gathering, treating, transporting or processing facilities, or in our ability to provide gathering, treating, transporting or processing services, could adversely affect our operations.</w:t>
      </w:r>
      <w:r>
        <w:rPr>
          <w:color w:val="000000"/>
        </w:rPr>
        <w:t xml:space="preserv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involves many hazards and operational risks, some of which may not be fully covered by insurance. If a significant incident or event occurs for which we are not adequately insured or if we fail to recover all anticipated insurance proceeds for significant incidents or events for which we are insured, our operations and financial results could be materially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all of the risks and hazards inherent in the operation of gathering, treating, transporting and processing systems, including: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damage to pipelines, processing plants, compression assets, related equipment and surrounding properties caused by tornadoes, floods, freezes, fires and other natural disasters and acts of terrorism;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inadvertent damage from construction, vehicles, farm and utility equipment;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leaks or losses resulting from the malfunction of equipment or facilities;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ruptures, fires and explosions;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hazards that could also result in personal injury and loss of life, pollution and suspension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could result in substantial losses due to personal injury and/or loss of life, severe damage to and destruction of property and equipment and pollution or other environmental damage. The location of certain of our systems in or near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populated areas, including residential areas, commercial business centers and industrial sites, could increase the damages resulting from such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events may also result in the curtailment or suspension of our operations. A natural disaster or any event such as those described above affecting the areas in which we and our customers operate could have a material adverse effect on our operations. Accidents or other operating risks could further result in loss of service available to our customers. Such circumstances, including those arising from maintenance and repair activities, could result in service interruptions on portions or all of our gathering systems. Potential customer impacts arising from service interruptions on segments of our gathering systems could include limitations on our ability to satisfy customer requirements, obligations to temporarily waive MVCs during times of constrained capacity, temporary or permanent release of production dedications, and solicitation of existing customers by others for potential new projects that would compete directly with our existing services. Such circumstances could materially adversely impact our ability to meet contractual obligations and retain customers, with a resulting negative impact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a range of insurance programs providing varying levels of protection for public liability, damage to property, loss of income and certain environmental hazards, we may not be insured against all causes of loss, claims or damage that may occur. If a significant incident or event occurs for which we are not fully insured, it could materially adversely affect our operations and financial condition. Furthermore, we may not be able to maintain or obtain insurance of the type and amount we desire at reasonable rates. As a result of industry or market conditions, including any reluctance by insurance companies to insure oil and gas operations for political or other reasons, premiums and deductibles for certain of our insurance policies may substantially increase. In some instances, certain insurance could become unavailable or available only for reduced amounts of coverage. Additionally, with regard to the assets we have acquired, we have limited indemnification rights to recover from the seller of the assets in the event of any potential environmental liabilities.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construction of new assets may not result in revenue increases and will be subject to regulatory, environmental, political, legal and economic risks, which could materially adversely affect our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construction of new assets, including for example, the Double E Pipeline, which was placed into service in November 2021, involve numerous regulatory, environmental, political, legal and economic uncertainties that are beyond our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construction projects may also require the expenditure of significant amounts of capital and financing, traditional or otherwise, that may not be available on economically acceptable terms or at all. If we undertake these projects, our revenue may not increase immediately upon the expenditure of funds for a particular project and they may not be completed on schedule, at the budgeted cost, or at all.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could construct facilities to capture anticipated future production growth in a region where such growth does not materialize or only materializes over a period materially longer than expected. To the extent we rely on estimates of future production in our decision to construct additions to our systems, such estimates may prove to be inaccurate due to the numerous uncertainties inherent in estimating quantities of future production. As a result, new facilities may not attract enough throughput to achieve our expected investment return, which could materially adversely affect our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construction of additions or modifications to our existing gathering, treating, transporting and processing assets and the construction of new midstream assets may require us to obtain federal, state and local regulatory environmental or other authorizations. The approval process for gathering, treating, transporting and processing activities has become increasingly challenging, due in part to state and local concerns related to unregulated exploration and production and gathering, treating, transporting and processing activities in new production areas. Such authorization may not be granted or, if granted, such authorization may include burdensome or expensive conditions. In addition, various officials and candidates at the federal, state and local levels have made climate-related pledges or proposed banning hydraulic fracturing altogether. As a result, we may be unable to obtain such authorizations and may, therefore, be unable to connect new volumes to our systems or capitalize on other attractive expansion opportunities. A future government shutdown could delay the receipt of any federal regulatory approvals. Additionally, it may become more expensive for us to obtain authorizations or to renew existing authorizations. If the cost of renewing or obtaining new authorizations increases materially, our cash flows could be materially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do not own all of the land on which our pipelines and facilities are located, which could result in disruptions to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own all of the land on which our pipelines and facilities have been constructed, and we are, therefore, subject to the possibility of more onerous terms and/or increased costs to retain necessary land use if we do not have valid rights-of-way or if such rights-of-way lapse or terminate or if our pipelines are not properly located within the boundaries of such rights-of-way. We obtain the rights to construct and operate our pipelines on land owned by third parties and governmental agencies either perpetually or for a specific period of time. If we were to be unsuccessful in renegotiating rights-of-way, we might have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relocate our pipelines and related infrastructure. Our loss of these rights, through our inability to renew right-of-way contracts or otherwise, could have a material adverse effect on our business, results of operations and financial condition.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operate our business effectively could be impaired if we fail to attract and retain key personnel, and a shortage of skilled labor in the midstream energy industry could reduce employee productivity and increase costs, which could have a material adverse effect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operate our business and implement our strategies depends on our continued ability to attract and retain highly skilled personnel with midstream energy industry experience and competition for these persons in the midstream energy industry is intense. Given our size, we may be at a disadvantage, relative to our larger competitors, in the competition for these personnel. We may not be able to continue to employ our senior executives and key personnel or attract and retain qualified personnel in the future, and our failure to retain or attract our senior executives and key personnel could have a material adverse effect on our ability to effectively operate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as a result of labor shortages we have experienced difficulty in recruiting and hiring skilled labor throughout our organization. The operation of gathering, treating, transporting and processing systems requires skilled laborers in multiple disciplines such as equipment operators, mechanics and engineers, among others. If we continue to experience shortages of skilled labor in the future, our labor and overall productivity or costs could be materially adversely affected. If our labor prices increase or if we experience materially increased health and benefit costs with respect to our employees, our business and results of operations could be materially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transition from hydrocarbon energy sources to alternative energy sources could lead to changes in demand, technology and public sentiment, which could have material adverse effects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public attention on climate change and corresponding changes in consumer, commercial and industrial preferences and behavior regarding energy use and generation may result 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technological advances with respect to the generation, transmission, storage and consumption of energy (including advances in wind, solar and hydrogen power as well as battery technology);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increased availability of, and increased demand from consumers and industry for, energy sources other than crude oil and natural gas (including wind, solar, nuclear, and geothermal sources as well as electric vehicles);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and increased demand from consumers and industry for, lower-emission products and services (including electric vehicles and renewable residential and commercial power supplies) as well as more efficient products and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developments relating to a transition from oil and gas to alternative energy sources and a lower-carbon economy may reduce the demand for natural gas and crude oil and other products made from hydrocarbons. For example, in November 2023, the international community, including over 150 governments, gathered in Dubai at the United Nations Climate Change Conference in the United Arab Emirates (“COP28”) and announced a new climate deal that calls on countries to ratchet up action on climate, and, on December 13, 2023, COP28 issued its first global stocktake, which calls on parties, including the U.S., to contribute to global efforts to transition away from fossil fuels, reduce methane emissions, and triple renewable energy capacity and double energy efficiency improvement by 2030, among other things, to achieve net zero by 2050. Any significant decrease in the demand for natural gas and crude oil resulting from such developments could reduce the volumes of natural gas and crude oil that we gather and process, which could adversely affect our business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if any such developments reduce the desirability of participating in the midstream oil and gas industry, then such developments could also reduce the availability to us of necessary third-party services or facilities that we rely on, which could increase our operational costs and have an adverse effect on our business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developments and accompanying societal expectations on companies to address climate change, investor and societal expectations regarding voluntary environmental, social and governance (“ESG”) initiatives and disclosures could, among other things, increase costs related to compliance and stakeholder engagement, increase reputational risk and negatively impact our access to and cost of accessing capital. For example, some prominent investors have announced their intention to no longer invest in the oil and gas sector, citing climate change concerns. If other financial institutions and investors refuse to invest in or provide capital to the oil and gas sector in the future because of these reputational risks, that could result in capital being unavailable to us, or only at significantly increased cost. In addition, we have established a corporate strategy intended to meet ESG-related objectives, which currently includes certain ESG targets. However, we cannot guarantee that our strategy will meet our ESG-related objectives. Such initiatives are voluntary, not binding on our business or management and subject to change. We may determine in our discretion that it is not feasible or practical to implement or complete certain of our ESG-related initiatives, or to meet previously set goals and targets based on cost, timing or other considerations. If we do not adapt to or comply with investor or other stakeholder expectations and standards on ESG matters (or meet ESG-related goals and targets that we have set), as they continue to evolve, if we are perceived to have not responded appropriately or quickly enough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concern for ESG and sustainability issues, regardless of whether there is a regulatory or legal requirement to do so, or if estimates, assumptions, and/or third-party information we currently believe to be reasonable are subsequently considered erroneous or misinterpreted, we may suffer from reputational damage and our business, financial condition and/or stock price could be materially and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negative public perception regarding the oil and gas industry resulting from, among other things, concerns raised by advocacy groups about climate change, emissions, hydraulic fracturing, seismicity, or oil spills may lead to increased litigation risk and regulatory, legislative and judicial scrutiny, which may, in turn, lead to new state and federal safety and environmental laws, regulations, guidelines and enforcement interpretations. These actions may cause operational delays or restrictions, increased operating costs, additional regulatory burdens and increased risk of litigation. More broadly, the enactment of climate change-related policies and initiatives across the market at the corporate level and/or investor community level may in the future result in increases in our compliance costs and other operating costs and have other adverse effects (e.g., greater potential for governmental investigations or litigation, driving down demand for our products, or stimulating demand for alternative forms of energy that do not rely on combustion of fossil fuels).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Limited access to and/or availability of the commercial bank market or debt and equity capital markets could impair our ability to grow or cause us to be unable to meet future capital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expand our asset base, whether through acquisitions or organic growth, we will need to make expansion capital expenditures. We also frequently consider and enter into discussions with third parties regarding potential acquisitions. In addition, the terms of certain of our gathering and processing agreements also require us to spend significant amounts of capital, over a short period of time, to construct and develop additional midstream assets to support our customers’ development projects. Depending on our customers’ future development plans, it is possible that the capital required to construct and develop such assets could exceed our ability to finance those expenditures using our cash reserves or available capacity under the Amended and Restated ABL Facility or the Permian Transmission Credit Facilities.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plan to use cash from operations, incur borrowings and/or sell additional shares of capital stock or other securities to fund our future expansion capital expenditures. Our ability to obtain financing or to access the capital markets for future debt or equity offerings may be limited by (i) our financial condition at the time of any such financing or offering, (ii) covenants in our debt agreements, (iii) restrictions imposed by our Series A Preferred Stock, (iv) general economic conditions and contingencies, (v) increasing disfavor among many investors towards investments in fossil fuel companies and (vi) general weakness in the debt and equity capital markets and other uncertainties that are beyond our control, including political uncertainty in the U.S. (including the ongoing debates related to the U.S. federal government budget), volatility and disruption in global capital and credit markets (including those resulting from geopolitical events, such as the Russian invasion of Ukraine or the continued conflict in the Middle East), uncertainty regarding increases or decreases in interest rates resulting from changes in the federal funds rate range targeted by the Federal Reserve, pandemics, epidemics and other outbreaks, such as COVID-19, or other adverse developments that affect financial institutions. In addition, lenders are facing increasing pressure to curtail their lending activities to companies in the oil and natural gas industry.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made a dividend on our common stock or Series A Preferred Stock, or prior to the Corporate Reorganization, the common units or Series A Preferred Units, since we announced suspension of those distributions on May 3, 2020, and these suspensions of dividends may further reduce demand for our common stock or Series A Preferred Stock. Because our Series A Preferred Stock ranks senior to our common stock with respect to distribution rights, any accrued amounts on our Series A Preferred Stock must first be paid prior to our resumption of dividends to holders of our common stock. As of September 30, 2024, the amount of accrued and unpaid dividends on the Series A Preferred Stock totaled $43.0 million. Further, absent a material change to our business, we do not expect to pay dividends on the common stock or Series A Preferred Stock in the foreseeable future. Additionally, our debt agreements restrict our ability to pay cash dividends on any of our equity securities. As such, if we are unable to raise expansion capital, we may lose the opportunity to make acquisitions, pursue new organic development projects, or to gather, treat and process new production volumes from our customers with whom we have agreed to construct and develop midstream assets in the future. Even if we are successful in obtaining external funds for expansion capital expenditures through the capital markets, the terms thereof could limit our ability to pay dividends to our common equityholders.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$957.0 million of indebtedness outstanding, and the unused portion of the Amended and Restated ABL Facility totaled $349.2 million after giving effect to the issuance of $0.8 million in outstanding but undrawn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irrevocable standby letters of credit. Our existing and future debt services obligations could have significant consequences, including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limiting our ability to obtain additional financing, if necessary, for working capital, capital expenditures, acquisitions or other purposes and/or obtaining such financing on favorable terms;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reducing our funds available for operations, future business opportunities and cash dividends by that portion of our cash flow required to make interest payments on our debt;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increasing our vulnerability to competitive pressures or a downturn in our business or the economy generally;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limiting our flexibility in responding to changing business and economic conditions.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generate sufficient cash to service all of our indebtedness and may be forced to take other actions to satisfy our obligations under our indebtedness or to refinance, which may not be successful.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or to refinance, our indebtedness obligations, including the Amended and Restated ABL Facility, the Permian Transmission Credit Facilities and the 2029 Secured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2029 Secured Notes will mature on October 31, 2029 and have interest payable semi-annually in arrears on each February 15 and August 15, commencing on February 15, 2025. As of September 30, 2024, $575.0 million of the 2029 Secured Notes were outstanding.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will mature on the earliest of (a) July 26, 2029, (b) July 31, 2029 if either (i) the outstanding amount of the 2029 Secured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Amended and Restated ABL Agreement) at any time on or after such date is less than the sum of (A) such outstanding amount and (B) the greater of (x) 10% of the aggregate Commitments (as defined in the Amended and Restated ABL Agreement) then in effect and (y) $50.0 million, and (c) any date on which the aggregate Commitments terminate thereunder. As of September 30, 2024, the Amended and Restated ABL Facility will mature on July 26, 2029.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restructure or refinance our indebtedness will depend on the condition of the capital markets, including the market for senior secured or unsecured notes, and our financial condition at the time. Any refinancing of our indebtedness could be at higher interest rates, may require the pledging of collateral and may require us to comply with more onerous covenants than we are currently subject to, which could further restrict our business operations.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agreements governing our debt place certain restrictions on our ability to dispose of assets and our use of the proceeds from such dispositions. We may not be able to consummate those dispositions on terms acceptable to us, if at all, and the proceeds of any such dispositions may not be adequate to meet any debt service obligations then due.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if for any reason we are unable to meet our debt service and principal repayment obligations, or if we fail to comply with the financial covenants in the documents governing our debt, we would be in default under the terms of the agreements governing our debt, which would allow our creditors under those agreements to declare all outstanding indebtedness thereunder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be due and payable (which would in turn trigger cross-acceleration or cross-default rights among our other debt agreements), the lenders under the Amended and Restated ABL Facility could terminate their commitments to extend credit, and the lenders could foreclose against our assets securing their borrowings and we could be forced into bankruptcy or liquidation. If the amounts outstanding under our debt agreements were to be accelerated, we cannot assure you that our assets would be sufficient to repay in full the amounts owed to our creditors.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Restrictions in the Permian Transmission Credit Facilities, the indenture governing the 2029 Secured Notes and the Amended and Restated ABL Facility could materially adversely affect our business, financial condition, results of operations and ability to make cash dividends.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earnings and cash flows generated by our operations to meet our debt service obligations and to make cash dividends. The operating and financial restrictions and covenants in the Permian Transmission Credit Facilities, the indenture governing the 2029 Secured Notes, the Amended and Restated ABL Facility and any future financing agreements could restrict our ability to finance future operations or capital needs or to expand or pursue our business activities. For example, the Amended and Restated ABL Facility, the Permian Transmission Credit Facilities and the indenture governing the 2029 Secured Notes, taken together, restrict our ability to,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or guarantee certain additional debt;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certain cash dividends on or redeem or repurchase certain equity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payments on certain other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make certain capital expenditures;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certain liens or other encumbrances or permit them to exist;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certain types of transactions with affiliates;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sale and lease-back transactions and certain operating leases;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merge or consolidate with another company or otherwise engage in a change of control transaction;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transfer, sell or otherwise dispose of certain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also contains covenants requiring Summit Holdings to maintain certain financial ratios and meet certain tests. Summit Holdings’ ability to meet those financial ratios and tests can be affected by events beyond its control, and we cannot guarantee that Summit Holdings will meet those ratios and tests.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provisions of the Permian Transmission Credit Facilities, the indenture governing the 2029 Secured Notes, and the Amended and Restated ABL Facility may affect our ability to obtain future financing and pursue attractive business opportunities as well as affect our flexibility in planning for, and reacting to, changes in business conditions. In addition, a failure to comply with the provisions of the Permian Transmission Credit Facilities, the indenture governing the 2029 Secured Notes, and the Amended and Restated ABL Facility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the Amended and Restated ABL Facility could proceed against the collateral granted to them to secure such debt. If the payment of the debt is accelerated, our assets may be insufficient to repay such debt in full, and our equityholders could experience a partial or total loss of their investment. The Amended and Restated ABL Facility also has cross default provisions that apply to any other indebtedness we may have, and the indenture governing the 2029 Secured Notes have cross default provisions that apply to certain other indebtedness. Any of these restrictions in the Amended and Restated ABL Facility, the Permian Transmission Credit Facilities and the indenture governing the 2029 Secured Notes could materially adversely affect our business, financial condition, cash flows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Inflation could have adverse effects on our results of operation.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inflation in the United States had been relatively low for many years, there was a significant increase in inflation beginning in the second half of 2021 through 2023 due to a substantial increase in money supply, a stimulative fiscal policy, a significant rebound in consumer demand as COVID-19 restrictions were relaxed, the Russia-Ukraine war and worldwide supply chain disruptions resulting from the economic contraction caused by COVID-19 and lockdowns followed by a rapid recovery. Inflation rose from 5.4% in June 2021 to 7.0% in December 2021 to 8.2% in September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inflation has declined since the second half of 2022, declining to 2.4% in September 2024, further increases in inflation in 2024 could increase our labor and other operating costs and the overall cost of capital projects we undertake. An increase in inflation rates could negatively affect our profitability and cash flows, due to higher wages, higher operating costs,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costs, and/or higher supplier prices. We may be unable to pass along such higher costs to its customers. In addition, inflation may adversely affect customers’ financing costs, cash flows, and profitability, which could adversely impact their operations and our ability to offer credit and collect receivables.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An increase in interest rates will cause our debt service obligations to increase.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March 2022, the Federal Reserve has raised its target range for the federal funds rate multiple times to a current target range of 4.50% to 4.75%, and the timing of any potential further increases or decreases remains uncertain. Borrowings under the Amended and Restated ABL Facility and the Permian Transmission Credit Facilities bear interest at rates equal to SOFR plus margin. The interest rates are subject to adjustment based on fluctuations in SOFR, as applicable. An increase in the interest rates associated with our floating rate debt would increase our debt service costs and affect our results of operations and cash flow available for payments of our debt obligations. In addition, an increase in interest rates could adversely affect our future ability to obtain financing or materially increase the cost of any additional financing.</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downgrade of our credit rating could impact our liquidity, access to capital and our costs of doing business, and independent third parties determine our credit ratings outside of our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 Standard &amp; Poor’s Ratings Services or Fitch Ratings, Inc. assign ratings to our senior unsecured credit from time to time. A downgrade of our credit rating could increase our future cost of borrowing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have in the past and may in the future incur losses due to an impairment in the carrying value of our long-lived assets or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long-lived asset impairments of $67.9 million during the nine months ended September 30, 2024, $0.5 million in 2023 and $91.6 million in 2022. When evidence exists that we will not be able to recover a long-lived asset’s carrying value through future cash flows, we write down the carrying value of the asset to its estimated fair value. We test long-lived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recognize an impairment loss equal to the amount by which the carrying value exceeds the asset’s fair value. We determine fair value using either a market-based approach, an income-based approach in which we discount the asset’s expected future cash flows to reflect the risk associated with achieving the underlying cash flows, or a mixture of both market-and income-based approaches. We evaluate our equity method investments for impairment whenever events or circumstances indicate that a decline in fair value is other than temporary. Any impairment determinations involve significant assumptions and judgments. If actual results are not consistent with our assumptions and estimates, or our assumptions and estimates change due to new information, we may be exposed to impairment charges. Adverse changes in our business or the overall operating environment, such as lower commodity prices, may affect our estimate of future operating results, which could result in future impairment due to the potential impact on our operations and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portion of our revenues are directly exposed to changes in crude oil, natural gas and NGL prices, and our exposure may increase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derived 39% of our revenues from (i) the sale of physical natural gas and/or NGLs purchased under percentage-of-proceeds or other processing arrangements with certain of our customers in the Rockies and Piceance segments, (ii) the sale of natural gas we retain from certain Barnett customers, (iii) the sale of condensate we retain from our gathering services in the Rockies and Piceance segment and (iv) additional gathering fees that are tied to performance of certain commodity price indexes, which are then added to the fixed gathering rates. Consequently, our existing operations and cash flows have direct exposure to commodity price risk. Although we will seek to limit our commodity price exposure with new customers in the future, our efforts to obtain fee-based contractual terms may not be successful or the local market for our services may not support fee-based gathering and processing agreements. For example, we have percent-of-proceeds contracts with certain natural gas producer customers and we may, in the future, enter into additional percent-of-proceeds contracts with these customers or other customers or enter into keep-whole arrangements, which would increase our exposure to commodity price risk, as the revenues generated from those contracts directly correlate with the fluctuating price of the underlying commodities.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may acquire or develop additional midstream assets in the future that have a greater exposure to fluctuations in commodity price risk than our current operations. Future exposure to the volatility of natural gas and crude oil prices could have a material adverse effect on our business, results of operations and financial condition. For example, for a small portion of the natural gas gathered on our systems, we purchase natural gas from producers prior to delivering the natural gas to pipelines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where we typically resell the natural gas under arrangements including sales at index prices. Generally, the gross margins we realize under these arrangements decrease in periods of low natural gas prices. If we expand the implementation of such natural gas purchase and sale arrangements within our business, such fluctuations could materially affect our business.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Regulatory and Environmental Policy Risks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settled a matter that was previously under investigation by federal and state regulatory agencies regarding a pipeline rupture and release of produced water by one of our subsidiaries. The resulting compliance requirements of the settlement may impact our results of operations or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4, 2021, we settled an incident involving a produced water disposal pipeline owned by our subsidiary Meadowlark Midstream Company, LLC that resulted in a discharge of materials into the environment, which was investigated by federal and state agencies. This settlement resulted in losses amounting to $36.3 million and will be paid over five (5) to six (6) years, of which we have paid principal amounts of $17.7 million as of September 30, 2024 and requires compliance with certain conditions and terms and conditions, which may impact our results of operations or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from time to time, be involved in litigation and claims arising out of our operations in the normal course of business. As a result, we may be required to expend significant funds for legal defense or to settle claims. Any such loss, if incurred, could be material.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Expenditures made by us for the payment of litigation related costs, including legal defense costs and settlement payments, if any, reduce our cash flows available for debt service and dividends. Any such expenditures, if incurred, could be material.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 change in laws and regulations applicable to our assets or services, or the interpretation or implementation of existing laws and regulations may cause our revenues to decline or our operation and maintenance expenses to increase.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For example, the Pipeline and Hazardous Materials Safety Administration (“PHMSA”) has issued new proposed and final rules concerning pipeline safety in recent years. In November 2021, PHMSA issued a final rule that extended pipeline safety requirements to onshore gas gathering pipelines. The rule requires all onshore gas gathering pipeline operators to comply with PHMSA’s incident and annual reporting requirements. It also extends existing pipeline safety requirements to a new category of gas gathering pipelines, “Type C” lines, which generally include high-pressure pipelines that are larger than 8.625 inches in diameter. Safety requirements applicable to Type C lines vary based on pipeline diameter and potential failure consequences. The final rule became effective in May 2022 and operators were required to comply with the applicable safety requirements by November 2022. In addition, in August 2022, PHMSA issued a final rule that established new or additional requirements for natural gas transmission lines related to the management of change process, integrity management, corrosion control standards, and pipeline inspections and repairs. In May 2023, PHMSA published a Notice of Proposed Rulemaking for regulatory amendments to reduce methane emissions from new and existing gas transmission, distribution, and regulated gas gathering pipelines with strengthened leakage survey and patrolling requirements, performance standards for advanced leak detection programs, leak grading and repair criteria with mandatory repair timelines, requirements for mitigation of emissions from blowdowns, pressure relief device design, configuration, and maintenance requirements, clarified requirements for investigating failures, and expanded reporting requirements. To the extent these or other new proposed or final rules create additional requirements for our pipelines, they could have a material adverse effect on our operations, operating and maintenance expenses and revenues. For additional information on the potential risks associated with PHMSA requirements, see “—We may incur greater than anticipated costs and liabilities as a result of pipeline safety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Colorado Senate Bill 19-181, signed into law in April 2019, changed the mandate of the Colorado Energy and Carbon Management Commission (“ECMC,” formerly the Colorado Oil and Gas Conservation Commission) from fostering oil and gas development to regulating oil and gas development in a reasonable manner to protect public health and the environment. The law also allows local governments to impose more restrictive requirements on oil and gas operations than those issued by the state. As part of its implementation of this law, in November 2020 the ECMC adopted new regulations that increase oil and gas setbacks to a minimum of 2,000 feet from schools and childcare facilities, prohibit routine venting and flaring, increase wildlife protections, and alter certain aspects of the permitting process. In addition, in May 2024, the Governor of Colorado signed into law Senate Bill 24-230, which imposes a production fee that applies to all oil and gas produced by a producer in the state on or after July 1, 2025 to fund clean transit initiatives. These regulations and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regulations and interpretations and may be affected by changes to them or their implementation, which may cause us to realize materially lower revenues or incur materially increased operation and maintenance costs or both.</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Increased regulation of hydraulic fracturing could result in reductions or delays in customer production, which could materially adversely impact our revenues.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Hydraulic fracturing is an important and increasingly common practice that is used to stimulate production of natural gas and/or crude oil from dense subsurface rock formations and is primarily regulated by state agencies. However, Congress has in the past considered, and may in the future consider, legislation to regulate hydraulic fracturing by federal agencies. Many states have already adopted laws and/or regulations that require disclosure of the chemicals used in hydraulic fracturing. A number of states – such as Colorado, as discussed above – have adopted, and other states are considering adopting, legal requirements that could impose more stringent permitting, disclosure and well construction requirements on crude oil and/or natural gas drilling activities. For example, during the 2021-2022 election cycle, Colorado representatives proposed a ballot initiative to ban hydraulic fracturing on all non-federal land, but the proposed initiative failed to garner significant support. States also could elect to prohibit hydraulic fracturing altogether, as New York, Maryland, Oregon, Washington, California and Vermont have done. In addition, certain local governments have adopted, and additional local governments may adopt, ordinances within their jurisdictions regulating the time, place and manner of drilling activities in general or hydraulic fracturing activities in particular. These initiatives and similar efforts in Colorado and elsewhere could restrict oil and gas development in the future.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has also moved forward with various regulatory actions, including announcing final new regulations under the New Source Performance Standard (“NSPS”) to expand and strengthen emissions reduction requirements under NSPS OOOOa for new, modified and reconstructed oil and natural gas sources, and require states to reduce methane emissions from existing sources nationwide. The Bureau of Land Management (“BLM”) has also asserted regulatory authority over aspects of the hydraulic fracturing process and issued a final rule in March 2015 that established more stringent standards for performing hydraulic fracturing on federal and Indian lands, including requirements relating to well construction and integrity, handling of wastewater and chemical disclosure. However, in December 2017, the BLM published a final rule rescinding the 2015 rule. The U.S. District Court for the Northern District of California upheld the December 2017 rescission rule in a March 2020 decision, and the State of California and environmental plaintiffs appealed. The parties remain in settlement discussion.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several federal governmental agencies (including the EPA) have conducted reviews and studies on the environmental aspects of hydraulic fracturing in the past. The results of such reviews or studies could spur initiatives to further regulate hydraulic fracturing.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federal regulatory agencies have also focused on a possible connection between the hydraulic fracturing related activities and the increased occurrence of seismic activity. When caused by human activity, such events are called induced seismicity. Some state regulatory agencies, including those in Colorado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certain of our customers produce oil and gas on federal lands. On January 20, 2021, the Acting Secretary for the Department of the Interior signed an order effectively suspending new fossil fuel leasing and permitting on federal lands for 60 days. Then on January 27, 2021, President Biden issued an executive order indefinitely suspending new oil and natural gas leases on public lands or in offshore waters pending completion of a comprehensive review and reconsideration of federal oil and gas permitting and leasing practices. Several states filed lawsuits challenging the suspension, and on June 15, 2021, a judge in the U.S. District Court for the Western District of Louisiana issued a nationwide temporary injunction blocking the suspension in July 2021. Although the injunction was subsequently overturned by the Court of Appeals for the Fifth Circuit, on remand the U.S. District Court issued a permanent injunction as requested by the plaintiff states in August 2022. The Department of the Interior has since resumed leasing. In July 2023, U.S. Department of Interior (“DOI”) proposed updates to its onshore oil and gas leasing regulations, which could further restrict oil and gas exploration and production on federal lands. DOI issued a final rule in April 2024, which includes new bonding requirements and attempts to direct oil and gas development away from wildlife habitat and cultural sites. The Biden Administration continues to evaluate federal leasing and could impose additional restrictions in the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natural gas pipeline facilities qualify as gathering facilities that are exempt from the jurisdiction of the Federal Energy Regulatory Commission (“FERC”) under the Natural Gas Act (“NGA”) and the Natural Gas Policy Act of 1978 (“NGPA”). Interstate movements of crude oil on the Epping Pipeline in North Dakota are subject to FERC jurisdiction under the Interstate Commerce Act (“ICA”), and the rates, terms and conditions of service, and practices on the pipeline are subject to review and challenge before FERC.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Double E Pipeline, which provides interstate natural gas transmission service from southeastern New Mexico to the Waha hub in Texas, is subject to FERC jurisdiction under the NGA with respect to post-construction remediation activities, operations, and rates and terms and conditions of service. Pursuant to the NGA, Double E Pipeline’s existing interstate natural gas transportation rates and terms and conditions of service may be challenged by complaint and are subject to prospective change by FERC. Additionally, rate changes and changes to terms and conditions of service proposed by a regulated natural gas interstate pipeline may be protested and such changes can be delayed and may ultimately be rejected by FERC. FERC may also initiate reviews of an interstate pipeline’s rates. We cannot guarantee that any new or existing tariff rate for service on our FERC-regulated pipelines would not be rejected or modified by the FERC or subjected to refunds. Any successful challenge by a regulator or shipper in any of these matters could have a material adverse effect on our business, financial condition and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certain long-term fixed priced natural gas and crude oil transportation contracts that cannot be adjusted even if our costs increase. As a result, our costs could exceed our revenues. In 2021, we entered into negotiated rate agreements with an average term of 10 years from the in-service date of the pipeline, which occurred on November 18, 2021 and with total maximum daily transportation quantities that increases from 585,000 Dth/d during the first year of the agreement to 1,000,000 Dth/d in the fourth year, which equates to approximately 74% of its certificated capacity of 1,350,000 Dth/d; these contracts are not subject to adjustment, even if our cost to perform such services exceeds the revenues received from such contracts, and, as a result, our costs could exceed our revenues received under such contracts. It is possible that costs to perform services under our “negotiated or discount rate” contracts will exceed the negotiated or discounted rates. It is also possible with respect to discounted rates that if our filed “recourse rates” should ever be reduced below applicable discounted rates, we would only be allowed by FERC to charge the lower recourse rates, since FERC policy does not allow discount rates to be charged to the extent that they exceed applicable recourse rates. If these events were to occur, it could decrease the cash flow realized by our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FERC policy, a regulated service provider and a customer may mutually agree to sign a contract for service at a “negotiated rate,” which is generally fixed between the natural gas pipeline and the shipper for the contract term and does not necessarily vary with changes in the level of cost-based “recourse rates,” provided that the affected customer is willing to agree to such rates and that the FERC has accepted the negotiated rate agreement. These “negotiated or discount rate” contracts are not generally subject to adjustment for increased costs, which could be caused by inflation or other factors relating to the specific facilities being used to perform the services. Any shortfall of revenue, representing the difference between “recourse rates” (if higher) and negotiated or discounted rates, under current FERC policy, may be recoverable from other shippers in certain circumstances. For example, the FERC may recognize this shortfall in the determination of prospective rates in a future rate case. However, if the FERC were to disallow the recovery of such costs from other customers, it could decrease the cash flow realized by our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generally subject to the anti-market manipulation provisions in the NGA, as amended by the Energy Policy Act of 2005, and to FERC’s regulations thereunder, and also must comply with the other applicable provisions of the NGA and NGPA and FERC’s rules, regulations, and orders concerning the Double E Pipeline’s interstate natural gas pipeline business, including those that require us to provide firm and interruptible transportation service on an open access basis that is not unduly discriminatory or preferential. Violations of the NGA or NGPA, or the rules, regulations, and orders issued by FERC thereunder could result in the imposition of administrative and criminal remedies, including without limitation, revocation of certain authorities, disgorgement of ill-gotten gains, and civil penalties of up to approximately $1.5 million per day per violation of the NGA or its implementing regulations, subject to future adjustment for inflation. In addition, the Federal Trade Commission (“FTC”) holds statutory authority under the Energy Independence and Security Act of 2007 to prevent market manipulation in oil markets and has adopted broad rules and regulations prohibiting fraud and market manipulation. The FTC is also authorized to seek fines of up to approximately $1.5 million per violation, subject to future adjustment for inflation. The Commodity Futures Trading Commission (“CFTC”) is directed under the Commodity Exchange Act (“CEA”) to prevent price manipulation in the commodity, futures and swaps markets, including the energy markets. Pursuant to the Dodd-Frank Wall Street Reform and Consumer Protection Act of 2010 (the “Dodd-Frank Act”), and other authority, the CFTC has adopted additional anti-market manipulation regulations that prohibit fraud and price manipulation in the commodity, futures and swaps markets. The CFTC also has statutory authority to seek civil penalties of up to the greater of approximately $1.5 million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violation, subject to future adjustment for inflation, or triple the monetary gain to the violator for each violation of the anti-market manipulation provisions of the CEA.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distinction between federally unregulated natural gas and crude oil pipelines and FERC-regulated natural gas and crude oil pipelines has been the subject of extensive litigation and is determined by FERC on a case-by-case basis. FERC has made no determinations as to the status of our facilities. Consequently, the classification and regulation of some of our pipelines could change based on future determinations by FERC, Congress or the courts. If our natural gas gathering operations or crude oil operations beyond the Epping Pipeline become subject to FERC jurisdiction under the NGA, the NGPA or the ICA, the result may materially adversely affect the rates we are able to charge and the services we currently provide and may include the potential for a termination of our gathering agreements with our customers. In addition, if any of our facilities were found to have provided services or otherwise operated in violation of the NGA, the NGPA or the ICA, this could result in the imposition of civil penalties as well as a requirement to disgorge charges collected for such services in excess of the rate established by FERC.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state and local regulation regarding the construction and operation of our gathering, treating, transporting and processing systems, as well as state ratable take statutes and regulations. Regulation of the construction and operation of our facilities may affect our ability to expand our facilities or build new facilities and such regulation may cause us to incur additional operating costs or limit the quantities of natural gas and crude oil we may gather, treat and process. Ratable take statutes and regulations generally require gatherers to take natural gas and crude oil production that may be tendered for gathering without undue discrimination. These requirements restrict our right to decide whose production we gather, treat and process. Many states have adopted complaint-based regulation of gathering, treating, transporting and processing activities, which allows producers and shippers to file complaints with state regulators in an effort to resolve access issues, rate grievances and other matters. Other state and municipal regulations do not directly apply to our business but may nonetheless affect the availability of natural gas and crude oil for gathering, treating, transporting and processing, including state regulation of production rates, maximum daily production allowable from wells, and other activities related to drilling and operating wells. While our facilities currently are subject to limited state and local regulation, there is a risk that state or local laws will be changed or reinterpreted, which may materially affect our operations, operating costs and revenues.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environmental laws and regulations that may expose us to significant costs and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gathering, treating, transporting and processing operations are subject to stringent and complex federal, state and local environmental laws and regulations, including laws and regulations regarding the discharge of materials into the environment or otherwise relating to environmental protection, including, for example, the Clean Air Act (“CAA”), the Comprehensive Environmental Response, Compensation and Liability Act, the Clean Water Act, the Oil Pollution Control Act, the Resource Conservation and Recovery Act, the Endangered Species Act (the “ESA”) and the Toxic Substances Control Act. It is possible that future changes in environmental laws, regulations, or enforcement policies, including judicial or agency opinions or orders, could impose additional requirements or give rise to claims for damages to persons, property, natural resources, or the environment.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may impose numerous obligations that are applicable to our operations, including the acquisition of permits to conduct regulated activities, the incurrence of capital or operating expenditures to limit or prevent releases of materials from our pipelines and facilities, and the imposition of substantial liabilities and remedial obligations for pollution resulting from our operations or at locations currently or previously owned or operated by us. Numerous governmental authorities, such as the EPA and analogous state agencies, have the power to enforce compliance with these laws and regulations and the permits issued under them, oftentimes requiring difficult and costly corrective actions or costly pollution control measures. Failure to comply with these laws, regulations and requisite permits may result in the assessment of significant administrative, civil and criminal penalties, the imposition of remedial obligations and the issuance of injunctions limiting or preventing some or all of our operations. In addition, we may experience a delay in obtaining or be unable to obtain required permits or regulatory authorizations, which may cause us to lose potential and current customers, interrupt our operations and limit our growth and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 risk that we may incur significant environmental costs and liabilities in connection with our operations due to historical industry operations and waste disposal practices, our handling of hydrocarbons and other wastes and potential emissions and discharges related to our operations. Joint and several, strict liability may be incurred, without regard to fault, under certain of these environmental laws and regulations in connection with discharges or releases of hydrocarbon wastes on, under or from our properties and facilities, many of which have been used for midstream activities for a number of years, oftentimes by third parties not under our control. Private parties, including the owners of the properties through which our gathering systems pass, and on which certain of our facilities are located, may also have the right to pursue legal actions to enforce compliance as well as to seek damages for non-compliance with environmental laws and regulations or for personal injury or property damage. For example, an accidental release from one of our pipelines could subject us to substantial liabilities arising from environmental cleanup and restoration costs, claims made by neighboring landowners and other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parties for personal injury and property damage and fines or penalties for related violations of environmental laws or regulations. In addition, changes in environmental laws occur frequently, and any such changes that result in additional permitting obligations or more stringent and costly waste handling, storage, transport, disposal or remediation requirements could have a material adverse effect on our operations or financial position. We may not be able to recover all or any of these costs from insurance.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Biden Administration is considering revisions to the leasing and permitting programs for oil and gas development on federal lands, which could materially adversely affect our industry and our financial condition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incur greater than anticipated costs and liabilities as a result of pipeline safety requirements.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Department of Transportation (“DOT”), through PHMSA, has adopted and enforces safety standards and procedures applicable to our pipelines. In addition, many states, including the states in which we operate, have adopted regulations that are identical to or more restrictive than existing DOT regulations for intrastate pipelines. Among the regulations applicable to us, PHMSA requires pipeline operators to develop integrity management programs for certain pipelines located in high consequence areas, which include high population areas such as the Dallas-Fort Worth greater metropolitan area where our DFW Midstream Services LLC system is located. While the majority of our pipelines have historically met the DOT definition of gathering lines and were thus exempt from PHMSA’s integrity management requirements, we also operate a limited number of pipelines that are subject to the integrity management requirements. The regulations require operators, including us,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perform ongoing assessments of pipeline integrity;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and characterize applicable threats to pipeline segments that could impact a high consequence area;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processes for data collection, integration and analysis;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repair and remediate pipelines as necessary;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adopt and maintain procedures, standards and training programs for control room operations;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implement preventive and mitigating 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PHMSA regulations relating to pipeline safety, see “—A change in laws and regulations applicable to our assets or services, or the interpretation or implementation of existing laws and regulations may cause our revenues to decline or our operation and maintenance expenses to increase.”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Climate change legislation, regulatory initiatives and litigation could result in increased operating costs and reduced demand for the services we provide.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the U.S. Congress has considered legislation to restrict or regulate emissions of GHGs, such as carbon dioxide and methane that may be contributing to global warming and energy legislation and other initiatives are expected to be proposed that may be relevant to GHG emissions issues. For example, the Inflation Reduction Act (“IRA”), signed into law in August 2022, includes a Methane Emissions Reduction Program to incentivize methane emission reductions and impose a fee on GHG emissions from certain oil and gas facilities. In addition, in January 2024, the EPA issued a proposed rule that would impose and collect methane emissions charges authorized under the IRA, beginning in March 2025. The methane charge and other related initiatives targeting methane emissions could impose additional costs on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It is possible that certain components of our operations, such as our gas-fired compressors, could become subject to state-level GHG-related regulation. For example, in June 2022, as part of a Governor-directed statewide initiative to reduce GHG emissions by at least 45% by 2030, the New Mexico Environment Department finalized new rules that would establish emissions standards for volatile organic compounds and nitrogen oxides for oil and gas production and processing sources located in certain areas of the state with high ozone concentrations. Similarly, due to recent legislation approved in May 2024, the Colorado Department of Public Health and Environment is now required to propose rules to the Colorado Air Quality Control Commission to reduce nitrogen oxide emissions that oil and gas operations generate by 50% by 2030 relative to 2017 levels. We cannot currently determine the effect of these proposed regulations and other regulatory initiatives to implement state directives to reduce GHG emissions, that could, if implemented, impact the business, reputation, financial condition or results of our operations or that of our customers. In addition, in April 2021, the New Mexico Department of Energy, Minerals, and Natural Resources (“EMNRD”) finalized new rules concerning venting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flaring of natural gas. EMNRD’s final rule could impose new or increased costs and obligations on our customers upstream of the Double E Pipeline.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of Congress, the EPA has adopted regulations under its existing CAA authority. In 2009, the EPA published its findings that emissions of GHGs present an endangerment to public health and the environment because emissions of such gases are contributing to warming of the earth’s atmosphere and other climatic changes. Based on these findings, the EPA adopted regulations that, among other things, establish Prevention of Significant Deterioration construction and Title V operating permit reviews for certain large stationary sources of GHG emissions.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(the “Paris Agreement”). In November 2019, the United States submitted formal notification to the United Nations that it intended to withdraw from the Paris Agreement. However, on January 20, 2021, President Biden signed an “Acceptance on Behalf of the United States of America” that, reversed the prior withdrawal, and the United States officially rejoined the Paris Agreement on February 19, 2021. As part of rejoining the Paris Agreement, President Biden announced that the United States would commit to a 50 to 52 percent reduction from 2005 levels of GHG emissions by 2030 and set the goal of reaching net-zero GHG emissions by 2050. In September 2021, the United States and the European Union jointly announced the launch of the “Global Methane Pledge,” which aims to cut global methane pollution by at least 30% by 2030 relative to 2020 levels, including “all feasible reductions” in the energy sector. Since its formal launch at the 26th Conference of the Parties, over 150 countries have joined the pledge. In November 2021, the Biden Administration expanded on this commitment and announced “The Long-Term Strategy of the United States: Pathways to Net-Zero Greenhouse Gas Emissions by 2050,” establishing a roadmap to net zero emissions in the United States by 2050 through, among other things, improvements in energy efficiency; decarbonization of energy sources via electricity, hydrogen, and sustainable biofuels; and reductions in non-CO2 GHG emissions, such as methane and nitrous oxide. These initiatives followed a series of executive orders by President Biden designed to address climate change. On December 13, 2023, COP28 issued its first global stocktake, which calls on parties, including the U.S., to contribute to global efforts to transition away from fossil fuels, reduce methane emissions, triple renewable energy capacity and double energy efficiency improvements by 2030, among other things, to achieve net zero by 2050. While the stocktake agreement is not legally binding and has no enforcement mechanism, the United States could pass further legislation based on the agreement. Reentry into the Paris Agreement, the related stocktake agreement, new legislation, or President Biden’s executive orders may result in the development of additional regulations or changes to existing regulations, which could have a material adverse effect on our business and that of our customers. In addition, in March 2024, the SEC issued rules regarding the enhancement and standardization of mandatory climate-related disclosures for investors. The rules will require registrants to provide certain climate-related information in their registration statements and annual reports, including governance, risk management, financial impacts and strategy related to material climate-related risks, certain climate-related financial disclosures (subject to de minimis thresholds) and, in some instances, Scopes 1 and 2 GHG emissions. The SEC voluntarily stayed the rules pending completion of judicial review and are widely expected to face additional legal challenges going forward. While we cannot predict how the stay may ultimately impact the deadlines for compliance, we anticipate that the costs associated with preparation for implementation and compliance may be substantial. In addition, enhanced climate disclosure requirements could accelerate the trend of certain stakeholders and lenders restricting or seeking more stringent conditions with respect to their investments in certain carbon intensive sectors. While the Supreme Court’s June 2024 decision in Loper Bright Enterprises v. Raimondo to overrule Chevron U.S.A. Inc. v. Natural Resources Defense Council, Inc. ended the concept of general deference to regulatory agency interpretations of laws introduces new complexity for federal agencies and administration of climate change policy and regulatory programs, many of these initiatives could continue.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it is not possible at this time to accurately estimate how potential future laws or regulations addressing GHG emissions would impact our business, either directly or indirectly, any future federal or state laws or implementing regulations that may be adopted to address climate change and GHG emissions could require us to incur increased operating costs and could materially adversely affect demand for our services. The potential increase in the costs of our operations resulting from any legislation or regulation to address climate change or restrict emissions of GHG could include new or increased costs to operate and maintain our facilities, install new emission controls on our facilities, acquire allowances to authorize our GHG emissions, pay any taxes related to our GHG emissions, adhere to alternative energy requirements and administer and manage a GHG emissions program. While we may be able to include some or all of such increased costs in the rates we charge, such recovery of costs is uncertain. Moreover, incentives to conserve energy or use alternative energy sources could reduce demand for our services. We cannot predict with any certainty at this time how these possibilities may affect our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Statutory and regulatory requirements for swap transactions could have an adverse impact on our ability to hedge risks associated with our business and increase the working capital requirements to conduct these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Dodd-Frank Act, Congress adopted comprehensive financial reform legislation that establishes federal oversight over and regulation of the over-the-counter derivatives market and entities, such as us, that participate in that market. Under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legislation, the CFTC and the SEC and other regulatory authorities have promulgated rules and regulations, including rules and regulations relating to the regulation of certain swaps market participants, such as swap dealers, the clearing of certain swaps through central counterparties, the execution of certain swaps on designated contract markets or swap execution facilities, mandatory margin requirements for uncleared swaps, and the reporting and recordkeeping of swaps. In light of the continuing adjustment of the regulations, we cannot predict the ultimate effect of the rules and regulations on our business. Any new regulations or modifications to existing regulations could increase the cost of derivative contracts, limit the availability of derivatives to protect against risks that we encounter, reduce our ability to monetize or restructure our existing derivative contracts, or increase our exposure to less creditworthy counterparties.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the CFTC adopted rules that place limits on positions in certain core futures and equivalent swaps contracts for or linked to certain physical commodities, subject to exceptions for certain bona fide hedging transactions. We do not expect these regulations to materially impede our hedging activity at this time, but a companion rule on aggregation among entities under common ownership or control may have an impact on our ability to hedge our exposure to certain enumerated commodities.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CFTC has implemented final rules regarding mandatory clearing of certain classes of interest rate swaps and certain classes of index credit default swaps. Mandatory trading on designated contract markets or swap execution facilities of certain interest rate swaps and index credit default swaps also began in 2014. At this time, the CFTC has not proposed any rules designating other classes of swaps, including physical commodity swaps, for mandatory clearing. The CFTC and prudential banking regulators also adopted mandatory margin requirements on uncleared swaps between swap dealers and certain other counterparties. Although we may qualify for a commercial end-user exception from the mandatory clearing, trade execution and certain uncleared swaps margin requirements, mandatory clearing and trade execution requirements and uncleared swaps margin requirements applicable to other market participants, such as swap dealers, may affect the cost and availability of the swaps that we use for hedging.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Dodd-Frank Act, the CFTC is also directed generally to prevent price manipulation and fraud in the following two markets: (i) physical commodities traded in interstate commerce, including physical energy and other commodities, and (ii) financial instruments, such as futures, options and swaps. The CFTC has adopted additional anti-market manipulation, anti-fraud and disruptive trading practices regulations that prohibit, among other things, fraud and price manipulation in the physical commodities, futures, options and swaps markets. Should we violate these laws and regulations, we could be subject to CFTC enforcement action, material penalties and sanctions.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enter into forward contracts with third parties to buy power and sell natural gas in an attempt to mitigate our exposure to fluctuations in the price of natural gas with respect to those volumes. The CFTC has finalized an interpretation clarifying whether and when certain forwards with volumetric optionality are to be regulated as forwards or qualify as options on commodities and therefore swaps. The application of this interpretation to any particular situation may impact our ability to enter into certain forwards or may impose additional requirements with respect to certain transactions.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Dodd-Frank Act, regulators within the European Union and other foreign regulators have adopted and implemented local reforms generally comparable with the reforms under the Dodd-Frank Act. Enforcement of these regulatory provisions may reduce our ability to hedge our market risks with non-U.S. counterparties or may make any transactions involving cross-border swaps more expensive and burdensome. Additionally, the lingering absence of regulatory equivalency across jurisdictions may increase compliance costs and make it more costly to satisfy regulatory obligations.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face opposition to the development, permitting, construction or operation of our pipelines and facilities from various groups.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an April 15, 2020 ruling, amended May 11, 2020, the U.S. District Court for the District of Montana issued an order invalidating the U.S. Army Corps of Engineers (“Corps”) 2017 reissuance of Nationwide Permit 12 (“NWP 12”), the general permit governing discharges of dredged or fill material associated with pipeline and other utility line construction projects, to the extent it was used to authorize construction of new oil and gas pipelines. Environmental groups had alleged that the Corps failed to consult with federal wildlife agencies as required by the ESA. However, in January 2021, the EPA and Corps reissued NWP 12 as a general permit specific to oil and gas pipelines, moving other utility line activities into separate general permits. The U.S. Court of Appeals for the Ninth Circuit subsequently held that the Corps’ January 2021 reissuance rendered the prior challenge moot. In May 2021, environmental groups once again filed suit in the U.S. District Court for the District of Montana, seeking vacatur of the reissued NWP 12. Environmental groups allege that the reissuance of NWP 12 violated the ESA, National Environmental Policy Act, and Clean Water Act, among other things. In September 2022, the U.S. District Court for Montana dismissed the ESA consultation challenges as moot and dismissed the remainder of the lawsuit without prejudice. The Corps has announced that it will be reviewing all the nationwide permits for consistency with Administration policies, which could result in additional limitations on the use of nationwide permits. Limitations on the use of NWP 12 may make it more difficult to permit our projects, require consideration of alternative construction or siting, which may impose additional costs and delays, and could cause us to lose potential and current customers and limit our growth and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July 6, 2020, the U.S. District Court for the District of Columbia issued an order vacating a Corps Mineral Leasing Act easement for the Dakota Access Pipeline in a lawsuit filed by the Standing Rock Sioux Tribe and other Native American tribes. The court’s decision requires the pipeline to shut down operations by August 5, 2020 but was stayed by the U.S. Court of Appeals for the District of Columbia Circuit. On January 26, 2021, the U.S. Court of Appeals for the District of Columbia Circuit issued a decision affirming the district court’s holding that the easement should be vacated but reversing the requirement to shut down the pipeline. The Court of Appeals left it to the Corps to determine how to proceed after the loss of the easement, and while the Corps declined to shut down the pipeline, it did not formally approve the pipeline’s ongoing operation without an easement. Dakota Access filed for rehearing en banc on April 12, 2021, which the Court of Appeals denied. On September 20, 2021, Dakota Access filed a petition with the U.S. Supreme Court to hear the case. Oppositions were filed by the Solicitor General and plaintiffs, and Dakota Access has filed its reply.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Dakota Access Pipeline continues to operate pending the Corps’ ongoing development of a court-ordered environmental impact statement for the project. On June 22, 2021, the District Court terminated the consolidated lawsuits and dismissed all remaining outstanding counts without prejudice. On January 20, 2022, the Standing Rock Sioux Tribe withdrew as a cooperating agency on the draft Environmental Impact Statement (“EIS”), prompting the Corps to temporarily pause on the draft EIS. The Corps published the draft EIS on September 8, 2023 and tribal and public meetings were held in November and December of 2023. A final EIS is expected to be completed by the Corps in 2025. If the Dakota Access Pipeline is forced to shut down, this could have a material adverse effect on our business, financial condition and results of operations associated with the Polar and Divide system, which interconnects with the Dakota Access Pipeline.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Recently, activists concerned about the potential effects of climate change have directed their attention towards sources of funding for fossil-fuel energy companies, which has resulted in an increasing number of financial institutions, funds, individual investors and other sources of capital restricting or eliminating their investment in fossil fuel-related activities. In addition, financial institutions have begun to screen companies such as ours for sustainability performance, including practices related to GHGs and climate change, before providing loans or investing in our equity securities. There is also a risk that financial institutions may adopt policies that have the effect of reducing the funding provided to the fossil fuel sector, such as the adoption of net zero financed emissions targets. Such policies may be hastened by actions under the Biden Administration, including the implementation by the Federal Reserve of any recommendations made by the Network for Greening the Financial System, a consortium of financial regulators focused on addressing climate-related risks in the financial sector. Ultimately, this could make it more difficult to secure funding for exploration and production activities or energy infrastructure related projects or adversely impact our cost of capital, and consequently could both indirectly affect demand for our services and directly affect our ability to fund construction or other capital projects. Any efforts to improve our sustainability practices in response to these pressures may increase our costs, and we may be forced to implement technologies that are not economically viable in order to improve our sustainability performance and to meet the specific requirements to maintain access to capital or perform services for certain customers.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United States and international laws and regulations regarding privacy and data protection (“data protection laws”). Many of these data protection laws are subject to change and uncertain interpretation, and could result in claims, increased cost of operations or otherwise harm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Along with our own data and information that we collect and retain in the normal course of our business, we and our business partners collect and retain significant volumes of certain other types of data, some of which are subject to data protection laws. The regulatory environment surrounding the collection, use, transfer and protection of such data, both domestically and internationally, is becoming increasingly complex, constantly evolving, and is subject to frequent significant change. New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protection laws at the federal, state, international, national, provincial and local levels, including recent Colorado, Connecticut, Virginia and Utah legislation, the European Union General Data Protection Regulation (“GDPR”) and the California Consumer Privacy Act, as amended by the California Privacy Rights Act (“CCPA”), pose increasingly complex compliance challenges and potentially elevate our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Complying with these jurisdictional requirements could increase the costs and complexity of compliance procedures, and violations of applicable data protection laws can result in significant penalties. For example, the GDPR applies to activities regarding personal data that may be conducted by us, directly or indirectly through business partners. Failure to comply could result in significant penalties of up to a maximum of 4% of our global turnover that may materially adversely affect our business, reputation, results of operations, and cash flows. Similarly, the CCPA, which came into effect on January 1, 2020, imposes specific obligations on businesses that collect personal data from California residents and provides California residents specific rights in relation to their personal data that we or our business partners collect and use. As interpretation and enforcement of the CCPA evolves, it creates a range of new compliance obligations, which could necessitate we change our business practices, and carries the possibility for significant financial penalties for noncompliance that may materially adversely affect our business, reputation, results of operations, and 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noted below, we are also subject to the possibility of information security breaches, which themselves may result in material financial and reputational exposure under such data protection laws. Additionally, if we acquire a company that has violated or is not in compliance with applicable data protection laws, we may incur significant liabilities and penalties as a result.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Terrorism and Cyberterrorism</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Terrorist attacks and threats, escalation of military activity in response to these attacks, or acts of war could have a material adverse effect on our business, financial condition or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Terrorist attacks and threats, escalation of military activity, or acts of war may have significant effects on general economic conditions, fluctuations in consumer confidence and spending and market liquidity, each of which could materially and adversely affect our business. Future terrorist attacks, rumors or threats of war, actual conflicts involving the United States or its allies, or military or trade disruptions may significantly affect our operations and those of our customers. Strategic targets, such as energy-related assets, may be at greater risk of future attacks than other targets in the United States. Disruption or significant increases in energy prices could result in government-imposed price controls. It is possible that any of these occurrences, or a combination of them, could have a material adverse effect on our business, financial condition and results of operations. Our insurance may not protect us against such occurrences.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operations depend on the use of information technology (“IT”) and operational technology (“OT”) systems that could be the target of a cyberattack.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threats present a large and growing risk to our business, as the oil and gas industry has become increasingly dependent on digital technologies to conduct day-to-day operations, including certain midstream activities. For example, software programs are used to manage gathering and transportation systems and for compliance reporting. The use of remote communication devices has increased rapidly. Industrial control systems now control large scale processes that can include multiple sites and long distances, such as oil and gas pipelines.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depend on the use of sophisticated IT and OT systems. These systems, as well as those of our customers, business partners and counterparties, may become the target of cyber-attacks or information security breaches. Additionally, increased remote access to information systems by employees and contractors can increase exposure to potential cybersecurity incidents.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such cyber-attacks or information security breaches could have a material adverse effect on our revenues and increase our operating and capital costs and could reduce the amount of cash otherwise available for distribution. A cyber-incident involving our IT or OT systems, or that of our customers, business partners or counterparties, could disrupt our business plans and negatively impact our operations in the following ways, among others: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cyber-attack on a vendor or service provider could result in supply chain disruptions, which could delay or halt development of additional infrastructure, effectively delaying the start of cash flows from the project;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cyber-attack on downstream pipelines could prevent us from delivering product at the tailgate of our facilities, resulting in a loss of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cyber-attack on a communications network or power grid could cause operational disruption, resulting in loss of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deliberate corruption of our financial or operational data could result in events of non-compliance, which could lead to regulatory fines or penalties;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business interruptions could result in expensive remediation efforts, distraction of management, damage to our reputation or a negative impact on the price of our common stock or Series A Preferred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Cyber-incidents and related business interruptions could result in expensive remediation efforts, disproportionate attention of management, damage to our reputation or a negative impact on the price of our common stock or Series A Preferred Stock. In addition, certain cyberattacks and related incidents, such as reconnaissance or surveillance by threat actors, may remain undetected for an extended period notwithstanding our monitoring and detection efforts. As a result, we may be required to incur additional costs to modify or enhance our IT or OT systems to prevent or remediate any such attacks. Finally, laws and regulations governing cybersecurity pose increasingly complex compliance technical challenges, and failure to comply with these laws could result in penalties and legal liability.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Common Stock and Series A Preferred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price of the common stock or Series A Preferred Stock may experience volatility.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our common stock or the Series A Preferred Stock may be volatile. In addition to the risk factors described above, some of the factors that could affect the price of our common stock are quarterly increases or decreases in revenue or earnings, changes in revenue or earnings estimates by the investment community, sales of the common stock by significant stockholders, a turnover of the investor base as a result of the Corporate Reorganization, short-selling of the common stock or Series A Preferred Stock by investors, issuance of a significant number of shares for equity-based compensation or to raise additional capital to fund our operations, changes in market valuations of similar companies and speculation in the press or investment community about our financial condition or results of operations, as well as any doubt about its ability to continue as a going concern. General market conditions and United States or international economic factors and political events unrelated to our performance may also affect its stock price. For these reasons, investors should not rely on recent trends in the price of the common stock or Series A Preferred Stock to predict the future price of the common stock or Series A Preferred Stock or our future financial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Governing Documents contain provisions that may make it difficult for a third party to acquire control of the Company, even if a change in control would result in the purchase of your shares of common stock or Series A Preferred Stock at a premium to the market price or would otherwise be beneficial to you.</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amended and restated certificate of incorporation (the “Charter”), our amended and restated bylaws (the “Bylaws”) and the Certificate of Designation of Series A Floating Rate Cumulative Redeemable Perpetual Preferred Stock (the “Series A Certificate of Designation” and, together with the Charter and the Bylaws, the “Governing Documents”) that may make it difficult for a third party to acquire control of the Company, even if a change in control would result in the purchase of your shares of common stock or Series A Preferred Stock at a premium to the market price or would otherwise be beneficial to you. For example, the Charter authorizes the Board of Directors to issue Preferred Stock and Blank Check Common Stock without stockholder approval. If the Board of Directors elects to issue Preferred Stock or Blank Check Common Stock, it could be more difficult for a third party to acquire the Company. In connection with the Transaction, the Company will establish and issue 7,471,008 shares of Class B common stock of the Company, par value $0.01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provisions of the Governing Documents, including a classified board of directors and limitations on stockholder actions by written consent and on stockholder proposals and director nominations at meetings of stockholders, could make it more difficult for a third party to acquire control of the Company. Certain provisions of the DGCL may also discourage takeover attempts that have not been approved by the Board of Directors.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do not expect to pay dividends on our common stock for the foreseeable future.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to pay dividends for the foreseeable future. In addition, the Amended and Restated ABL Facility may limit our subsidiaries subject thereto from distributing cash to the Company, without the prior consent of the lenders under the Amended and Restated ABL Facility, thereby limiting our ability to pay dividends to equity holders, other than dividends payable solely in additional equity interests in the Company. </w:t>
      </w:r>
    </w:p>
    <w:p>
      <w:pPr>
        <w:pStyle w:val="TextBody"/>
        <w:bidi w:val="0"/>
        <w:spacing w:lineRule="auto" w:line="288" w:before="120" w:after="283"/>
        <w:jc w:val="left"/>
        <w:rPr/>
      </w:pPr>
      <w:r>
        <w:rPr>
          <w:rFonts w:ascii="Times New Roman;sans-serif" w:hAnsi="Times New Roman;sans-serif"/>
          <w:b/>
          <w:i/>
          <w:color w:val="000000"/>
          <w:sz w:val="20"/>
        </w:rPr>
        <w:t>The value of our common stock may be diluted by future equity issuances and shares eligible for future sale may have adverse effects on our share price.</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effect of future sales of shares or the availability of shares for future sales, on the market price of or the liquidity of the market for the shares. Sales of substantial amounts of shares, or the perception that such sales could occur, could adversely affect the prevailing market price of the shares. Such sales, or the possibility of such sales, could also make it difficult for us to sell equity securities in the future at a time and at a price that we deem appropriate.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42,000,000 shares of common stock, 500,000 shares of Preferred Stock and 30,000,000 shares of Blank Check Common Stock, a significant portion of which are currently unissued. We may need to raise a significant amount of capital to fund our operations and pay down outstanding indebtedness, including borrowings on the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Restated ABL Facility and the Permian Transmission Credit Facilities and the 2029 Secured Notes, and may raise such capital through the issuance of newly issued common stock, Preferred Stock or Blank Check Common Stock. Such issuance and sale of equity could be dilutive to the interests of existing stockholders.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Transaction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will incur a substantial amount of additional debt to complete the Transaction. Our debt level may limit our financial and business flexibility.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fund the $155 million cash portion of the aggregate purchase price for the Transaction with a combination of cash on hand and through the incurrence of approximately $155 million of new indebtedness. We currently anticipate such indebtedness will consist of borrowings through our Amended Restated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incurrence would result in an increase to our outstanding long-term indebtedness, which was $826.5 million as of September 30, 2024. Subject to the limitations contained in our existing and any future debt instruments, we may be able to incur additional debt from time to time to finance working capital, capital expenditures, investments or acquisition, or for other purposes. If we do so, the risks related to our level debt could increase. Our ability to repay all the forgoing obligations will depend on, among other things, our financial position and performance, as well as prevailing market conditions and other factors beyond our control.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increased indebtedness could have important consequences. For example: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required to dedicate a substantial portion of our cash flows from operations to payments on our indebtedness, thereby reducing our ability to use our cash flow to fund working capital, acquisitions, capital expenditures and general corporate matters, including dividend payments and stock repurchases;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not be able to generate sufficient cash flow to meet our substantial debt service obligations or to fund our other liquidity needs. If this occurs, we may have to take actions such as selling assets, selling equity, or reducing or delaying capital expenditures, strategic acquisitions, investments and joint ventures, or restructuring our debt;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as a result of the amount of our outstanding indebtedness and the restrictive covenants to which we are or may become subject, if we determine that we require additional financing to fund future working capital, capital investments, or other business activities, we may not be able to obtain such financing on commercially reasonable terms, or at all;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flexibility in planning for, or reacting to, changes in our business and industry may be limited, thereby placing us at a competitive disadvantage compared with our competitors that have less indebtedness.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will be subject to certain uncertainties while the Transaction is pending, which could adversely affect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is currently pending and we have scheduled a Special Meeting of Stockholders, on November 29, 2024, to approve the issuance of 7,471,008 shares of Class B Common Stock and associated 7,471,008 Partnership common units. Uncertainty about the effect of the Transaction on employees and those that do business with us or invest in our securities may have an adverse effect on the Company or the trading price of our Common Stock. These uncertainties may impair our ability to attract, retain and motivate key personnel until the Transaction is completed and for a period of time thereafter, and could cause those that transact with us to seek to change their existing business relationships with us. During the pendency of the Transaction, management and other personnel will be required to dedicate time and attention to execution of the Transaction, which may partially divert their attention from the Company’s business. The Company will also incur significant transaction expenses regardless of whether the Transaction is consummated or beneficial, and such expenses may be more than anticipated, particularly if the Transaction is not completed on the expected timeline.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entered into in connection with the Transaction restrict us from entering into certain corporate transactions and taking other specified actions without the consent of Tall Oak, and generally require us to continue our operations in the ordinary course of business during the pendency of the Transaction. These restrictions may prevent us from pursuing attractive business opportunities or adjusting our capital plan prior to the completion of the Transaction.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Company stockholders as of immediately prior to the Transaction will have reduced ownership in the Company immediately following the Transaction.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the closing of the Transaction, legacy stockholders will experience immediate and significant dilution to their current equity ownership in the Company. Immediately after the closing, our existing stockholders are expected to control approximately 59% of our issued and outstanding voting power, while Tailwater, after being transferred a portion of the shares of Class B Common Stock issued to Tall Oak at closing, is expected to control approximately 35% of our issued and outstanding voting power and will have the right to designate four of the eleven members of our Board. TOMI, a party unaffiliated with each of the Company and Tall Oak, is expected to control approximately 6% of our issued and outstanding voting power after being transferred a portion of the securities to be issued to Tall Oak at Closing.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issuance of 7,471,008 shares of Class B Common Stock and associated Partnership common units pursuant to the Business Contribution Agreement could have the effect of depressing the market price of the Common Stock, through dilution of earnings per share or otherwise. Any dilution of, or delay of any accretion to, the Company’s earnings per share could cause the price of the Common Stock to decline or increase at a reduced rate.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for Common Stock following the closing of the Transaction may be affected by factors different from those that historically have affected or currently affect the Common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completion of the Transaction, the Company’s financial position may differ from its financial position before the completion of the Transaction, and the results of operations of the combined company may be affected by some factors that are different from those currently affecting the results of operations of the Company and those currently affecting the results of operations of Tall Oak Opco. Accordingly, the market price and performance of the Common Stock is likely to be different from the performance of the Common Stock in the absence of the Transaction. In addition, general fluctuations in stock markets could have a material adverse effect on the market for, or liquidity of, the Common Stock, regardless of the Company’s actual operating performance.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lawsuits relating to the Transaction, which could adversely affect our business, financial condition and operating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Lawsuits may be filed challenging the Transaction, which could prevent the Transaction from being completed, or could result in a material delay in, or the abandonment of, the Transaction.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Transaction, then that injunction may delay or prevent the Transaction from being completed, which may adversely affect our business, financial position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termination of the Business Contribution Agreement could negatively impact our business or result in our having to pay a termination fee.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 Contribution Agreement is subject to a number of conditions that must be satisfied, including the approval by the Company’s stockholders of the issuance of the 7,471,008 shares of Class B Common Stock and associated Partnership common units, in each case prior to the completion of the Transaction. These conditions to the completion of the Business Contribution Agreement, some of which are beyond the control of the Company, may not be satisfied or waived in a timely manner by March 31, 2025 or at all, and, accordingly, the Transaction may be delayed or may not be completed. The Business Contribution Agreement may also be terminated under certain circumstances. If the Transaction is not completed for any reason, the Company’s ongoing businesses and financial results may be adversely affected.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the Business Contribution Agreement is terminated under certain circumstances, we may be required to pay a termination fee of approximately $15 million in the aggregate, which would have a negative impact on our liquidity and financial condition.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Transaction may be completed even though material adverse changes subsequent to the announcement of the Transaction, such as industry-wide changes or other events, may occur.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general, the parties to the Transaction can refuse to complete the Transaction if there is a material adverse change affecting the other party. However, some types of changes do not permit the Company to refuse to complete the Transaction, even if such changes would have a material adverse effect on any of the parties involved in the Transaction. For example, if Tall Oak Opco is adversely impacted as a result of a decrease in commodity prices or general economic conditions, the Company would not have the right to refuse to complete the Transaction. If adverse changes occur that affect the assets of the Tall Oak Subsidiaries and the parties are still required to complete the Transaction, the Company’s share price, business and financial results after the completion of the Transaction may suffer.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failure to successfully integrate the business and operations of Tall Oak in the expected time frame may adversely affect the Company’s future results.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acquisition of the Tall Oak Opco will result in certain benefits, including certain cost synergies and operational efficiencies. However, to realize these anticipated benefits, the businesses of the Company and Tall Oak must be successfully combined. The success of the Transaction will depend on the Company’s ability to realize these anticipated benefits from integrating the business of Tall Oak Opco into the Company. The actual integration may result in additional and unforeseen expenses or delays. If the post-Transaction company is not able to successfully integrate Tall Oak Opco’s business and operations, or if there are delays in combining the businesses, the anticipated benefits of the Transaction may not be realized fully or at all or may take longer to realize than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 Factors Relating to the Company Following the Transaction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market value of our Common Stock could decline if large amounts of our equity securities are sold following the Transaction.</w:t>
      </w:r>
    </w:p>
    <w:p>
      <w:pPr>
        <w:pStyle w:val="TextBody"/>
        <w:bidi w:val="0"/>
        <w:spacing w:lineRule="auto" w:line="288" w:before="12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In the Transaction, we expect to issue 7,471,008 shares of Class B Common Stock in exchange for 100% of the equity interests in Tall Oak Opco. Such shares of Class B Common Stock are exchangeable for shares of our Common Stock at the election of the holder for no additional consideration. Pursuant to the Investor Agreement, the estimated 6,480,071 shares of Class B Common Stock and associated Partnership common units to be issued to Tailwater and its designees may not be transferred until one year after closing, after which time 50% of such securities will be available for resale, with the remaining 50% available for resale two years after closing. With respect to the estimated 990,937 shares of Class B Common Stock and associated Partnership common units to be issued to TOMI, TOMI is required to exercise its redemption right in full on or prior to the fourth business day following the closing or, if closing occurs on or prior to December 31, 2024, on January 1, 2025. However, TOMI may not sell the Common Stock received upon redemption until six months after the closing, after which time 50% of such Common Stock will be available for resale, with the remainder of the Common Stock held by TOMI being available for resale one year after the closing. Tailwater and TOMI may decide to reduce their investment in the Company at any time thereafter. Any such sales of our equity securities, or expectations thereof, could have the effect of depressing the market price for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We may not achieve the anticipated benefits of the Transaction.</w:t>
      </w:r>
    </w:p>
    <w:p>
      <w:pPr>
        <w:pStyle w:val="TextBody"/>
        <w:bidi w:val="0"/>
        <w:spacing w:lineRule="auto" w:line="288" w:before="12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the Transaction will depend, in part, on our ability to realize the anticipated benefits of the Transaction. The anticipated benefits of the Transaction may not be fully realized or may take longer to realize for various reasons, including difficulties integrating operations, higher than expected integration and operating costs or other difficulties and fluctuations in market prices. Additionally, there are numerous uncertainties inherent in estimating quantities of proved oil and gas reserves and actual future production rates of Tall Oak Opco’s customers and as a result, the revenue generated by Tall Oak Opco’s assets. Actual results may vary substantially from those assumed in our estimates. A customary review of such properties will not necessarily reveal all existing or potential problems. An inability to realize the full extent of the anticipated benefits of the Transaction could have an adverse effect upon our revenues, level of expenses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The Transaction and subsequent changes in stock ownership of the Company (including upon the redemption or exchange of the shares of Class B Common Stock and associated Partnership common units for Common Stock) may trigger a limitation on the utilization of net operating loss carryforwards of the Company.</w:t>
      </w:r>
    </w:p>
    <w:p>
      <w:pPr>
        <w:pStyle w:val="TextBody"/>
        <w:bidi w:val="0"/>
        <w:spacing w:lineRule="auto" w:line="288" w:before="12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ability to utilize U.S. net operating loss carryforwards to reduce future taxable income depends on many factors, including its future income, which cannot be assured. Section 382 and 383 of the Code generally impose an annual limitation on the amount of net operating losses and certain other tax attributes that may be used to offset taxable income when a corporation has undergone an “ownership change” (as determined under Section 382). An ownership change generally occurs if one or more stockholders (or groups of stockholders) who are each deemed to own at least 5% of such corporation’s stock increase their ownership by more than 50 percentage points over their lowest ownership percentage within a rolling three-year period. In the event that an ownership change occurs, utilization of net operating losses by the Company would be subject to an annual limitation under Section 382, generally determined by multiply (1) the fair market value of its stock at the time of the ownership change by (2) the long-term tax-exempt rate published by the IRS for the month in which the ownership change occurs, subject to certain adjustments. Any unused annual limitation may be carried over to later years. In addition, an ownership change may arise as a result of subsequent changes in the Company’s stock ownership, including as a result of redemptions or exchanges of shares of Class B Common Stock and associated Partnership common units for Common Stock, which would trigger a limitation on the Company’s ability to utilize net operating loss carryforwards.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If the Partnership were to become a publicly traded partnership taxable as a corporation for U.S. federal income tax purposes, the Company and the Partnership might be subject to potentially significant tax inefficiencies.</w:t>
      </w:r>
    </w:p>
    <w:p>
      <w:pPr>
        <w:pStyle w:val="TextBody"/>
        <w:bidi w:val="0"/>
        <w:spacing w:lineRule="auto" w:line="288" w:before="12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intent is to cause the Partnership to be operated in a manner such that the Partnership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the exchange of shares of Class B Common Stock for Common Stock or other transfers of Partnership common units could cause the Partnership to be treated as a publicly traded partnership. Applicable U.S. Treasury regulations provide for certain safe harbors from treatment as a publicly traded partnership, and we intend to operate such that exchanges or other transfers of Partnership common units qualify for one or more of such safe harbors. For example, we intend to limit the number of holders of Partnership common units, and the A&amp;R Partnership Agreement provides for certain limitations on the ability of holders of common units to transfer their common units and provides the General Partner with the right to impose restrictions on the ability of limited partners to exchange their Partnership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for Common Stock pursuant to the redemption right to the extent the General Partner believes there is a material risk that the Partnership would be a publicly traded partnership as a result of such exercise.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Relating to the Company’s Common Stock and Series A Preferred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certificate of incorporation and bylaws contain provisions that may make it more difficult for a third party to acquire control of the Company, even if a change in control would result in the purchase of your shares of Common Stock or Series A Preferred Stock at a premium to the market price or would otherwise be beneficial to you.</w:t>
      </w:r>
    </w:p>
    <w:p>
      <w:pPr>
        <w:pStyle w:val="TextBody"/>
        <w:bidi w:val="0"/>
        <w:spacing w:lineRule="auto" w:line="288" w:before="12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may make it more difficult for a third party to acquire control of the Company, even if a change in control would result in the purchase of your shares of Common Stock or Series A Preferred Stock at a premium to the market price or would otherwise be beneficial to you. For example, the Company’s certificate of incorporation authorizes the Board to issue preferred stock, $0.01 par value per share (“Preferred Stock”), and common stock, $0.01 par value per share (“Blank Check Common Stock”), without stockholder approval. If the Board elects to issue Preferred Stock or Blank Check Common Stock, it could be more difficult for a third party to acquire the Company.</w:t>
      </w:r>
    </w:p>
    <w:p>
      <w:pPr>
        <w:pStyle w:val="TextBody"/>
        <w:bidi w:val="0"/>
        <w:spacing w:lineRule="auto" w:line="288" w:before="12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provisions of our certificate of incorporation and bylaws, including a classified board of directors and limitations on stockholder actions by written consent and on stockholder proposals and director nominations at meetings of stockholders, could make it more difficult for a third party to acquire control of the Company. Certain provisions of the Delaware General Corporate Law may also discourage takeover attempts that have not been approved by the Board.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5. Other Information</w:t>
      </w:r>
      <w:r>
        <w:rPr>
          <w:rFonts w:ascii="Times New Roman;sans-serif" w:hAnsi="Times New Roman;sans-serif"/>
          <w:b/>
          <w:i/>
          <w:color w:val="000000"/>
          <w:sz w:val="20"/>
        </w:rPr>
        <w: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the following directors or officers (as defined in Rule 16a-1(f) under the Exchange Act) of the Company adopted Rule 10b5-1 trading arrangements as defined in Item 408(a) of Regulation 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9, 2024, J. Heath Deneke, the Company’s President, Chief Executive Officer and Chairman of the Board of Directors, executed a Rule 10b5-1 trading arrangement to be adopted effective August 13, 2024 providing for the sale from time to time of an aggregate of up to 90,000 shares of our common stock. The trading arrangement is intended to satisfy the affirmative defense in Rule 10b5-1(c). The duration of the trading arrangement is until December 31, 2025, or earlier if all transactions under the trading arrangement are completed.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11, 2024, James D. Johnston, the Company’s Executive Vice President, General Counsel and Chief Compliance Officer, executed a Rule 10b5-1 trading arrangement to be adopted effective August 13, 2024 providing for the sale from time to time of an aggregate of up to 20,000 shares of our common stock. The trading arrangement is intended to satisfy the affirmative defense in Rule 10b5-1(c). The duration of the trading arrangement is until June 18, 2025, or earlier if all transactions under the trading arrangement are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3"/>
        <w:gridCol w:w="309"/>
        <w:gridCol w:w="312"/>
        <w:gridCol w:w="109"/>
        <w:gridCol w:w="109"/>
        <w:gridCol w:w="109"/>
        <w:gridCol w:w="2608"/>
        <w:gridCol w:w="2597"/>
        <w:gridCol w:w="3699"/>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May 31, 2024, by and among Summit Midstream Corporation, Summit SMC NewCo, LLC, Summit Midstream Partners, LP and Summit Midstream GP, LLC (Incorporated herein by reference to Exhibit 2.1 to SMLP’s Current Report on Form 8-K filed June 3, 2024 (Commission File No. 001-35666))</w:t>
              </w:r>
            </w:hyperlink>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Business Contribution Agreement, dated October 1, 2024, by and among Summit Midstream Corporation, Summit Midstream Partners, LP and Tall Oak Midstream Holdings, LLC (Incorporated herein by reference to Exhibit 2.1 to SMC’s Current Report on Form 8-K filed October 2, 2024 (Commission File No. 001-35666)).</w:t>
              </w:r>
            </w:hyperlink>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bookmarkStart w:id="0" w:name="ib2324472a60846c6b42213eff22e8915_2-2-1-"/>
              <w:bookmarkEnd w:id="0"/>
              <w:r>
                <w:rPr>
                  <w:rStyle w:val="InternetLink"/>
                  <w:rFonts w:ascii="Times New Roman;sans-serif" w:hAnsi="Times New Roman;sans-serif"/>
                  <w:b w:val="false"/>
                  <w:color w:val="0000FF"/>
                  <w:sz w:val="20"/>
                  <w:u w:val="single"/>
                </w:rPr>
                <w:t>Amended and Restated Certificate of Incorporation of Summit Midstream Corporation (Incorporated herein by reference to Exhibit 3.1 to SMC’s Current Report on Form 8-K12B filed August 1, 2024 (Commission File No. 001-35666)).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2748"/>
        <w:gridCol w:w="2710"/>
        <w:gridCol w:w="3834"/>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Bylaws of Summit Midstream Corporation (Incorporated herein by reference to Exhibit 3.2 to SMC’s Current Report on Form 8-K12B filed August 1, 2024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Designation of Series A Floating Rate Cumulative Redeemable Perpetual Preferred Stock of Summit Midstream Corporation (Incorporated herein by reference to Exhibit 3.3 to SMC’s Current Report on Form 8-K12B filed August 1, 2024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80"/>
                  <w:sz w:val="20"/>
                  <w:u w:val="single"/>
                </w:rPr>
                <w:t>4.</w:t>
              </w:r>
            </w:hyperlink>
            <w:hyperlink r:id="rId13">
              <w:r>
                <w:rPr>
                  <w:rStyle w:val="InternetLink"/>
                  <w:rFonts w:ascii="Times New Roman;sans-serif" w:hAnsi="Times New Roman;sans-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Indenture, dated July 26, 2024, among Summit Midstream Holdings, LLC, as issuer, the guarantors party thereto and Regions Bank, as trustee and as collateral agent (Incorporated herein by reference to Exhibit 4.1 to SMLP’s Current Report on Form 8-K filed July 29, 2024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Form of 8.625% Senior Secured Second Lien Note due 2029 (included as Exhibit A in Exhibit 4.1 and Incorporated herein by reference to Exhibit 4.2 to SMLP’s Current Report on Form 8-K filed July 29, 2024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Supplemental Indenture, dated August 1, 2024, among Summit Midstream Holdings, LLC, Summit Midstream Corporation, Summit Midstream Partners, LP and Regions Bank, as trustee and collateral agent (Incorporated herein by reference to Exhibit 4.1 to SMC’s Current Report on Form 8-K12B filed August 1, 2024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Amended and Restated Loan and Security Agreement, dated as of July 26, 2024, by and among Summit Midstream Holdings, LLC, as borrower, Summit Midstream Partners, LP, the subsidiary guarantors party thereto from time to time, Bank of America, N.A., as agent, and Bank of America, N.A., Royal Bank of Canada, Regions Capital Markets, TD Securities (USA) LLC, JPMorgan Chase Bank, N.A., Citizens Bank, N.A. and Truist Bank, collectively, as joint lead arrangers and joint bookrunners (Incorporated herein by reference to Exhibit 10.1 to SMLP’s Current Report on Form 8-K filed July 29, 2024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Notice and Reaffirmation of Intercreditor Agreement, dated as of July 26, 2024, among Bank of America, N.A., as first lien representative and collateral agent for the initial first lien claimholders, and Regions Bank, as initial second lien representative for the initial second lien claimholders and collateral agent for the initial second lien claimholders, acknowledged and agreed to by the grantors referred to therein (Incorporated herein by reference to Exhibit 10.2 to SMLP’s Current Report on Form 8-K filed July 29, 2024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ans-serif" w:hAnsi="Times New Roman;sans-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First Amendment to the Summit Midstream Partners, LP 2022 Long-Term Incentive Plan (Incorporated herein by reference to Exhibit 10.1 to SMLP’s Current Report on Form 8-K filed May 22, 2024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ans-serif" w:hAnsi="Times New Roman;sans-serif"/>
                  <w:b w:val="false"/>
                  <w:color w:val="0000FF"/>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Joinder Agreement, dated August 1, 2024, between Summit Midstream Corporation and Bank of America, N.A. (Incorporated herein by reference to Exhibit 10.1 to SMC’s Current Report on Form 8-K12B filed August 1, 2024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ans-serif" w:hAnsi="Times New Roman;sans-serif"/>
                  <w:b w:val="false"/>
                  <w:color w:val="0000FF"/>
                  <w:sz w:val="20"/>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Grantor Joinder Agreement to the Intercreditor Agreement, dated August 1, 2024, by Summit Midstream Corporation (Incorporated herein by reference to Exhibit 10.2 to SMC’s Current Report on Form 8-K12B filed August 1, 2024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ans-serif" w:hAnsi="Times New Roman;sans-serif"/>
                  <w:b w:val="false"/>
                  <w:color w:val="0000FF"/>
                  <w:sz w:val="20"/>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 xml:space="preserve">Amended and Restated Employment Agreement, dated August 1, 2024, by and between Summit Operating Services Company, LLC and J. Heath Deneke (Incorporated herein by reference to Exhibit 10.3 to SMC’s Current Report on Form 8-K12B filed August 1, 2024 (Commission File No. 001-35666)). </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ans-serif" w:hAnsi="Times New Roman;sans-serif"/>
                  <w:b w:val="false"/>
                  <w:color w:val="0000FF"/>
                  <w:sz w:val="20"/>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 xml:space="preserve">Amended and Restated Employment Agreement, dated August 1, 2024, by and between Summit Operating Services Company, LLC and James D. Johnston (Incorporated herein by reference to Exhibit 10.4 to SMC’s Current Report on Form 8-K12B filed August 1, 2024 (Commission File No. 001-35666)). </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ans-serif" w:hAnsi="Times New Roman;sans-serif"/>
                  <w:b w:val="false"/>
                  <w:color w:val="0000FF"/>
                  <w:sz w:val="20"/>
                  <w:u w:val="single"/>
                </w:rPr>
                <w:t>10.8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Amended and Restated Employment Agreement, dated August 1, 2024, by and between Summit Operating Services Company, LLC and William J. Mault (Incorporated herein by reference to Exhibit 10.5 to SMC’s Current Report on Form 8-K12B filed August 1, 2024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ans-serif" w:hAnsi="Times New Roman;sans-serif"/>
                  <w:b w:val="false"/>
                  <w:color w:val="0000FF"/>
                  <w:sz w:val="20"/>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Amended and Restated Employment Agreement, dated August 1, 2024, by and between Summit Operating Services Company, LLC and Matthew B. Sicinski (Incorporated herein by reference to Exhibit 10.6 to SMC’s Current Report on Form 8-K12B filed August 1, 2024 (Commission File No. 001-35666)).</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ans-serif" w:hAnsi="Times New Roman;sans-serif"/>
                  <w:b w:val="false"/>
                  <w:color w:val="0000FF"/>
                  <w:sz w:val="20"/>
                  <w:u w:val="single"/>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Summit Midstream Corporation 2024 Long-Term Incentive Plan (Incorporated herein by reference to Exhibit 10.7 to SMC’s Current Report on Form 8-K12B filed August 1, 2024 (Commission File No. 001-35666)).</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lp-20240930x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lp-20240930xex311.htm">
              <w:r>
                <w:rPr>
                  <w:rStyle w:val="InternetLink"/>
                  <w:rFonts w:ascii="Times New Roman;sans-serif" w:hAnsi="Times New Roman;sans-serif"/>
                  <w:b w:val="false"/>
                  <w:color w:val="0000FF"/>
                  <w:sz w:val="20"/>
                  <w:u w:val="single"/>
                </w:rPr>
                <w:t>Rule 13a-14(a)/15d-14(a) Certification, executed by Heath Deneke, President, Chief Executive Officer and Director</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lp-20240930xex312.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lp-20240930xex312.htm">
              <w:r>
                <w:rPr>
                  <w:rStyle w:val="InternetLink"/>
                  <w:rFonts w:ascii="Times New Roman;sans-serif" w:hAnsi="Times New Roman;sans-serif"/>
                  <w:b w:val="false"/>
                  <w:color w:val="0000FF"/>
                  <w:sz w:val="20"/>
                  <w:u w:val="single"/>
                </w:rPr>
                <w:t>Rule 13a-14(a)/15d-14(a) Certification, executed by William J. Mault, Executive Vice President and Chief Financial Officer</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1"/>
        <w:gridCol w:w="195"/>
        <w:gridCol w:w="197"/>
        <w:gridCol w:w="109"/>
        <w:gridCol w:w="109"/>
        <w:gridCol w:w="109"/>
        <w:gridCol w:w="2704"/>
        <w:gridCol w:w="2704"/>
        <w:gridCol w:w="3837"/>
      </w:tblGrid>
      <w:tr>
        <w:trPr/>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lp-20240930xe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lp-20240930xex321.htm">
              <w:r>
                <w:rPr>
                  <w:rStyle w:val="InternetLink"/>
                  <w:rFonts w:ascii="Times New Roman;sans-serif" w:hAnsi="Times New Roman;sans-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 The financial information contained in the XBRL (eXtensible Business Reporting Language)-related documents is unaudited and unreviewed.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Certain of the schedules and exhibits to the agreement have been omitted pursuant to Item 601(a)(5) of Regulation S-K. A copy of any omitted schedule or exhibit will be furnished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d6790c4f4fd94e14984a72756155bc8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9929" w:type="dxa"/>
        <w:jc w:val="left"/>
        <w:tblInd w:w="0" w:type="dxa"/>
        <w:tblLayout w:type="fixed"/>
        <w:tblCellMar>
          <w:top w:w="28" w:type="dxa"/>
          <w:left w:w="28" w:type="dxa"/>
          <w:bottom w:w="28" w:type="dxa"/>
          <w:right w:w="28" w:type="dxa"/>
        </w:tblCellMar>
      </w:tblPr>
      <w:tblGrid>
        <w:gridCol w:w="625"/>
        <w:gridCol w:w="549"/>
        <w:gridCol w:w="551"/>
        <w:gridCol w:w="2396"/>
        <w:gridCol w:w="2396"/>
        <w:gridCol w:w="3412"/>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Corporation</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9446" w:type="dxa"/>
        <w:jc w:val="left"/>
        <w:tblInd w:w="0" w:type="dxa"/>
        <w:tblLayout w:type="fixed"/>
        <w:tblCellMar>
          <w:top w:w="28" w:type="dxa"/>
          <w:left w:w="28" w:type="dxa"/>
          <w:bottom w:w="28" w:type="dxa"/>
          <w:right w:w="28" w:type="dxa"/>
        </w:tblCellMar>
      </w:tblPr>
      <w:tblGrid>
        <w:gridCol w:w="211"/>
        <w:gridCol w:w="186"/>
        <w:gridCol w:w="188"/>
        <w:gridCol w:w="599"/>
        <w:gridCol w:w="599"/>
        <w:gridCol w:w="601"/>
        <w:gridCol w:w="109"/>
        <w:gridCol w:w="109"/>
        <w:gridCol w:w="109"/>
        <w:gridCol w:w="1967"/>
        <w:gridCol w:w="1967"/>
        <w:gridCol w:w="28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050"/>
                <wp:effectExtent l="0" t="0" r="0" b="0"/>
                <wp:wrapNone/>
                <wp:docPr id="83" name="Frame83"/>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Corporation;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9851" w:type="dxa"/>
        <w:jc w:val="left"/>
        <w:tblInd w:w="0" w:type="dxa"/>
        <w:tblLayout w:type="fixed"/>
        <w:tblCellMar>
          <w:top w:w="28" w:type="dxa"/>
          <w:left w:w="28" w:type="dxa"/>
          <w:bottom w:w="28" w:type="dxa"/>
          <w:right w:w="28" w:type="dxa"/>
        </w:tblCellMar>
      </w:tblPr>
      <w:tblGrid>
        <w:gridCol w:w="211"/>
        <w:gridCol w:w="186"/>
        <w:gridCol w:w="188"/>
        <w:gridCol w:w="599"/>
        <w:gridCol w:w="599"/>
        <w:gridCol w:w="601"/>
        <w:gridCol w:w="109"/>
        <w:gridCol w:w="109"/>
        <w:gridCol w:w="109"/>
        <w:gridCol w:w="2081"/>
        <w:gridCol w:w="2081"/>
        <w:gridCol w:w="297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050"/>
                <wp:effectExtent l="0" t="0" r="0" b="0"/>
                <wp:wrapNone/>
                <wp:docPr id="84" name="Frame8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Corporation (the “Registrant”) for the quarterly period ended September 30, 2024, as filed with the Securities and Exchange Commission on the date hereof (the “Report”), the undersigned, Heath Deneke, as President, Chief Executive Officer and Director of the Registrant, and William J. Mault, as Executive Vice President and Chief Financial Officer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5448"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1236"/>
        <w:gridCol w:w="1236"/>
        <w:gridCol w:w="175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544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w:t>
              <w:b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12, 2024</w:t>
            </w:r>
          </w:p>
        </w:tc>
      </w:tr>
    </w:tbl>
    <w:tbl>
      <w:tblPr>
        <w:tblW w:w="6054"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1397"/>
        <w:gridCol w:w="1397"/>
        <w:gridCol w:w="199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605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12, 2024</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050"/>
                <wp:effectExtent l="0" t="0" r="0" b="0"/>
                <wp:wrapNone/>
                <wp:docPr id="85" name="Frame8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9922/000121390024048747/ea020722601ex2-1_summit.htm" TargetMode="External"/><Relationship Id="rId3" Type="http://schemas.openxmlformats.org/officeDocument/2006/relationships/hyperlink" Target="https://www.sec.gov/Archives/edgar/data/1549922/000121390024048747/ea020722601ex2-1_summit.htm" TargetMode="External"/><Relationship Id="rId4" Type="http://schemas.openxmlformats.org/officeDocument/2006/relationships/hyperlink" Target="https://www.sec.gov/Archives/edgar/data/2024218/000202421824000028/projectfusion-businessco.htm" TargetMode="External"/><Relationship Id="rId5" Type="http://schemas.openxmlformats.org/officeDocument/2006/relationships/hyperlink" Target="https://www.sec.gov/Archives/edgar/data/2024218/000202421824000028/projectfusion-businessco.htm" TargetMode="External"/><Relationship Id="rId6" Type="http://schemas.openxmlformats.org/officeDocument/2006/relationships/hyperlink" Target="https://www.sec.gov/Archives/edgar/data/2024218/000101376224003515/ea021024101ex3-1_summit.htm" TargetMode="External"/><Relationship Id="rId7" Type="http://schemas.openxmlformats.org/officeDocument/2006/relationships/hyperlink" Target="https://www.sec.gov/Archives/edgar/data/2024218/000101376224003515/ea021024101ex3-1_summit.htm" TargetMode="External"/><Relationship Id="rId8" Type="http://schemas.openxmlformats.org/officeDocument/2006/relationships/hyperlink" Target="https://www.sec.gov/Archives/edgar/data/2024218/000101376224003515/ea021024101ex3-2_summit.htm" TargetMode="External"/><Relationship Id="rId9" Type="http://schemas.openxmlformats.org/officeDocument/2006/relationships/hyperlink" Target="https://www.sec.gov/Archives/edgar/data/2024218/000101376224003515/ea021024101ex3-2_summit.htm" TargetMode="External"/><Relationship Id="rId10" Type="http://schemas.openxmlformats.org/officeDocument/2006/relationships/hyperlink" Target="https://www.sec.gov/Archives/edgar/data/2024218/000101376224003515/ea021024101ex3-3_summit.htm" TargetMode="External"/><Relationship Id="rId11" Type="http://schemas.openxmlformats.org/officeDocument/2006/relationships/hyperlink" Target="https://www.sec.gov/Archives/edgar/data/2024218/000101376224003515/ea021024101ex3-3_summit.htm" TargetMode="External"/><Relationship Id="rId12" Type="http://schemas.openxmlformats.org/officeDocument/2006/relationships/hyperlink" Target="https://www.sec.gov/Archives/edgar/data/1549922/000101376224001777/ea021008501ex4-1_summit.htm" TargetMode="External"/><Relationship Id="rId13" Type="http://schemas.openxmlformats.org/officeDocument/2006/relationships/hyperlink" Target="https://www.sec.gov/Archives/edgar/data/1549922/000101376224001777/ea021008501ex4-1_summit.htm" TargetMode="External"/><Relationship Id="rId14" Type="http://schemas.openxmlformats.org/officeDocument/2006/relationships/hyperlink" Target="https://www.sec.gov/Archives/edgar/data/1549922/000101376224001777/ea021008501ex4-1_summit.htm" TargetMode="External"/><Relationship Id="rId15" Type="http://schemas.openxmlformats.org/officeDocument/2006/relationships/hyperlink" Target="https://www.sec.gov/Archives/edgar/data/1549922/000101376224001777/ea021008501ex4-1_summit.htm" TargetMode="External"/><Relationship Id="rId16" Type="http://schemas.openxmlformats.org/officeDocument/2006/relationships/hyperlink" Target="https://www.sec.gov/Archives/edgar/data/1549922/000101376224001777/ea021008501ex4-1_summit.htm" TargetMode="External"/><Relationship Id="rId17" Type="http://schemas.openxmlformats.org/officeDocument/2006/relationships/hyperlink" Target="https://www.sec.gov/Archives/edgar/data/2024218/000101376224003515/ea021024101ex4-1_summit.htm" TargetMode="External"/><Relationship Id="rId18" Type="http://schemas.openxmlformats.org/officeDocument/2006/relationships/hyperlink" Target="https://www.sec.gov/Archives/edgar/data/2024218/000101376224003515/ea021024101ex4-1_summit.htm" TargetMode="External"/><Relationship Id="rId19" Type="http://schemas.openxmlformats.org/officeDocument/2006/relationships/hyperlink" Target="https://www.sec.gov/Archives/edgar/data/1549922/000101376224001777/ea021008501ex10-1_summit.htm" TargetMode="External"/><Relationship Id="rId20" Type="http://schemas.openxmlformats.org/officeDocument/2006/relationships/hyperlink" Target="https://www.sec.gov/Archives/edgar/data/1549922/000101376224001777/ea021008501ex10-1_summit.htm" TargetMode="External"/><Relationship Id="rId21" Type="http://schemas.openxmlformats.org/officeDocument/2006/relationships/hyperlink" Target="https://www.sec.gov/Archives/edgar/data/1549922/000101376224001777/ea021008501ex10-2_summit.htm" TargetMode="External"/><Relationship Id="rId22" Type="http://schemas.openxmlformats.org/officeDocument/2006/relationships/hyperlink" Target="https://www.sec.gov/Archives/edgar/data/1549922/000101376224001777/ea021008501ex10-2_summit.htm" TargetMode="External"/><Relationship Id="rId23" Type="http://schemas.openxmlformats.org/officeDocument/2006/relationships/hyperlink" Target="https://www.sec.gov/Archives/edgar/data/1549922/000154992224000050/summitmidstream-firstamend.htm" TargetMode="External"/><Relationship Id="rId24" Type="http://schemas.openxmlformats.org/officeDocument/2006/relationships/hyperlink" Target="https://www.sec.gov/Archives/edgar/data/1549922/000154992224000050/summitmidstream-firstamend.htm" TargetMode="External"/><Relationship Id="rId25" Type="http://schemas.openxmlformats.org/officeDocument/2006/relationships/hyperlink" Target="https://www.sec.gov/Archives/edgar/data/2024218/000101376224003515/ea021024101ex10-1_summit.htm" TargetMode="External"/><Relationship Id="rId26" Type="http://schemas.openxmlformats.org/officeDocument/2006/relationships/hyperlink" Target="https://www.sec.gov/Archives/edgar/data/2024218/000101376224003515/ea021024101ex10-1_summit.htm" TargetMode="External"/><Relationship Id="rId27" Type="http://schemas.openxmlformats.org/officeDocument/2006/relationships/hyperlink" Target="https://www.sec.gov/Archives/edgar/data/2024218/000101376224003515/ea021024101ex10-2_summit.htm" TargetMode="External"/><Relationship Id="rId28" Type="http://schemas.openxmlformats.org/officeDocument/2006/relationships/hyperlink" Target="https://www.sec.gov/Archives/edgar/data/2024218/000101376224003515/ea021024101ex10-2_summit.htm" TargetMode="External"/><Relationship Id="rId29" Type="http://schemas.openxmlformats.org/officeDocument/2006/relationships/hyperlink" Target="https://www.sec.gov/Archives/edgar/data/2024218/000101376224003515/ea021024101ex10-3_summit.htm" TargetMode="External"/><Relationship Id="rId30" Type="http://schemas.openxmlformats.org/officeDocument/2006/relationships/hyperlink" Target="https://www.sec.gov/Archives/edgar/data/2024218/000101376224003515/ea021024101ex10-3_summit.htm" TargetMode="External"/><Relationship Id="rId31" Type="http://schemas.openxmlformats.org/officeDocument/2006/relationships/hyperlink" Target="https://www.sec.gov/Archives/edgar/data/2024218/000101376224003515/ea021024101ex10-4_summit.htm" TargetMode="External"/><Relationship Id="rId32" Type="http://schemas.openxmlformats.org/officeDocument/2006/relationships/hyperlink" Target="https://www.sec.gov/Archives/edgar/data/2024218/000101376224003515/ea021024101ex10-4_summit.htm" TargetMode="External"/><Relationship Id="rId33" Type="http://schemas.openxmlformats.org/officeDocument/2006/relationships/hyperlink" Target="https://www.sec.gov/Archives/edgar/data/2024218/000101376224003515/ea021024101ex10-5_summit.htm" TargetMode="External"/><Relationship Id="rId34" Type="http://schemas.openxmlformats.org/officeDocument/2006/relationships/hyperlink" Target="https://www.sec.gov/Archives/edgar/data/2024218/000101376224003515/ea021024101ex10-5_summit.htm" TargetMode="External"/><Relationship Id="rId35" Type="http://schemas.openxmlformats.org/officeDocument/2006/relationships/hyperlink" Target="https://www.sec.gov/Archives/edgar/data/2024218/000101376224003515/ea021024101ex10-6_summit.htm" TargetMode="External"/><Relationship Id="rId36" Type="http://schemas.openxmlformats.org/officeDocument/2006/relationships/hyperlink" Target="https://www.sec.gov/Archives/edgar/data/2024218/000101376224003515/ea021024101ex10-6_summit.htm" TargetMode="External"/><Relationship Id="rId37" Type="http://schemas.openxmlformats.org/officeDocument/2006/relationships/hyperlink" Target="https://www.sec.gov/Archives/edgar/data/2024218/000101376224003515/ea021024101ex10-7_summit.htm" TargetMode="External"/><Relationship Id="rId38" Type="http://schemas.openxmlformats.org/officeDocument/2006/relationships/hyperlink" Target="https://www.sec.gov/Archives/edgar/data/2024218/000101376224003515/ea021024101ex10-7_summit.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50914</Words>
  <Characters>284016</Characters>
  <CharactersWithSpaces>332691</CharactersWithSpaces>
  <Paragraphs>3892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