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Summit Midstream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color w:val="auto"/>
        </w:rPr>
        <w:t>Partnership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866142409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color w:val="auto"/>
        </w:rPr>
        <w:t>August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866142409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Invesco Ltd.</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98-0557567</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Bermuda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5740" w:type="dxa"/>
            <w:vAlign w:val="bottom"/>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8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40" w:type="dxa"/>
            <w:vAlign w:val="bottom"/>
          </w:tcPr>
          <w:p>
            <w:pPr>
              <w:jc w:val="right"/>
              <w:ind w:right="519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80" w:type="dxa"/>
            <w:vAlign w:val="bottom"/>
            <w:vMerge w:val="continue"/>
          </w:tcPr>
          <w:p>
            <w:pPr>
              <w:spacing w:after="0"/>
              <w:rPr>
                <w:sz w:val="21"/>
                <w:szCs w:val="21"/>
                <w:color w:val="auto"/>
              </w:rPr>
            </w:pPr>
          </w:p>
        </w:tc>
        <w:tc>
          <w:tcPr>
            <w:tcW w:w="57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40" w:type="dxa"/>
            <w:vAlign w:val="bottom"/>
            <w:vMerge w:val="restart"/>
          </w:tcPr>
          <w:p>
            <w:pPr>
              <w:jc w:val="right"/>
              <w:ind w:right="519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80" w:type="dxa"/>
            <w:vAlign w:val="bottom"/>
            <w:vMerge w:val="continue"/>
          </w:tcPr>
          <w:p>
            <w:pPr>
              <w:spacing w:after="0"/>
              <w:rPr>
                <w:sz w:val="24"/>
                <w:szCs w:val="24"/>
                <w:color w:val="auto"/>
              </w:rPr>
            </w:pPr>
          </w:p>
        </w:tc>
        <w:tc>
          <w:tcPr>
            <w:tcW w:w="5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0.0%</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 IA</w:t>
            </w:r>
          </w:p>
        </w:tc>
        <w:tc>
          <w:tcPr>
            <w:tcW w:w="5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2300" w:hanging="1387"/>
        <w:spacing w:after="0"/>
        <w:tabs>
          <w:tab w:leader="none" w:pos="23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2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Summit Midstream Partners LP</w:t>
      </w:r>
    </w:p>
    <w:p>
      <w:pPr>
        <w:spacing w:after="0" w:line="97" w:lineRule="exact"/>
        <w:rPr>
          <w:rFonts w:ascii="Times New Roman" w:cs="Times New Roman" w:eastAsia="Times New Roman" w:hAnsi="Times New Roman"/>
          <w:sz w:val="22"/>
          <w:szCs w:val="22"/>
          <w:b w:val="1"/>
          <w:bCs w:val="1"/>
          <w:color w:val="auto"/>
        </w:rPr>
      </w:pPr>
    </w:p>
    <w:p>
      <w:pPr>
        <w:ind w:left="2300" w:hanging="1387"/>
        <w:spacing w:after="0"/>
        <w:tabs>
          <w:tab w:leader="none" w:pos="230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2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910 Louisiana Street, Suite 4200, Houston, TX 77002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2300" w:right="6260" w:hanging="1387"/>
        <w:spacing w:after="0" w:line="286" w:lineRule="auto"/>
        <w:tabs>
          <w:tab w:leader="none" w:pos="23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Invesco Ltd. ("Invesco Ltd.")</w:t>
      </w:r>
    </w:p>
    <w:p>
      <w:pPr>
        <w:spacing w:after="0" w:line="45" w:lineRule="exact"/>
        <w:rPr>
          <w:rFonts w:ascii="Times New Roman" w:cs="Times New Roman" w:eastAsia="Times New Roman" w:hAnsi="Times New Roman"/>
          <w:sz w:val="21"/>
          <w:szCs w:val="21"/>
          <w:b w:val="1"/>
          <w:bCs w:val="1"/>
          <w:color w:val="auto"/>
        </w:rPr>
      </w:pPr>
    </w:p>
    <w:p>
      <w:pPr>
        <w:ind w:left="2300" w:right="3380" w:hanging="1387"/>
        <w:spacing w:after="0" w:line="286" w:lineRule="auto"/>
        <w:tabs>
          <w:tab w:leader="none" w:pos="23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1331 Spring Street NW, Suite 2500, Atlanta, GA 30309</w:t>
      </w:r>
    </w:p>
    <w:p>
      <w:pPr>
        <w:spacing w:after="0" w:line="45" w:lineRule="exact"/>
        <w:rPr>
          <w:rFonts w:ascii="Times New Roman" w:cs="Times New Roman" w:eastAsia="Times New Roman" w:hAnsi="Times New Roman"/>
          <w:sz w:val="21"/>
          <w:szCs w:val="21"/>
          <w:b w:val="1"/>
          <w:bCs w:val="1"/>
          <w:color w:val="auto"/>
        </w:rPr>
      </w:pPr>
    </w:p>
    <w:p>
      <w:pPr>
        <w:ind w:left="2300" w:right="7740" w:hanging="1387"/>
        <w:spacing w:after="0" w:line="286" w:lineRule="auto"/>
        <w:tabs>
          <w:tab w:leader="none" w:pos="23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Bermuda</w:t>
      </w:r>
    </w:p>
    <w:p>
      <w:pPr>
        <w:spacing w:after="0" w:line="45" w:lineRule="exact"/>
        <w:rPr>
          <w:rFonts w:ascii="Times New Roman" w:cs="Times New Roman" w:eastAsia="Times New Roman" w:hAnsi="Times New Roman"/>
          <w:sz w:val="21"/>
          <w:szCs w:val="21"/>
          <w:b w:val="1"/>
          <w:bCs w:val="1"/>
          <w:color w:val="auto"/>
        </w:rPr>
      </w:pPr>
    </w:p>
    <w:p>
      <w:pPr>
        <w:ind w:left="2300" w:right="6400" w:hanging="1387"/>
        <w:spacing w:after="0" w:line="286" w:lineRule="auto"/>
        <w:tabs>
          <w:tab w:leader="none" w:pos="23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Title of Class of Securities </w:t>
      </w:r>
      <w:r>
        <w:rPr>
          <w:rFonts w:ascii="Times New Roman" w:cs="Times New Roman" w:eastAsia="Times New Roman" w:hAnsi="Times New Roman"/>
          <w:sz w:val="21"/>
          <w:szCs w:val="21"/>
          <w:color w:val="auto"/>
        </w:rPr>
        <w:t>Partnership Interest</w:t>
      </w:r>
    </w:p>
    <w:p>
      <w:pPr>
        <w:spacing w:after="0" w:line="45" w:lineRule="exact"/>
        <w:rPr>
          <w:rFonts w:ascii="Times New Roman" w:cs="Times New Roman" w:eastAsia="Times New Roman" w:hAnsi="Times New Roman"/>
          <w:sz w:val="21"/>
          <w:szCs w:val="21"/>
          <w:b w:val="1"/>
          <w:bCs w:val="1"/>
          <w:color w:val="auto"/>
        </w:rPr>
      </w:pPr>
    </w:p>
    <w:p>
      <w:pPr>
        <w:ind w:left="2300" w:right="7320" w:hanging="1387"/>
        <w:spacing w:after="0" w:line="286" w:lineRule="auto"/>
        <w:tabs>
          <w:tab w:leader="none" w:pos="230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866142409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80"/>
          </w:cols>
          <w:pgMar w:left="400" w:top="419" w:right="419" w:bottom="0" w:gutter="0" w:footer="0" w:header="0"/>
        </w:sectPr>
      </w:pPr>
    </w:p>
    <w:p>
      <w:pPr>
        <w:spacing w:after="0" w:line="129" w:lineRule="exact"/>
        <w:rPr>
          <w:sz w:val="20"/>
          <w:szCs w:val="20"/>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2300" w:hanging="1387"/>
        <w:spacing w:after="0"/>
        <w:tabs>
          <w:tab w:leader="none" w:pos="23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258" w:lineRule="exact"/>
        <w:rPr>
          <w:rFonts w:ascii="Times New Roman" w:cs="Times New Roman" w:eastAsia="Times New Roman" w:hAnsi="Times New Roman"/>
          <w:sz w:val="21"/>
          <w:szCs w:val="21"/>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368" w:lineRule="exact"/>
        <w:rPr>
          <w:rFonts w:ascii="Times New Roman" w:cs="Times New Roman" w:eastAsia="Times New Roman" w:hAnsi="Times New Roman"/>
          <w:sz w:val="22"/>
          <w:szCs w:val="22"/>
          <w:color w:val="auto"/>
        </w:rPr>
      </w:pPr>
    </w:p>
    <w:p>
      <w:pPr>
        <w:ind w:left="2300" w:hanging="1387"/>
        <w:spacing w:after="0"/>
        <w:tabs>
          <w:tab w:leader="none" w:pos="230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379" w:lineRule="exact"/>
        <w:rPr>
          <w:rFonts w:ascii="Times New Roman" w:cs="Times New Roman" w:eastAsia="Times New Roman" w:hAnsi="Times New Roman"/>
          <w:sz w:val="21"/>
          <w:szCs w:val="21"/>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0" w:lineRule="exact"/>
        <w:rPr>
          <w:rFonts w:ascii="Times New Roman" w:cs="Times New Roman" w:eastAsia="Times New Roman" w:hAnsi="Times New Roman"/>
          <w:sz w:val="22"/>
          <w:szCs w:val="22"/>
          <w:color w:val="auto"/>
        </w:rPr>
      </w:pPr>
    </w:p>
    <w:p>
      <w:pPr>
        <w:spacing w:after="0" w:line="289" w:lineRule="exact"/>
        <w:rPr>
          <w:rFonts w:ascii="Times New Roman" w:cs="Times New Roman" w:eastAsia="Times New Roman" w:hAnsi="Times New Roman"/>
          <w:sz w:val="22"/>
          <w:szCs w:val="22"/>
          <w:color w:val="auto"/>
        </w:rPr>
      </w:pPr>
    </w:p>
    <w:p>
      <w:pPr>
        <w:ind w:left="2300" w:hanging="1387"/>
        <w:spacing w:after="0"/>
        <w:tabs>
          <w:tab w:leader="none" w:pos="2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An employee benefit plan or endowment fund in accordance with Rule 240.13d-1(b)(1)(ii)(F);</w:t>
      </w:r>
    </w:p>
    <w:p>
      <w:pPr>
        <w:spacing w:after="0" w:line="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A parent holding company or control person in accordance with Rule 240.13d-1(b)(1)(ii)(G);</w:t>
      </w:r>
    </w:p>
    <w:p>
      <w:pPr>
        <w:spacing w:after="0" w:line="77" w:lineRule="exact"/>
        <w:rPr>
          <w:sz w:val="20"/>
          <w:szCs w:val="20"/>
          <w:color w:val="auto"/>
        </w:rPr>
      </w:pPr>
    </w:p>
    <w:p>
      <w:pPr>
        <w:ind w:right="8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ectPr>
          <w:pgSz w:w="11900" w:h="16838" w:orient="portrait"/>
          <w:cols w:equalWidth="0" w:num="2">
            <w:col w:w="3400" w:space="720"/>
            <w:col w:w="6960"/>
          </w:cols>
          <w:pgMar w:left="400" w:top="419" w:right="419" w:bottom="0" w:gutter="0" w:footer="0" w:header="0"/>
          <w:type w:val="continuous"/>
        </w:sectPr>
      </w:pPr>
    </w:p>
    <w:p>
      <w:pPr>
        <w:ind w:left="920"/>
        <w:spacing w:after="0"/>
        <w:tabs>
          <w:tab w:leader="none" w:pos="2280" w:val="left"/>
          <w:tab w:leader="none" w:pos="41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r>
        <w:rPr>
          <w:sz w:val="20"/>
          <w:szCs w:val="20"/>
          <w:color w:val="auto"/>
        </w:rPr>
        <w:tab/>
      </w:r>
      <w:r>
        <w:rPr>
          <w:rFonts w:ascii="Times New Roman" w:cs="Times New Roman" w:eastAsia="Times New Roman" w:hAnsi="Times New Roman"/>
          <w:sz w:val="21"/>
          <w:szCs w:val="21"/>
          <w:color w:val="auto"/>
        </w:rPr>
        <w:t>Group, in accordance with Rule 240.13d-1(b)(1)(ii)(J).</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2300" w:hanging="1387"/>
        <w:spacing w:after="0"/>
        <w:tabs>
          <w:tab w:leader="none" w:pos="2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2300" w:right="16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Invesco Ltd., in its capacity as a parent holding company to its investment advisers, may be deemed to beneficially own 0 shares of the Issuer which are held of record by clients of Invesco Ltd.</w:t>
      </w:r>
    </w:p>
    <w:p>
      <w:pPr>
        <w:spacing w:after="0" w:line="53" w:lineRule="exact"/>
        <w:rPr>
          <w:rFonts w:ascii="Times New Roman" w:cs="Times New Roman" w:eastAsia="Times New Roman" w:hAnsi="Times New Roman"/>
          <w:sz w:val="22"/>
          <w:szCs w:val="22"/>
          <w:color w:val="auto"/>
        </w:rPr>
      </w:pPr>
    </w:p>
    <w:p>
      <w:pPr>
        <w:ind w:left="2300" w:right="7320" w:hanging="1387"/>
        <w:spacing w:after="0" w:line="358" w:lineRule="auto"/>
        <w:tabs>
          <w:tab w:leader="none" w:pos="2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0.0%</w:t>
      </w:r>
    </w:p>
    <w:p>
      <w:pPr>
        <w:sectPr>
          <w:pgSz w:w="11900" w:h="16838" w:orient="portrait"/>
          <w:cols w:equalWidth="0" w:num="1">
            <w:col w:w="11080"/>
          </w:cols>
          <w:pgMar w:left="400" w:top="419" w:right="419" w:bottom="0" w:gutter="0" w:footer="0" w:header="0"/>
          <w:type w:val="continuous"/>
        </w:sectPr>
      </w:pPr>
    </w:p>
    <w:p>
      <w:pPr>
        <w:spacing w:after="0" w:line="1" w:lineRule="exact"/>
        <w:rPr>
          <w:sz w:val="20"/>
          <w:szCs w:val="20"/>
          <w:color w:val="auto"/>
        </w:rPr>
      </w:pPr>
    </w:p>
    <w:p>
      <w:pPr>
        <w:ind w:left="2300" w:hanging="1387"/>
        <w:spacing w:after="0"/>
        <w:tabs>
          <w:tab w:leader="none" w:pos="2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230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49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0" w:type="dxa"/>
            <w:vAlign w:val="bottom"/>
          </w:tcPr>
          <w:p>
            <w:pPr>
              <w:spacing w:after="0"/>
              <w:rPr>
                <w:sz w:val="1"/>
                <w:szCs w:val="1"/>
                <w:color w:val="auto"/>
              </w:rPr>
            </w:pPr>
          </w:p>
        </w:tc>
      </w:tr>
      <w:tr>
        <w:trPr>
          <w:trHeight w:val="37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49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0" w:type="dxa"/>
            <w:vAlign w:val="bottom"/>
          </w:tcPr>
          <w:p>
            <w:pPr>
              <w:spacing w:after="0"/>
              <w:rPr>
                <w:sz w:val="1"/>
                <w:szCs w:val="1"/>
                <w:color w:val="auto"/>
              </w:rPr>
            </w:pPr>
          </w:p>
        </w:tc>
      </w:tr>
      <w:tr>
        <w:trPr>
          <w:trHeight w:val="339"/>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(iii)</w:t>
            </w:r>
          </w:p>
        </w:tc>
        <w:tc>
          <w:tcPr>
            <w:tcW w:w="4940" w:type="dxa"/>
            <w:vAlign w:val="bottom"/>
          </w:tcPr>
          <w:p>
            <w:pPr>
              <w:ind w:left="760"/>
              <w:spacing w:after="0"/>
              <w:rPr>
                <w:sz w:val="20"/>
                <w:szCs w:val="20"/>
                <w:color w:val="auto"/>
              </w:rPr>
            </w:pPr>
            <w:r>
              <w:rPr>
                <w:rFonts w:ascii="Times New Roman" w:cs="Times New Roman" w:eastAsia="Times New Roman" w:hAnsi="Times New Roman"/>
                <w:sz w:val="22"/>
                <w:szCs w:val="22"/>
                <w:color w:val="auto"/>
                <w:w w:val="97"/>
              </w:rPr>
              <w:t>sole power to dispose or to direct the disposition</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4940" w:type="dxa"/>
            <w:vAlign w:val="bottom"/>
            <w:vMerge w:val="restart"/>
          </w:tcPr>
          <w:p>
            <w:pPr>
              <w:ind w:left="76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9"/>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(iv)</w:t>
            </w:r>
          </w:p>
        </w:tc>
        <w:tc>
          <w:tcPr>
            <w:tcW w:w="494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shared power to dispose or to direct the</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4940" w:type="dxa"/>
            <w:vAlign w:val="bottom"/>
            <w:vMerge w:val="restart"/>
          </w:tcPr>
          <w:p>
            <w:pPr>
              <w:ind w:left="760"/>
              <w:spacing w:after="0"/>
              <w:rPr>
                <w:sz w:val="20"/>
                <w:szCs w:val="20"/>
                <w:color w:val="auto"/>
              </w:rPr>
            </w:pPr>
            <w:r>
              <w:rPr>
                <w:rFonts w:ascii="Times New Roman" w:cs="Times New Roman" w:eastAsia="Times New Roman" w:hAnsi="Times New Roman"/>
                <w:sz w:val="22"/>
                <w:szCs w:val="22"/>
                <w:color w:val="auto"/>
              </w:rPr>
              <w:t>disposition of</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4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2">
            <w:col w:w="8300" w:space="260"/>
            <w:col w:w="2520"/>
          </w:cols>
          <w:pgMar w:left="400" w:top="419" w:right="419" w:bottom="0" w:gutter="0" w:footer="0" w:header="0"/>
          <w:type w:val="continuous"/>
        </w:sectPr>
      </w:pPr>
    </w:p>
    <w:bookmarkStart w:id="3" w:name="page4"/>
    <w:bookmarkEnd w:id="3"/>
    <w:p>
      <w:pPr>
        <w:ind w:left="920" w:right="300"/>
        <w:spacing w:after="0" w:line="259"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73" w:lineRule="exact"/>
        <w:rPr>
          <w:sz w:val="20"/>
          <w:szCs w:val="20"/>
          <w:color w:val="auto"/>
        </w:rPr>
      </w:pPr>
    </w:p>
    <w:p>
      <w:pPr>
        <w:ind w:left="920" w:right="38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20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By: /s/ Robert R. Leveille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623570</wp:posOffset>
            </wp:positionH>
            <wp:positionV relativeFrom="paragraph">
              <wp:posOffset>-13970</wp:posOffset>
            </wp:positionV>
            <wp:extent cx="11811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Date: September 06, 2024</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Title: Global Head of Compliance</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2024-09-09T12:34:12Z</dcterms:created>
  <dcterms:modified xsi:type="dcterms:W3CDTF">2024-09-09T12:34:12Z</dcterms:modified>
</cp:coreProperties>
</file>