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8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June 30, 2019</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64"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04" w:lineRule="exact"/>
        <w:rPr>
          <w:sz w:val="24"/>
          <w:szCs w:val="24"/>
          <w:color w:val="auto"/>
        </w:rPr>
      </w:pPr>
    </w:p>
    <w:p>
      <w:pPr>
        <w:ind w:left="4320"/>
        <w:spacing w:after="0"/>
        <w:tabs>
          <w:tab w:leader="none" w:pos="66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69" w:lineRule="exact"/>
        <w:rPr>
          <w:sz w:val="24"/>
          <w:szCs w:val="24"/>
          <w:color w:val="auto"/>
        </w:rPr>
      </w:pPr>
    </w:p>
    <w:p>
      <w:pPr>
        <w:ind w:left="4480"/>
        <w:spacing w:after="0"/>
        <w:rPr>
          <w:sz w:val="20"/>
          <w:szCs w:val="20"/>
          <w:color w:val="auto"/>
        </w:rPr>
      </w:pPr>
      <w:r>
        <w:rPr>
          <w:rFonts w:ascii="Arial" w:cs="Arial" w:eastAsia="Arial" w:hAnsi="Arial"/>
          <w:sz w:val="14"/>
          <w:szCs w:val="14"/>
          <w:b w:val="1"/>
          <w:bCs w:val="1"/>
          <w:color w:val="auto"/>
        </w:rPr>
        <w:t>Commission file number: 001-35666</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Summit Midstream Partners, LP</w:t>
      </w:r>
    </w:p>
    <w:p>
      <w:pPr>
        <w:spacing w:after="0" w:line="127" w:lineRule="exact"/>
        <w:rPr>
          <w:sz w:val="24"/>
          <w:szCs w:val="24"/>
          <w:color w:val="auto"/>
        </w:rPr>
      </w:pPr>
    </w:p>
    <w:tbl>
      <w:tblPr>
        <w:tblLayout w:type="fixed"/>
        <w:tblInd w:w="1380" w:type="dxa"/>
        <w:tblCellMar>
          <w:top w:w="0" w:type="dxa"/>
          <w:left w:w="0" w:type="dxa"/>
          <w:bottom w:w="0" w:type="dxa"/>
          <w:right w:w="0" w:type="dxa"/>
        </w:tblCellMar>
      </w:tblPr>
      <w:tr>
        <w:trPr>
          <w:trHeight w:val="195"/>
        </w:trPr>
        <w:tc>
          <w:tcPr>
            <w:tcW w:w="6420" w:type="dxa"/>
            <w:vAlign w:val="bottom"/>
          </w:tcPr>
          <w:p>
            <w:pPr>
              <w:jc w:val="center"/>
              <w:ind w:left="2159"/>
              <w:spacing w:after="0"/>
              <w:rPr>
                <w:sz w:val="20"/>
                <w:szCs w:val="20"/>
                <w:color w:val="auto"/>
              </w:rPr>
            </w:pPr>
            <w:r>
              <w:rPr>
                <w:rFonts w:ascii="Arial" w:cs="Arial" w:eastAsia="Arial" w:hAnsi="Arial"/>
                <w:sz w:val="16"/>
                <w:szCs w:val="16"/>
                <w:color w:val="auto"/>
              </w:rPr>
              <w:t>(Exact name of registrant as specified in its charter)</w:t>
            </w:r>
          </w:p>
        </w:tc>
        <w:tc>
          <w:tcPr>
            <w:tcW w:w="1460" w:type="dxa"/>
            <w:vAlign w:val="bottom"/>
          </w:tcPr>
          <w:p>
            <w:pPr>
              <w:spacing w:after="0"/>
              <w:rPr>
                <w:sz w:val="16"/>
                <w:szCs w:val="16"/>
                <w:color w:val="auto"/>
              </w:rPr>
            </w:pPr>
          </w:p>
        </w:tc>
      </w:tr>
      <w:tr>
        <w:trPr>
          <w:trHeight w:val="265"/>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w w:val="99"/>
              </w:rPr>
              <w:t>Delaware</w:t>
            </w:r>
          </w:p>
        </w:tc>
        <w:tc>
          <w:tcPr>
            <w:tcW w:w="1460" w:type="dxa"/>
            <w:vAlign w:val="bottom"/>
          </w:tcPr>
          <w:p>
            <w:pPr>
              <w:jc w:val="right"/>
              <w:ind w:right="119"/>
              <w:spacing w:after="0"/>
              <w:rPr>
                <w:sz w:val="20"/>
                <w:szCs w:val="20"/>
                <w:color w:val="auto"/>
              </w:rPr>
            </w:pPr>
            <w:r>
              <w:rPr>
                <w:rFonts w:ascii="Arial" w:cs="Arial" w:eastAsia="Arial" w:hAnsi="Arial"/>
                <w:sz w:val="16"/>
                <w:szCs w:val="16"/>
                <w:b w:val="1"/>
                <w:bCs w:val="1"/>
                <w:color w:val="auto"/>
              </w:rPr>
              <w:t>45-5200503</w:t>
            </w:r>
          </w:p>
        </w:tc>
      </w:tr>
      <w:tr>
        <w:trPr>
          <w:trHeight w:val="189"/>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(State or other jurisdiction of</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(I.R.S. Employer</w:t>
            </w:r>
          </w:p>
        </w:tc>
      </w:tr>
      <w:tr>
        <w:trPr>
          <w:trHeight w:val="195"/>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incorporation or organization)</w:t>
            </w:r>
          </w:p>
        </w:tc>
        <w:tc>
          <w:tcPr>
            <w:tcW w:w="1460" w:type="dxa"/>
            <w:vAlign w:val="bottom"/>
          </w:tcPr>
          <w:p>
            <w:pPr>
              <w:jc w:val="center"/>
              <w:ind w:left="119"/>
              <w:spacing w:after="0"/>
              <w:rPr>
                <w:sz w:val="20"/>
                <w:szCs w:val="20"/>
                <w:color w:val="auto"/>
              </w:rPr>
            </w:pPr>
            <w:r>
              <w:rPr>
                <w:rFonts w:ascii="Arial" w:cs="Arial" w:eastAsia="Arial" w:hAnsi="Arial"/>
                <w:sz w:val="16"/>
                <w:szCs w:val="16"/>
                <w:color w:val="auto"/>
              </w:rPr>
              <w:t>Identification No.)</w:t>
            </w:r>
          </w:p>
        </w:tc>
      </w:tr>
      <w:tr>
        <w:trPr>
          <w:trHeight w:val="245"/>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1790 Hughes Landing Blvd, Suite 500</w:t>
            </w:r>
          </w:p>
        </w:tc>
        <w:tc>
          <w:tcPr>
            <w:tcW w:w="1460" w:type="dxa"/>
            <w:vAlign w:val="bottom"/>
          </w:tcPr>
          <w:p>
            <w:pPr>
              <w:spacing w:after="0"/>
              <w:rPr>
                <w:sz w:val="21"/>
                <w:szCs w:val="21"/>
                <w:color w:val="auto"/>
              </w:rPr>
            </w:pPr>
          </w:p>
        </w:tc>
      </w:tr>
      <w:tr>
        <w:trPr>
          <w:trHeight w:val="209"/>
        </w:trPr>
        <w:tc>
          <w:tcPr>
            <w:tcW w:w="6420" w:type="dxa"/>
            <w:vAlign w:val="bottom"/>
          </w:tcPr>
          <w:p>
            <w:pPr>
              <w:jc w:val="center"/>
              <w:ind w:right="3479"/>
              <w:spacing w:after="0"/>
              <w:rPr>
                <w:sz w:val="20"/>
                <w:szCs w:val="20"/>
                <w:color w:val="auto"/>
              </w:rPr>
            </w:pPr>
            <w:r>
              <w:rPr>
                <w:rFonts w:ascii="Arial" w:cs="Arial" w:eastAsia="Arial" w:hAnsi="Arial"/>
                <w:sz w:val="16"/>
                <w:szCs w:val="16"/>
                <w:b w:val="1"/>
                <w:bCs w:val="1"/>
                <w:color w:val="auto"/>
              </w:rPr>
              <w:t>The Woodlands, TX</w:t>
            </w:r>
          </w:p>
        </w:tc>
        <w:tc>
          <w:tcPr>
            <w:tcW w:w="1460" w:type="dxa"/>
            <w:vAlign w:val="bottom"/>
          </w:tcPr>
          <w:p>
            <w:pPr>
              <w:jc w:val="right"/>
              <w:ind w:right="339"/>
              <w:spacing w:after="0"/>
              <w:rPr>
                <w:sz w:val="20"/>
                <w:szCs w:val="20"/>
                <w:color w:val="auto"/>
              </w:rPr>
            </w:pPr>
            <w:r>
              <w:rPr>
                <w:rFonts w:ascii="Arial" w:cs="Arial" w:eastAsia="Arial" w:hAnsi="Arial"/>
                <w:sz w:val="16"/>
                <w:szCs w:val="16"/>
                <w:b w:val="1"/>
                <w:bCs w:val="1"/>
                <w:color w:val="auto"/>
              </w:rPr>
              <w:t>77380</w:t>
            </w:r>
          </w:p>
        </w:tc>
      </w:tr>
      <w:tr>
        <w:trPr>
          <w:trHeight w:val="195"/>
        </w:trPr>
        <w:tc>
          <w:tcPr>
            <w:tcW w:w="6420" w:type="dxa"/>
            <w:vAlign w:val="bottom"/>
          </w:tcPr>
          <w:p>
            <w:pPr>
              <w:jc w:val="center"/>
              <w:ind w:right="3479"/>
              <w:spacing w:after="0"/>
              <w:rPr>
                <w:sz w:val="20"/>
                <w:szCs w:val="20"/>
                <w:color w:val="auto"/>
              </w:rPr>
            </w:pPr>
            <w:r>
              <w:rPr>
                <w:rFonts w:ascii="Arial" w:cs="Arial" w:eastAsia="Arial" w:hAnsi="Arial"/>
                <w:sz w:val="16"/>
                <w:szCs w:val="16"/>
                <w:color w:val="auto"/>
              </w:rPr>
              <w:t>(Address of principal executive offices)</w:t>
            </w:r>
          </w:p>
        </w:tc>
        <w:tc>
          <w:tcPr>
            <w:tcW w:w="1460" w:type="dxa"/>
            <w:vAlign w:val="bottom"/>
          </w:tcPr>
          <w:p>
            <w:pPr>
              <w:jc w:val="center"/>
              <w:ind w:left="99"/>
              <w:spacing w:after="0"/>
              <w:rPr>
                <w:sz w:val="20"/>
                <w:szCs w:val="20"/>
                <w:color w:val="auto"/>
              </w:rPr>
            </w:pPr>
            <w:r>
              <w:rPr>
                <w:rFonts w:ascii="Arial" w:cs="Arial" w:eastAsia="Arial" w:hAnsi="Arial"/>
                <w:sz w:val="16"/>
                <w:szCs w:val="16"/>
                <w:color w:val="auto"/>
              </w:rPr>
              <w:t>(Zip Code)</w:t>
            </w:r>
          </w:p>
        </w:tc>
      </w:tr>
      <w:tr>
        <w:trPr>
          <w:trHeight w:val="265"/>
        </w:trPr>
        <w:tc>
          <w:tcPr>
            <w:tcW w:w="6420" w:type="dxa"/>
            <w:vAlign w:val="bottom"/>
          </w:tcPr>
          <w:p>
            <w:pPr>
              <w:jc w:val="center"/>
              <w:ind w:left="2159"/>
              <w:spacing w:after="0"/>
              <w:rPr>
                <w:sz w:val="20"/>
                <w:szCs w:val="20"/>
                <w:color w:val="auto"/>
              </w:rPr>
            </w:pPr>
            <w:r>
              <w:rPr>
                <w:rFonts w:ascii="Arial" w:cs="Arial" w:eastAsia="Arial" w:hAnsi="Arial"/>
                <w:sz w:val="16"/>
                <w:szCs w:val="16"/>
                <w:b w:val="1"/>
                <w:bCs w:val="1"/>
                <w:color w:val="auto"/>
              </w:rPr>
              <w:t>(832) 413-4770</w:t>
            </w:r>
          </w:p>
        </w:tc>
        <w:tc>
          <w:tcPr>
            <w:tcW w:w="1460" w:type="dxa"/>
            <w:vAlign w:val="bottom"/>
          </w:tcPr>
          <w:p>
            <w:pPr>
              <w:spacing w:after="0"/>
              <w:rPr>
                <w:sz w:val="23"/>
                <w:szCs w:val="23"/>
                <w:color w:val="auto"/>
              </w:rPr>
            </w:pPr>
          </w:p>
        </w:tc>
      </w:tr>
      <w:tr>
        <w:trPr>
          <w:trHeight w:val="195"/>
        </w:trPr>
        <w:tc>
          <w:tcPr>
            <w:tcW w:w="6420" w:type="dxa"/>
            <w:vAlign w:val="bottom"/>
          </w:tcPr>
          <w:p>
            <w:pPr>
              <w:jc w:val="center"/>
              <w:ind w:left="2179"/>
              <w:spacing w:after="0"/>
              <w:rPr>
                <w:sz w:val="20"/>
                <w:szCs w:val="20"/>
                <w:color w:val="auto"/>
              </w:rPr>
            </w:pPr>
            <w:r>
              <w:rPr>
                <w:rFonts w:ascii="Arial" w:cs="Arial" w:eastAsia="Arial" w:hAnsi="Arial"/>
                <w:sz w:val="16"/>
                <w:szCs w:val="16"/>
                <w:color w:val="auto"/>
              </w:rPr>
              <w:t>(Registrant’s telephone number, including area code)</w:t>
            </w:r>
          </w:p>
        </w:tc>
        <w:tc>
          <w:tcPr>
            <w:tcW w:w="1460" w:type="dxa"/>
            <w:vAlign w:val="bottom"/>
          </w:tcPr>
          <w:p>
            <w:pPr>
              <w:spacing w:after="0"/>
              <w:rPr>
                <w:sz w:val="16"/>
                <w:szCs w:val="16"/>
                <w:color w:val="auto"/>
              </w:rPr>
            </w:pPr>
          </w:p>
        </w:tc>
      </w:tr>
    </w:tbl>
    <w:p>
      <w:pPr>
        <w:spacing w:after="0" w:line="4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Securities Act:</w:t>
      </w:r>
    </w:p>
    <w:p>
      <w:pPr>
        <w:spacing w:after="0" w:line="64" w:lineRule="exact"/>
        <w:rPr>
          <w:sz w:val="24"/>
          <w:szCs w:val="24"/>
          <w:color w:val="auto"/>
        </w:rPr>
      </w:pPr>
    </w:p>
    <w:tbl>
      <w:tblPr>
        <w:tblLayout w:type="fixed"/>
        <w:tblInd w:w="10" w:type="dxa"/>
        <w:tblCellMar>
          <w:top w:w="0" w:type="dxa"/>
          <w:left w:w="0" w:type="dxa"/>
          <w:bottom w:w="0" w:type="dxa"/>
          <w:right w:w="0" w:type="dxa"/>
        </w:tblCellMar>
      </w:tblPr>
      <w:tr>
        <w:trPr>
          <w:trHeight w:val="210"/>
        </w:trPr>
        <w:tc>
          <w:tcPr>
            <w:tcW w:w="426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2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r>
        <w:trPr>
          <w:trHeight w:val="190"/>
        </w:trPr>
        <w:tc>
          <w:tcPr>
            <w:tcW w:w="42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Units</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SMLP</w:t>
            </w:r>
          </w:p>
        </w:tc>
        <w:tc>
          <w:tcPr>
            <w:tcW w:w="420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r>
        <w:trPr>
          <w:trHeight w:val="33"/>
        </w:trPr>
        <w:tc>
          <w:tcPr>
            <w:tcW w:w="4260" w:type="dxa"/>
            <w:vAlign w:val="bottom"/>
            <w:tcBorders>
              <w:left w:val="single" w:sz="8" w:color="auto"/>
              <w:bottom w:val="single" w:sz="8" w:color="auto"/>
              <w:right w:val="single" w:sz="8" w:color="auto"/>
            </w:tcBorders>
          </w:tcPr>
          <w:p>
            <w:pPr>
              <w:spacing w:after="0"/>
              <w:rPr>
                <w:sz w:val="2"/>
                <w:szCs w:val="2"/>
                <w:color w:val="auto"/>
              </w:rPr>
            </w:pPr>
          </w:p>
        </w:tc>
        <w:tc>
          <w:tcPr>
            <w:tcW w:w="2960" w:type="dxa"/>
            <w:vAlign w:val="bottom"/>
            <w:tcBorders>
              <w:bottom w:val="single" w:sz="8" w:color="auto"/>
              <w:right w:val="single" w:sz="8" w:color="auto"/>
            </w:tcBorders>
          </w:tcPr>
          <w:p>
            <w:pPr>
              <w:spacing w:after="0"/>
              <w:rPr>
                <w:sz w:val="2"/>
                <w:szCs w:val="2"/>
                <w:color w:val="auto"/>
              </w:rPr>
            </w:pPr>
          </w:p>
        </w:tc>
        <w:tc>
          <w:tcPr>
            <w:tcW w:w="4200" w:type="dxa"/>
            <w:vAlign w:val="bottom"/>
            <w:tcBorders>
              <w:bottom w:val="single" w:sz="8" w:color="auto"/>
              <w:right w:val="single" w:sz="8" w:color="auto"/>
            </w:tcBorders>
          </w:tcPr>
          <w:p>
            <w:pPr>
              <w:spacing w:after="0"/>
              <w:rPr>
                <w:sz w:val="2"/>
                <w:szCs w:val="2"/>
                <w:color w:val="auto"/>
              </w:rPr>
            </w:pPr>
          </w:p>
        </w:tc>
      </w:tr>
    </w:tbl>
    <w:p>
      <w:pPr>
        <w:spacing w:after="0" w:line="150" w:lineRule="exact"/>
        <w:rPr>
          <w:sz w:val="24"/>
          <w:szCs w:val="24"/>
          <w:color w:val="auto"/>
        </w:rPr>
      </w:pPr>
    </w:p>
    <w:p>
      <w:pPr>
        <w:jc w:val="both"/>
        <w:ind w:right="14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59" w:lineRule="exact"/>
        <w:rPr>
          <w:sz w:val="24"/>
          <w:szCs w:val="24"/>
          <w:color w:val="auto"/>
        </w:rPr>
      </w:pPr>
    </w:p>
    <w:p>
      <w:pPr>
        <w:ind w:right="400"/>
        <w:spacing w:after="0" w:line="260"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32" w:lineRule="exact"/>
        <w:rPr>
          <w:sz w:val="24"/>
          <w:szCs w:val="24"/>
          <w:color w:val="auto"/>
        </w:rPr>
      </w:pPr>
    </w:p>
    <w:p>
      <w:pPr>
        <w:ind w:left="360" w:hanging="352"/>
        <w:spacing w:after="0" w:line="184" w:lineRule="exact"/>
        <w:tabs>
          <w:tab w:leader="none" w:pos="3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28" w:lineRule="exact"/>
        <w:rPr>
          <w:sz w:val="24"/>
          <w:szCs w:val="24"/>
          <w:color w:val="auto"/>
        </w:rPr>
      </w:pPr>
    </w:p>
    <w:p>
      <w:pPr>
        <w:ind w:right="18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15" w:right="239" w:bottom="1440" w:gutter="0" w:footer="0" w:header="0"/>
        </w:sectPr>
      </w:pPr>
    </w:p>
    <w:p>
      <w:pPr>
        <w:spacing w:after="0" w:line="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76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60"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 w:lineRule="exact"/>
        <w:rPr>
          <w:sz w:val="24"/>
          <w:szCs w:val="24"/>
          <w:color w:val="auto"/>
        </w:rPr>
      </w:pPr>
    </w:p>
    <w:p>
      <w:pPr>
        <w:sectPr>
          <w:pgSz w:w="11900" w:h="16838" w:orient="portrait"/>
          <w:cols w:equalWidth="0" w:num="2">
            <w:col w:w="8580" w:space="720"/>
            <w:col w:w="2120"/>
          </w:cols>
          <w:pgMar w:left="240" w:top="215"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15" w:right="239" w:bottom="1440" w:gutter="0" w:footer="0" w:header="0"/>
          <w:type w:val="continuous"/>
        </w:sectPr>
      </w:pPr>
    </w:p>
    <w:p>
      <w:pPr>
        <w:spacing w:after="0" w:line="76" w:lineRule="exact"/>
        <w:rPr>
          <w:sz w:val="24"/>
          <w:szCs w:val="24"/>
          <w:color w:val="auto"/>
        </w:rPr>
      </w:pPr>
    </w:p>
    <w:p>
      <w:pPr>
        <w:ind w:right="30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tabs>
          <w:tab w:leader="none" w:pos="8480" w:val="left"/>
          <w:tab w:leader="none" w:pos="912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Arial" w:cs="Arial" w:eastAsia="Arial" w:hAnsi="Arial"/>
          <w:sz w:val="16"/>
          <w:szCs w:val="16"/>
          <w:color w:val="auto"/>
        </w:rPr>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w:t>
      </w: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4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Class</w:t>
            </w:r>
          </w:p>
        </w:tc>
        <w:tc>
          <w:tcPr>
            <w:tcW w:w="2040" w:type="dxa"/>
            <w:vAlign w:val="bottom"/>
          </w:tcPr>
          <w:p>
            <w:pPr>
              <w:spacing w:after="0"/>
              <w:rPr>
                <w:sz w:val="15"/>
                <w:szCs w:val="15"/>
                <w:color w:val="auto"/>
              </w:rPr>
            </w:pPr>
          </w:p>
        </w:tc>
        <w:tc>
          <w:tcPr>
            <w:tcW w:w="4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As of July 31, 2019</w:t>
            </w:r>
          </w:p>
        </w:tc>
      </w:tr>
      <w:tr>
        <w:trPr>
          <w:trHeight w:val="217"/>
        </w:trPr>
        <w:tc>
          <w:tcPr>
            <w:tcW w:w="6740" w:type="dxa"/>
            <w:vAlign w:val="bottom"/>
            <w:gridSpan w:val="2"/>
          </w:tcPr>
          <w:p>
            <w:pPr>
              <w:jc w:val="center"/>
              <w:ind w:right="2040"/>
              <w:spacing w:after="0"/>
              <w:rPr>
                <w:sz w:val="20"/>
                <w:szCs w:val="20"/>
                <w:color w:val="auto"/>
              </w:rPr>
            </w:pPr>
            <w:r>
              <w:rPr>
                <w:rFonts w:ascii="Arial" w:cs="Arial" w:eastAsia="Arial" w:hAnsi="Arial"/>
                <w:sz w:val="16"/>
                <w:szCs w:val="16"/>
                <w:color w:val="auto"/>
              </w:rPr>
              <w:t>Common Units</w:t>
            </w:r>
          </w:p>
        </w:tc>
        <w:tc>
          <w:tcPr>
            <w:tcW w:w="4680" w:type="dxa"/>
            <w:vAlign w:val="bottom"/>
          </w:tcPr>
          <w:p>
            <w:pPr>
              <w:jc w:val="center"/>
              <w:spacing w:after="0"/>
              <w:rPr>
                <w:sz w:val="20"/>
                <w:szCs w:val="20"/>
                <w:color w:val="auto"/>
              </w:rPr>
            </w:pPr>
            <w:r>
              <w:rPr>
                <w:rFonts w:ascii="Arial" w:cs="Arial" w:eastAsia="Arial" w:hAnsi="Arial"/>
                <w:sz w:val="16"/>
                <w:szCs w:val="16"/>
                <w:color w:val="auto"/>
              </w:rPr>
              <w:t>82,704,891 units</w:t>
            </w:r>
          </w:p>
        </w:tc>
      </w:tr>
      <w:tr>
        <w:trPr>
          <w:trHeight w:val="594"/>
        </w:trPr>
        <w:tc>
          <w:tcPr>
            <w:tcW w:w="470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215"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TABLE OF CONTENTS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0840" w:type="dxa"/>
            <w:vAlign w:val="bottom"/>
            <w:gridSpan w:val="24"/>
            <w:shd w:val="clear" w:color="auto" w:fill="CCEEFF"/>
          </w:tcPr>
          <w:p>
            <w:pPr>
              <w:ind w:left="20"/>
              <w:spacing w:after="0"/>
              <w:rPr>
                <w:rFonts w:ascii="Arial" w:cs="Arial" w:eastAsia="Arial" w:hAnsi="Arial"/>
                <w:sz w:val="18"/>
                <w:szCs w:val="18"/>
                <w:color w:val="0000EE"/>
              </w:rPr>
            </w:pPr>
            <w:hyperlink w:anchor="page3">
              <w:r>
                <w:rPr>
                  <w:rFonts w:ascii="Arial" w:cs="Arial" w:eastAsia="Arial" w:hAnsi="Arial"/>
                  <w:sz w:val="18"/>
                  <w:szCs w:val="18"/>
                  <w:color w:val="0000EE"/>
                </w:rPr>
                <w:t>COMMONLY USED OR DEFINED TERMS</w:t>
              </w:r>
            </w:hyperlink>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0000EE"/>
            </w:tcBorders>
          </w:tcPr>
          <w:p>
            <w:pPr>
              <w:spacing w:after="0"/>
              <w:rPr>
                <w:sz w:val="10"/>
                <w:szCs w:val="10"/>
                <w:color w:val="auto"/>
              </w:rPr>
            </w:pPr>
          </w:p>
        </w:tc>
        <w:tc>
          <w:tcPr>
            <w:tcW w:w="2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60" w:type="dxa"/>
            <w:vAlign w:val="bottom"/>
            <w:tcBorders>
              <w:top w:val="single" w:sz="8" w:color="0000EE"/>
            </w:tcBorders>
          </w:tcPr>
          <w:p>
            <w:pPr>
              <w:spacing w:after="0"/>
              <w:rPr>
                <w:sz w:val="10"/>
                <w:szCs w:val="10"/>
                <w:color w:val="auto"/>
              </w:rPr>
            </w:pPr>
          </w:p>
        </w:tc>
        <w:tc>
          <w:tcPr>
            <w:tcW w:w="120" w:type="dxa"/>
            <w:vAlign w:val="bottom"/>
            <w:tcBorders>
              <w:top w:val="single" w:sz="8" w:color="0000EE"/>
            </w:tcBorders>
          </w:tcPr>
          <w:p>
            <w:pPr>
              <w:spacing w:after="0"/>
              <w:rPr>
                <w:sz w:val="10"/>
                <w:szCs w:val="10"/>
                <w:color w:val="auto"/>
              </w:rPr>
            </w:pPr>
          </w:p>
        </w:tc>
        <w:tc>
          <w:tcPr>
            <w:tcW w:w="480" w:type="dxa"/>
            <w:vAlign w:val="bottom"/>
            <w:tcBorders>
              <w:top w:val="single" w:sz="8" w:color="0000EE"/>
            </w:tcBorders>
          </w:tcPr>
          <w:p>
            <w:pPr>
              <w:spacing w:after="0"/>
              <w:rPr>
                <w:sz w:val="10"/>
                <w:szCs w:val="10"/>
                <w:color w:val="auto"/>
              </w:rPr>
            </w:pPr>
          </w:p>
        </w:tc>
        <w:tc>
          <w:tcPr>
            <w:tcW w:w="22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200" w:type="dxa"/>
            <w:vAlign w:val="bottom"/>
            <w:tcBorders>
              <w:top w:val="single" w:sz="8" w:color="0000EE"/>
            </w:tcBorders>
          </w:tcPr>
          <w:p>
            <w:pPr>
              <w:spacing w:after="0"/>
              <w:rPr>
                <w:sz w:val="10"/>
                <w:szCs w:val="10"/>
                <w:color w:val="auto"/>
              </w:rPr>
            </w:pPr>
          </w:p>
        </w:tc>
        <w:tc>
          <w:tcPr>
            <w:tcW w:w="160" w:type="dxa"/>
            <w:vAlign w:val="bottom"/>
            <w:tcBorders>
              <w:top w:val="single" w:sz="8" w:color="0000EE"/>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0" w:type="dxa"/>
            <w:vAlign w:val="bottom"/>
            <w:tcBorders>
              <w:right w:val="single" w:sz="8" w:color="CCEEFF"/>
            </w:tcBorders>
            <w:shd w:val="clear" w:color="auto" w:fill="CCEEFF"/>
          </w:tcPr>
          <w:p>
            <w:pPr>
              <w:spacing w:after="0"/>
              <w:rPr>
                <w:sz w:val="15"/>
                <w:szCs w:val="15"/>
                <w:color w:val="auto"/>
              </w:rPr>
            </w:pPr>
          </w:p>
        </w:tc>
        <w:tc>
          <w:tcPr>
            <w:tcW w:w="97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FINANCIAL INFORMATION</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0000EE"/>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5"/>
                <w:szCs w:val="15"/>
                <w:color w:val="auto"/>
              </w:rPr>
            </w:pPr>
          </w:p>
        </w:tc>
        <w:tc>
          <w:tcPr>
            <w:tcW w:w="1740" w:type="dxa"/>
            <w:vAlign w:val="bottom"/>
            <w:tcBorders>
              <w:bottom w:val="single" w:sz="8" w:color="0000EE"/>
            </w:tcBorders>
            <w:gridSpan w:val="8"/>
          </w:tcPr>
          <w:p>
            <w:pPr>
              <w:spacing w:after="0" w:line="17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Financial Statements.</w:t>
              </w:r>
            </w:hyperlink>
          </w:p>
        </w:tc>
        <w:tc>
          <w:tcPr>
            <w:tcW w:w="8040" w:type="dxa"/>
            <w:vAlign w:val="bottom"/>
            <w:gridSpan w:val="12"/>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978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as of June 30, 2019 and December 31, 2018</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7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2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Unaudited Condensed Consolidated Statements of Operations for the three and six months ended June 30, 2019 and</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Borders>
              <w:top w:val="single" w:sz="8" w:color="0000EE"/>
            </w:tcBorders>
            <w:gridSpan w:val="4"/>
          </w:tcPr>
          <w:p>
            <w:pPr>
              <w:ind w:left="180"/>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2018</w:t>
              </w:r>
            </w:hyperlink>
          </w:p>
        </w:tc>
        <w:tc>
          <w:tcPr>
            <w:tcW w:w="26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36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780" w:type="dxa"/>
            <w:vAlign w:val="bottom"/>
            <w:tcBorders>
              <w:top w:val="single" w:sz="8" w:color="0000EE"/>
            </w:tcBorders>
          </w:tcPr>
          <w:p>
            <w:pPr>
              <w:spacing w:after="0"/>
              <w:rPr>
                <w:sz w:val="15"/>
                <w:szCs w:val="15"/>
                <w:color w:val="auto"/>
              </w:rPr>
            </w:pPr>
          </w:p>
        </w:tc>
        <w:tc>
          <w:tcPr>
            <w:tcW w:w="680" w:type="dxa"/>
            <w:vAlign w:val="bottom"/>
            <w:tcBorders>
              <w:top w:val="single" w:sz="8" w:color="0000EE"/>
            </w:tcBorders>
          </w:tcPr>
          <w:p>
            <w:pPr>
              <w:spacing w:after="0"/>
              <w:rPr>
                <w:sz w:val="15"/>
                <w:szCs w:val="15"/>
                <w:color w:val="auto"/>
              </w:rPr>
            </w:pPr>
          </w:p>
        </w:tc>
        <w:tc>
          <w:tcPr>
            <w:tcW w:w="12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right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right w:val="single" w:sz="8" w:color="CCEEFF"/>
            </w:tcBorders>
            <w:shd w:val="clear" w:color="auto" w:fill="CCEEFF"/>
          </w:tcPr>
          <w:p>
            <w:pPr>
              <w:spacing w:after="0"/>
              <w:rPr>
                <w:sz w:val="15"/>
                <w:szCs w:val="15"/>
                <w:color w:val="auto"/>
              </w:rPr>
            </w:pPr>
          </w:p>
        </w:tc>
        <w:tc>
          <w:tcPr>
            <w:tcW w:w="946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Unaudited Condensed Consolidated Statements of Partners' Capital for the three and six months ended June 30, 2019</w:t>
              </w:r>
            </w:hyperlink>
          </w:p>
        </w:tc>
        <w:tc>
          <w:tcPr>
            <w:tcW w:w="3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0" w:type="dxa"/>
            <w:vAlign w:val="bottom"/>
            <w:tcBorders>
              <w:right w:val="single" w:sz="8" w:color="CCEEFF"/>
            </w:tcBorders>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0" w:type="dxa"/>
            <w:vAlign w:val="bottom"/>
            <w:gridSpan w:val="18"/>
            <w:shd w:val="clear" w:color="auto" w:fill="CCEEFF"/>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and 2018</w:t>
              </w:r>
            </w:hyperlink>
          </w:p>
        </w:tc>
        <w:tc>
          <w:tcPr>
            <w:tcW w:w="5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780" w:type="dxa"/>
            <w:vAlign w:val="bottom"/>
            <w:gridSpan w:val="20"/>
          </w:tcPr>
          <w:p>
            <w:pPr>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Unaudited Condensed Consolidated Statements of Cash Flows for the six months ended June 30, 2019 and 2018</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7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right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536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Notes to Unaudited Condensed Consolidated Financial Statements</w:t>
              </w:r>
            </w:hyperlink>
          </w:p>
        </w:tc>
        <w:tc>
          <w:tcPr>
            <w:tcW w:w="442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5"/>
                <w:szCs w:val="15"/>
                <w:color w:val="auto"/>
              </w:rPr>
            </w:pPr>
          </w:p>
        </w:tc>
        <w:tc>
          <w:tcPr>
            <w:tcW w:w="7140" w:type="dxa"/>
            <w:vAlign w:val="bottom"/>
            <w:tcBorders>
              <w:bottom w:val="single" w:sz="8" w:color="0000EE"/>
            </w:tcBorders>
            <w:gridSpan w:val="15"/>
          </w:tcPr>
          <w:p>
            <w:pPr>
              <w:spacing w:after="0" w:line="176" w:lineRule="exact"/>
              <w:rPr>
                <w:rFonts w:ascii="Arial" w:cs="Arial" w:eastAsia="Arial" w:hAnsi="Arial"/>
                <w:sz w:val="18"/>
                <w:szCs w:val="18"/>
                <w:color w:val="0000EE"/>
                <w:w w:val="99"/>
              </w:rPr>
            </w:pPr>
            <w:hyperlink w:anchor="page33">
              <w:r>
                <w:rPr>
                  <w:rFonts w:ascii="Arial" w:cs="Arial" w:eastAsia="Arial" w:hAnsi="Arial"/>
                  <w:sz w:val="18"/>
                  <w:szCs w:val="18"/>
                  <w:color w:val="0000EE"/>
                  <w:w w:val="99"/>
                </w:rPr>
                <w:t>Management’s Discussion and Analysis of Financial Condition and Results of Operations.</w:t>
              </w:r>
            </w:hyperlink>
          </w:p>
        </w:tc>
        <w:tc>
          <w:tcPr>
            <w:tcW w:w="2640" w:type="dxa"/>
            <w:vAlign w:val="bottom"/>
            <w:gridSpan w:val="5"/>
          </w:tcPr>
          <w:p>
            <w:pPr>
              <w:spacing w:after="0"/>
              <w:rPr>
                <w:sz w:val="15"/>
                <w:szCs w:val="15"/>
                <w:color w:val="auto"/>
              </w:rPr>
            </w:pPr>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0" w:type="dxa"/>
            <w:vAlign w:val="bottom"/>
            <w:tcBorders>
              <w:bottom w:val="single" w:sz="8" w:color="CCEEFF"/>
            </w:tcBorders>
            <w:gridSpan w:val="3"/>
            <w:shd w:val="clear" w:color="auto" w:fill="CCEEFF"/>
          </w:tcPr>
          <w:p>
            <w:pPr>
              <w:ind w:left="20"/>
              <w:spacing w:after="0" w:line="156" w:lineRule="exact"/>
              <w:rPr>
                <w:sz w:val="20"/>
                <w:szCs w:val="20"/>
                <w:color w:val="auto"/>
              </w:rPr>
            </w:pPr>
            <w:r>
              <w:rPr>
                <w:rFonts w:ascii="Arial" w:cs="Arial" w:eastAsia="Arial" w:hAnsi="Arial"/>
                <w:sz w:val="18"/>
                <w:szCs w:val="18"/>
                <w:color w:val="auto"/>
              </w:rPr>
              <w:t>Item 3.</w:t>
            </w:r>
          </w:p>
        </w:tc>
        <w:tc>
          <w:tcPr>
            <w:tcW w:w="200" w:type="dxa"/>
            <w:vAlign w:val="bottom"/>
            <w:tcBorders>
              <w:bottom w:val="single" w:sz="8" w:color="CCEEFF"/>
              <w:right w:val="single" w:sz="8" w:color="CCEEFF"/>
            </w:tcBorders>
            <w:shd w:val="clear" w:color="auto" w:fill="CCEEFF"/>
          </w:tcPr>
          <w:p>
            <w:pPr>
              <w:spacing w:after="0"/>
              <w:rPr>
                <w:sz w:val="17"/>
                <w:szCs w:val="17"/>
                <w:color w:val="auto"/>
              </w:rPr>
            </w:pPr>
          </w:p>
        </w:tc>
        <w:tc>
          <w:tcPr>
            <w:tcW w:w="4760" w:type="dxa"/>
            <w:vAlign w:val="bottom"/>
            <w:tcBorders>
              <w:bottom w:val="single" w:sz="8" w:color="0000EE"/>
            </w:tcBorders>
            <w:gridSpan w:val="13"/>
            <w:shd w:val="clear" w:color="auto" w:fill="CCEEFF"/>
          </w:tcPr>
          <w:p>
            <w:pPr>
              <w:spacing w:after="0" w:line="15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Quantitative and Qualitative Disclosures about Market Risk.</w:t>
              </w:r>
            </w:hyperlink>
          </w:p>
        </w:tc>
        <w:tc>
          <w:tcPr>
            <w:tcW w:w="5020" w:type="dxa"/>
            <w:vAlign w:val="bottom"/>
            <w:tcBorders>
              <w:bottom w:val="single" w:sz="8" w:color="CCEEFF"/>
            </w:tcBorders>
            <w:gridSpan w:val="7"/>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5"/>
                <w:szCs w:val="15"/>
                <w:color w:val="auto"/>
              </w:rPr>
            </w:pPr>
          </w:p>
        </w:tc>
        <w:tc>
          <w:tcPr>
            <w:tcW w:w="9780" w:type="dxa"/>
            <w:vAlign w:val="bottom"/>
            <w:gridSpan w:val="20"/>
          </w:tcPr>
          <w:p>
            <w:pPr>
              <w:spacing w:after="0" w:line="176" w:lineRule="exact"/>
              <w:rPr>
                <w:rFonts w:ascii="Arial" w:cs="Arial" w:eastAsia="Arial" w:hAnsi="Arial"/>
                <w:sz w:val="18"/>
                <w:szCs w:val="18"/>
                <w:color w:val="0000EE"/>
              </w:rPr>
            </w:pPr>
            <w:hyperlink w:anchor="page55">
              <w:r>
                <w:rPr>
                  <w:rFonts w:ascii="Arial" w:cs="Arial" w:eastAsia="Arial" w:hAnsi="Arial"/>
                  <w:sz w:val="18"/>
                  <w:szCs w:val="18"/>
                  <w:color w:val="0000EE"/>
                </w:rPr>
                <w:t>Controls and Procedures.</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0" w:type="dxa"/>
            <w:vAlign w:val="bottom"/>
            <w:tcBorders>
              <w:right w:val="single" w:sz="8" w:color="CCEEFF"/>
            </w:tcBorders>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00" w:type="dxa"/>
            <w:vAlign w:val="bottom"/>
            <w:tcBorders>
              <w:right w:val="single" w:sz="8" w:color="CCEEFF"/>
            </w:tcBorders>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spacing w:after="0"/>
              <w:rPr>
                <w:sz w:val="10"/>
                <w:szCs w:val="10"/>
                <w:color w:val="auto"/>
              </w:rPr>
            </w:pPr>
          </w:p>
        </w:tc>
        <w:tc>
          <w:tcPr>
            <w:tcW w:w="10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120" w:type="dxa"/>
            <w:vAlign w:val="bottom"/>
            <w:tcBorders>
              <w:top w:val="single" w:sz="8" w:color="0000EE"/>
            </w:tcBorders>
            <w:shd w:val="clear" w:color="auto" w:fill="CCEEFF"/>
          </w:tcPr>
          <w:p>
            <w:pPr>
              <w:spacing w:after="0"/>
              <w:rPr>
                <w:sz w:val="10"/>
                <w:szCs w:val="10"/>
                <w:color w:val="auto"/>
              </w:rPr>
            </w:pPr>
          </w:p>
        </w:tc>
        <w:tc>
          <w:tcPr>
            <w:tcW w:w="480" w:type="dxa"/>
            <w:vAlign w:val="bottom"/>
            <w:tcBorders>
              <w:top w:val="single" w:sz="8" w:color="0000EE"/>
            </w:tcBorders>
            <w:shd w:val="clear" w:color="auto" w:fill="CCEEFF"/>
          </w:tcPr>
          <w:p>
            <w:pPr>
              <w:spacing w:after="0"/>
              <w:rPr>
                <w:sz w:val="10"/>
                <w:szCs w:val="10"/>
                <w:color w:val="auto"/>
              </w:rPr>
            </w:pPr>
          </w:p>
        </w:tc>
        <w:tc>
          <w:tcPr>
            <w:tcW w:w="220" w:type="dxa"/>
            <w:vAlign w:val="bottom"/>
            <w:tcBorders>
              <w:top w:val="single" w:sz="8" w:color="0000EE"/>
            </w:tcBorders>
            <w:shd w:val="clear" w:color="auto" w:fill="CCEEFF"/>
          </w:tcPr>
          <w:p>
            <w:pPr>
              <w:spacing w:after="0"/>
              <w:rPr>
                <w:sz w:val="10"/>
                <w:szCs w:val="10"/>
                <w:color w:val="auto"/>
              </w:rPr>
            </w:pPr>
          </w:p>
        </w:tc>
        <w:tc>
          <w:tcPr>
            <w:tcW w:w="16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3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7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gridSpan w:val="3"/>
          </w:tcPr>
          <w:p>
            <w:pPr>
              <w:ind w:left="2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PART II</w:t>
              </w:r>
            </w:hyperlink>
          </w:p>
        </w:tc>
        <w:tc>
          <w:tcPr>
            <w:tcW w:w="9980" w:type="dxa"/>
            <w:vAlign w:val="bottom"/>
            <w:gridSpan w:val="21"/>
          </w:tcPr>
          <w:p>
            <w:pPr>
              <w:ind w:left="180"/>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OTHER INFORMATION</w:t>
              </w:r>
            </w:hyperlink>
          </w:p>
        </w:tc>
        <w:tc>
          <w:tcPr>
            <w:tcW w:w="560" w:type="dxa"/>
            <w:vAlign w:val="bottom"/>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right w:val="single" w:sz="8" w:color="0000EE"/>
            </w:tcBorders>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1.</w:t>
            </w:r>
          </w:p>
        </w:tc>
        <w:tc>
          <w:tcPr>
            <w:tcW w:w="200" w:type="dxa"/>
            <w:vAlign w:val="bottom"/>
            <w:tcBorders>
              <w:right w:val="single" w:sz="8" w:color="CCEEFF"/>
            </w:tcBorders>
            <w:shd w:val="clear" w:color="auto" w:fill="CCEEFF"/>
          </w:tcPr>
          <w:p>
            <w:pPr>
              <w:spacing w:after="0"/>
              <w:rPr>
                <w:sz w:val="15"/>
                <w:szCs w:val="15"/>
                <w:color w:val="auto"/>
              </w:rPr>
            </w:pPr>
          </w:p>
        </w:tc>
        <w:tc>
          <w:tcPr>
            <w:tcW w:w="9780" w:type="dxa"/>
            <w:vAlign w:val="bottom"/>
            <w:gridSpan w:val="20"/>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Legal Proceedings.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tcBorders>
              <w:top w:val="single" w:sz="8" w:color="CCEEFF"/>
            </w:tcBorders>
            <w:gridSpan w:val="3"/>
          </w:tcPr>
          <w:p>
            <w:pPr>
              <w:ind w:left="20"/>
              <w:spacing w:after="0" w:line="176" w:lineRule="exact"/>
              <w:rPr>
                <w:sz w:val="20"/>
                <w:szCs w:val="20"/>
                <w:color w:val="auto"/>
              </w:rPr>
            </w:pPr>
            <w:r>
              <w:rPr>
                <w:rFonts w:ascii="Arial" w:cs="Arial" w:eastAsia="Arial" w:hAnsi="Arial"/>
                <w:sz w:val="18"/>
                <w:szCs w:val="18"/>
                <w:color w:val="auto"/>
              </w:rPr>
              <w:t>Item 1A.</w:t>
            </w:r>
          </w:p>
        </w:tc>
        <w:tc>
          <w:tcPr>
            <w:tcW w:w="200" w:type="dxa"/>
            <w:vAlign w:val="bottom"/>
            <w:tcBorders>
              <w:top w:val="single" w:sz="8" w:color="CCEEFF"/>
            </w:tcBorders>
          </w:tcPr>
          <w:p>
            <w:pPr>
              <w:spacing w:after="0"/>
              <w:rPr>
                <w:sz w:val="15"/>
                <w:szCs w:val="15"/>
                <w:color w:val="auto"/>
              </w:rPr>
            </w:pPr>
          </w:p>
        </w:tc>
        <w:tc>
          <w:tcPr>
            <w:tcW w:w="1040" w:type="dxa"/>
            <w:vAlign w:val="bottom"/>
            <w:tcBorders>
              <w:top w:val="single" w:sz="8" w:color="0000EE"/>
              <w:bottom w:val="single" w:sz="8" w:color="0000EE"/>
            </w:tcBorders>
            <w:gridSpan w:val="6"/>
          </w:tcPr>
          <w:p>
            <w:pPr>
              <w:spacing w:after="0" w:line="176" w:lineRule="exact"/>
              <w:rPr>
                <w:rFonts w:ascii="Arial" w:cs="Arial" w:eastAsia="Arial" w:hAnsi="Arial"/>
                <w:sz w:val="18"/>
                <w:szCs w:val="18"/>
                <w:color w:val="0000EE"/>
                <w:w w:val="97"/>
              </w:rPr>
            </w:pPr>
            <w:hyperlink w:anchor="page56">
              <w:r>
                <w:rPr>
                  <w:rFonts w:ascii="Arial" w:cs="Arial" w:eastAsia="Arial" w:hAnsi="Arial"/>
                  <w:sz w:val="18"/>
                  <w:szCs w:val="18"/>
                  <w:color w:val="0000EE"/>
                  <w:w w:val="97"/>
                </w:rPr>
                <w:t>Risk Factors.</w:t>
              </w:r>
            </w:hyperlink>
          </w:p>
        </w:tc>
        <w:tc>
          <w:tcPr>
            <w:tcW w:w="480" w:type="dxa"/>
            <w:vAlign w:val="bottom"/>
            <w:tcBorders>
              <w:top w:val="single" w:sz="8" w:color="0000EE"/>
            </w:tcBorders>
          </w:tcPr>
          <w:p>
            <w:pPr>
              <w:spacing w:after="0"/>
              <w:rPr>
                <w:sz w:val="15"/>
                <w:szCs w:val="15"/>
                <w:color w:val="auto"/>
              </w:rPr>
            </w:pPr>
          </w:p>
        </w:tc>
        <w:tc>
          <w:tcPr>
            <w:tcW w:w="8260" w:type="dxa"/>
            <w:vAlign w:val="bottom"/>
            <w:tcBorders>
              <w:top w:val="single" w:sz="8" w:color="CCEEFF"/>
            </w:tcBorders>
            <w:gridSpan w:val="13"/>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60" w:type="dxa"/>
            <w:vAlign w:val="bottom"/>
            <w:gridSpan w:val="3"/>
            <w:shd w:val="clear" w:color="auto" w:fill="CCEEFF"/>
          </w:tcPr>
          <w:p>
            <w:pPr>
              <w:ind w:left="20"/>
              <w:spacing w:after="0" w:line="176" w:lineRule="exact"/>
              <w:rPr>
                <w:sz w:val="20"/>
                <w:szCs w:val="20"/>
                <w:color w:val="auto"/>
              </w:rPr>
            </w:pPr>
            <w:r>
              <w:rPr>
                <w:rFonts w:ascii="Arial" w:cs="Arial" w:eastAsia="Arial" w:hAnsi="Arial"/>
                <w:sz w:val="18"/>
                <w:szCs w:val="18"/>
                <w:color w:val="auto"/>
              </w:rPr>
              <w:t>Item 6.</w:t>
            </w:r>
          </w:p>
        </w:tc>
        <w:tc>
          <w:tcPr>
            <w:tcW w:w="9980" w:type="dxa"/>
            <w:vAlign w:val="bottom"/>
            <w:gridSpan w:val="21"/>
            <w:shd w:val="clear" w:color="auto" w:fill="CCEEFF"/>
          </w:tcPr>
          <w:p>
            <w:pPr>
              <w:ind w:left="180"/>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Exhibits.</w:t>
              </w:r>
            </w:hyperlink>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440" w:type="dxa"/>
            <w:vAlign w:val="bottom"/>
            <w:tcBorders>
              <w:top w:val="single" w:sz="8" w:color="CCEEFF"/>
            </w:tcBorders>
            <w:gridSpan w:val="2"/>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100" w:type="dxa"/>
            <w:vAlign w:val="bottom"/>
            <w:tcBorders>
              <w:top w:val="single" w:sz="8" w:color="0000EE"/>
            </w:tcBorders>
          </w:tcPr>
          <w:p>
            <w:pPr>
              <w:spacing w:after="0"/>
              <w:rPr>
                <w:sz w:val="10"/>
                <w:szCs w:val="10"/>
                <w:color w:val="auto"/>
              </w:rPr>
            </w:pPr>
          </w:p>
        </w:tc>
        <w:tc>
          <w:tcPr>
            <w:tcW w:w="400" w:type="dxa"/>
            <w:vAlign w:val="bottom"/>
            <w:tcBorders>
              <w:top w:val="single" w:sz="8" w:color="0000EE"/>
            </w:tcBorders>
          </w:tcPr>
          <w:p>
            <w:pPr>
              <w:spacing w:after="0"/>
              <w:rPr>
                <w:sz w:val="10"/>
                <w:szCs w:val="10"/>
                <w:color w:val="auto"/>
              </w:rPr>
            </w:pPr>
          </w:p>
        </w:tc>
        <w:tc>
          <w:tcPr>
            <w:tcW w:w="80" w:type="dxa"/>
            <w:vAlign w:val="bottom"/>
            <w:tcBorders>
              <w:top w:val="single" w:sz="8" w:color="0000EE"/>
            </w:tcBorders>
          </w:tcPr>
          <w:p>
            <w:pPr>
              <w:spacing w:after="0"/>
              <w:rPr>
                <w:sz w:val="10"/>
                <w:szCs w:val="10"/>
                <w:color w:val="auto"/>
              </w:rPr>
            </w:pPr>
          </w:p>
        </w:tc>
        <w:tc>
          <w:tcPr>
            <w:tcW w:w="260" w:type="dxa"/>
            <w:vAlign w:val="bottom"/>
            <w:tcBorders>
              <w:top w:val="single" w:sz="8" w:color="CCEEFF"/>
            </w:tcBorders>
          </w:tcPr>
          <w:p>
            <w:pPr>
              <w:spacing w:after="0"/>
              <w:rPr>
                <w:sz w:val="10"/>
                <w:szCs w:val="10"/>
                <w:color w:val="auto"/>
              </w:rPr>
            </w:pPr>
          </w:p>
        </w:tc>
        <w:tc>
          <w:tcPr>
            <w:tcW w:w="120" w:type="dxa"/>
            <w:vAlign w:val="bottom"/>
            <w:tcBorders>
              <w:top w:val="single" w:sz="8" w:color="CCEEFF"/>
            </w:tcBorders>
          </w:tcPr>
          <w:p>
            <w:pPr>
              <w:spacing w:after="0"/>
              <w:rPr>
                <w:sz w:val="10"/>
                <w:szCs w:val="10"/>
                <w:color w:val="auto"/>
              </w:rPr>
            </w:pPr>
          </w:p>
        </w:tc>
        <w:tc>
          <w:tcPr>
            <w:tcW w:w="480" w:type="dxa"/>
            <w:vAlign w:val="bottom"/>
            <w:tcBorders>
              <w:top w:val="single" w:sz="8" w:color="CCEEFF"/>
            </w:tcBorders>
          </w:tcPr>
          <w:p>
            <w:pPr>
              <w:spacing w:after="0"/>
              <w:rPr>
                <w:sz w:val="10"/>
                <w:szCs w:val="10"/>
                <w:color w:val="auto"/>
              </w:rPr>
            </w:pPr>
          </w:p>
        </w:tc>
        <w:tc>
          <w:tcPr>
            <w:tcW w:w="22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140" w:type="dxa"/>
            <w:vAlign w:val="bottom"/>
            <w:tcBorders>
              <w:top w:val="single" w:sz="8" w:color="CCEEFF"/>
            </w:tcBorders>
          </w:tcPr>
          <w:p>
            <w:pPr>
              <w:spacing w:after="0"/>
              <w:rPr>
                <w:sz w:val="10"/>
                <w:szCs w:val="10"/>
                <w:color w:val="auto"/>
              </w:rPr>
            </w:pPr>
          </w:p>
        </w:tc>
        <w:tc>
          <w:tcPr>
            <w:tcW w:w="200" w:type="dxa"/>
            <w:vAlign w:val="bottom"/>
            <w:tcBorders>
              <w:top w:val="single" w:sz="8" w:color="CCEEFF"/>
            </w:tcBorders>
          </w:tcPr>
          <w:p>
            <w:pPr>
              <w:spacing w:after="0"/>
              <w:rPr>
                <w:sz w:val="10"/>
                <w:szCs w:val="10"/>
                <w:color w:val="auto"/>
              </w:rPr>
            </w:pPr>
          </w:p>
        </w:tc>
        <w:tc>
          <w:tcPr>
            <w:tcW w:w="160" w:type="dxa"/>
            <w:vAlign w:val="bottom"/>
            <w:tcBorders>
              <w:top w:val="single" w:sz="8" w:color="CCEEFF"/>
            </w:tcBorders>
          </w:tcPr>
          <w:p>
            <w:pPr>
              <w:spacing w:after="0"/>
              <w:rPr>
                <w:sz w:val="10"/>
                <w:szCs w:val="10"/>
                <w:color w:val="auto"/>
              </w:rPr>
            </w:pPr>
          </w:p>
        </w:tc>
        <w:tc>
          <w:tcPr>
            <w:tcW w:w="2360" w:type="dxa"/>
            <w:vAlign w:val="bottom"/>
            <w:tcBorders>
              <w:top w:val="single" w:sz="8" w:color="CCEEFF"/>
            </w:tcBorders>
          </w:tcPr>
          <w:p>
            <w:pPr>
              <w:spacing w:after="0"/>
              <w:rPr>
                <w:sz w:val="10"/>
                <w:szCs w:val="10"/>
                <w:color w:val="auto"/>
              </w:rPr>
            </w:pPr>
          </w:p>
        </w:tc>
        <w:tc>
          <w:tcPr>
            <w:tcW w:w="600" w:type="dxa"/>
            <w:vAlign w:val="bottom"/>
            <w:tcBorders>
              <w:top w:val="single" w:sz="8" w:color="CCEEFF"/>
            </w:tcBorders>
          </w:tcPr>
          <w:p>
            <w:pPr>
              <w:spacing w:after="0"/>
              <w:rPr>
                <w:sz w:val="10"/>
                <w:szCs w:val="10"/>
                <w:color w:val="auto"/>
              </w:rPr>
            </w:pPr>
          </w:p>
        </w:tc>
        <w:tc>
          <w:tcPr>
            <w:tcW w:w="1780" w:type="dxa"/>
            <w:vAlign w:val="bottom"/>
            <w:tcBorders>
              <w:top w:val="single" w:sz="8" w:color="CCEEFF"/>
            </w:tcBorders>
          </w:tcPr>
          <w:p>
            <w:pPr>
              <w:spacing w:after="0"/>
              <w:rPr>
                <w:sz w:val="10"/>
                <w:szCs w:val="10"/>
                <w:color w:val="auto"/>
              </w:rPr>
            </w:pPr>
          </w:p>
        </w:tc>
        <w:tc>
          <w:tcPr>
            <w:tcW w:w="680" w:type="dxa"/>
            <w:vAlign w:val="bottom"/>
            <w:tcBorders>
              <w:top w:val="single" w:sz="8" w:color="CCEEFF"/>
            </w:tcBorders>
          </w:tcPr>
          <w:p>
            <w:pPr>
              <w:spacing w:after="0"/>
              <w:rPr>
                <w:sz w:val="10"/>
                <w:szCs w:val="10"/>
                <w:color w:val="auto"/>
              </w:rPr>
            </w:pPr>
          </w:p>
        </w:tc>
        <w:tc>
          <w:tcPr>
            <w:tcW w:w="1240" w:type="dxa"/>
            <w:vAlign w:val="bottom"/>
            <w:tcBorders>
              <w:top w:val="single" w:sz="8" w:color="CCEEFF"/>
            </w:tcBorders>
          </w:tcPr>
          <w:p>
            <w:pPr>
              <w:spacing w:after="0"/>
              <w:rPr>
                <w:sz w:val="10"/>
                <w:szCs w:val="10"/>
                <w:color w:val="auto"/>
              </w:rPr>
            </w:pPr>
          </w:p>
        </w:tc>
        <w:tc>
          <w:tcPr>
            <w:tcW w:w="300" w:type="dxa"/>
            <w:vAlign w:val="bottom"/>
            <w:tcBorders>
              <w:top w:val="single" w:sz="8" w:color="CCEEFF"/>
            </w:tcBorders>
          </w:tcPr>
          <w:p>
            <w:pPr>
              <w:spacing w:after="0"/>
              <w:rPr>
                <w:sz w:val="10"/>
                <w:szCs w:val="10"/>
                <w:color w:val="auto"/>
              </w:rPr>
            </w:pPr>
          </w:p>
        </w:tc>
        <w:tc>
          <w:tcPr>
            <w:tcW w:w="100" w:type="dxa"/>
            <w:vAlign w:val="bottom"/>
            <w:tcBorders>
              <w:top w:val="single" w:sz="8" w:color="CCEEFF"/>
            </w:tcBorders>
          </w:tcPr>
          <w:p>
            <w:pPr>
              <w:spacing w:after="0"/>
              <w:rPr>
                <w:sz w:val="10"/>
                <w:szCs w:val="10"/>
                <w:color w:val="auto"/>
              </w:rPr>
            </w:pPr>
          </w:p>
        </w:tc>
        <w:tc>
          <w:tcPr>
            <w:tcW w:w="320" w:type="dxa"/>
            <w:vAlign w:val="bottom"/>
            <w:tcBorders>
              <w:top w:val="single" w:sz="8" w:color="CCEEFF"/>
            </w:tcBorders>
          </w:tcPr>
          <w:p>
            <w:pPr>
              <w:spacing w:after="0"/>
              <w:rPr>
                <w:sz w:val="10"/>
                <w:szCs w:val="10"/>
                <w:color w:val="auto"/>
              </w:rPr>
            </w:pPr>
          </w:p>
        </w:tc>
        <w:tc>
          <w:tcPr>
            <w:tcW w:w="560" w:type="dxa"/>
            <w:vAlign w:val="bottom"/>
            <w:tcBorders>
              <w:top w:val="single" w:sz="8" w:color="CCEEFF"/>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840" w:type="dxa"/>
            <w:vAlign w:val="bottom"/>
            <w:gridSpan w:val="24"/>
            <w:shd w:val="clear" w:color="auto" w:fill="CFF0FC"/>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SIGNATURES</w:t>
              </w:r>
            </w:hyperlink>
          </w:p>
        </w:tc>
        <w:tc>
          <w:tcPr>
            <w:tcW w:w="560" w:type="dxa"/>
            <w:vAlign w:val="bottom"/>
            <w:shd w:val="clear" w:color="auto" w:fill="CFF0FC"/>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60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00" w:type="dxa"/>
            <w:vAlign w:val="bottom"/>
            <w:tcBorders>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236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178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4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6"/>
        </w:trPr>
        <w:tc>
          <w:tcPr>
            <w:tcW w:w="2680" w:type="dxa"/>
            <w:vAlign w:val="bottom"/>
          </w:tcPr>
          <w:p>
            <w:pPr>
              <w:spacing w:after="0"/>
              <w:rPr>
                <w:sz w:val="24"/>
                <w:szCs w:val="24"/>
                <w:color w:val="auto"/>
              </w:rPr>
            </w:pPr>
          </w:p>
        </w:tc>
        <w:tc>
          <w:tcPr>
            <w:tcW w:w="8740" w:type="dxa"/>
            <w:vAlign w:val="bottom"/>
          </w:tcPr>
          <w:p>
            <w:pPr>
              <w:ind w:left="960"/>
              <w:spacing w:after="0"/>
              <w:rPr>
                <w:sz w:val="20"/>
                <w:szCs w:val="20"/>
                <w:color w:val="auto"/>
              </w:rPr>
            </w:pPr>
            <w:r>
              <w:rPr>
                <w:rFonts w:ascii="Arial" w:cs="Arial" w:eastAsia="Arial" w:hAnsi="Arial"/>
                <w:sz w:val="22"/>
                <w:szCs w:val="22"/>
                <w:b w:val="1"/>
                <w:bCs w:val="1"/>
                <w:color w:val="auto"/>
              </w:rPr>
              <w:t>COMMONLY USED OR DEFINED TERMS</w:t>
            </w:r>
          </w:p>
        </w:tc>
      </w:tr>
      <w:tr>
        <w:trPr>
          <w:trHeight w:val="233"/>
        </w:trPr>
        <w:tc>
          <w:tcPr>
            <w:tcW w:w="2680" w:type="dxa"/>
            <w:vAlign w:val="bottom"/>
          </w:tcPr>
          <w:p>
            <w:pPr>
              <w:spacing w:after="0"/>
              <w:rPr>
                <w:sz w:val="20"/>
                <w:szCs w:val="20"/>
                <w:color w:val="auto"/>
              </w:rPr>
            </w:pPr>
          </w:p>
        </w:tc>
        <w:tc>
          <w:tcPr>
            <w:tcW w:w="8740" w:type="dxa"/>
            <w:vAlign w:val="bottom"/>
          </w:tcPr>
          <w:p>
            <w:pPr>
              <w:spacing w:after="0"/>
              <w:rPr>
                <w:sz w:val="20"/>
                <w:szCs w:val="20"/>
                <w:color w:val="auto"/>
              </w:rPr>
            </w:pP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2016 Drop Down</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Partnership's March 3, 2016 acquisition from SMP Holdings of substantially all</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of (i) the issued and outstanding membership interests in Summit Utica,</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Meadowlark Midstream and Tioga Midstream and (ii) SMP Holdings’ 40%</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ownership interest in Ohio Gathering</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5.5% Senior Notes</w:t>
            </w:r>
          </w:p>
        </w:tc>
        <w:tc>
          <w:tcPr>
            <w:tcW w:w="8740" w:type="dxa"/>
            <w:vAlign w:val="bottom"/>
          </w:tcPr>
          <w:p>
            <w:pPr>
              <w:ind w:left="340"/>
              <w:spacing w:after="0"/>
              <w:rPr>
                <w:sz w:val="20"/>
                <w:szCs w:val="20"/>
                <w:color w:val="auto"/>
              </w:rPr>
            </w:pPr>
            <w:r>
              <w:rPr>
                <w:rFonts w:ascii="Arial" w:cs="Arial" w:eastAsia="Arial" w:hAnsi="Arial"/>
                <w:sz w:val="18"/>
                <w:szCs w:val="18"/>
                <w:color w:val="auto"/>
              </w:rPr>
              <w:t>Summit Holdings' and Finance Corp.’s 5.5% senior unsecured notes due August</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3" w:lineRule="exact"/>
              <w:rPr>
                <w:sz w:val="20"/>
                <w:szCs w:val="20"/>
                <w:color w:val="auto"/>
              </w:rPr>
            </w:pPr>
            <w:r>
              <w:rPr>
                <w:rFonts w:ascii="Arial" w:cs="Arial" w:eastAsia="Arial" w:hAnsi="Arial"/>
                <w:sz w:val="18"/>
                <w:szCs w:val="18"/>
                <w:color w:val="auto"/>
              </w:rPr>
              <w:t>2022</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5.75% Senior Notes</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Summit Holdings' and Finance Corp.’s 5.75% senior unsecured notes due April 2025</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associated natural gas</w:t>
            </w:r>
          </w:p>
        </w:tc>
        <w:tc>
          <w:tcPr>
            <w:tcW w:w="8740" w:type="dxa"/>
            <w:vAlign w:val="bottom"/>
          </w:tcPr>
          <w:p>
            <w:pPr>
              <w:ind w:left="340"/>
              <w:spacing w:after="0"/>
              <w:rPr>
                <w:sz w:val="20"/>
                <w:szCs w:val="20"/>
                <w:color w:val="auto"/>
              </w:rPr>
            </w:pPr>
            <w:r>
              <w:rPr>
                <w:rFonts w:ascii="Arial" w:cs="Arial" w:eastAsia="Arial" w:hAnsi="Arial"/>
                <w:sz w:val="18"/>
                <w:szCs w:val="18"/>
                <w:color w:val="auto"/>
              </w:rPr>
              <w:t>a form of natural gas which is found with deposits of petroleum, either dissolved</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3" w:lineRule="exact"/>
              <w:rPr>
                <w:sz w:val="20"/>
                <w:szCs w:val="20"/>
                <w:color w:val="auto"/>
              </w:rPr>
            </w:pPr>
            <w:r>
              <w:rPr>
                <w:rFonts w:ascii="Arial" w:cs="Arial" w:eastAsia="Arial" w:hAnsi="Arial"/>
                <w:sz w:val="18"/>
                <w:szCs w:val="18"/>
                <w:color w:val="auto"/>
              </w:rPr>
              <w:t>in the crude oil or as a free gas cap above the crude oil in the reservoir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ASU</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Bbl</w:t>
            </w:r>
          </w:p>
        </w:tc>
        <w:tc>
          <w:tcPr>
            <w:tcW w:w="8740" w:type="dxa"/>
            <w:vAlign w:val="bottom"/>
          </w:tcPr>
          <w:p>
            <w:pPr>
              <w:ind w:left="340"/>
              <w:spacing w:after="0"/>
              <w:rPr>
                <w:sz w:val="20"/>
                <w:szCs w:val="20"/>
                <w:color w:val="auto"/>
              </w:rPr>
            </w:pPr>
            <w:r>
              <w:rPr>
                <w:rFonts w:ascii="Arial" w:cs="Arial" w:eastAsia="Arial" w:hAnsi="Arial"/>
                <w:sz w:val="18"/>
                <w:szCs w:val="18"/>
                <w:color w:val="auto"/>
              </w:rPr>
              <w:t>one barrel; used for crude oil and produced water and equivalent to 42 U.S. gallons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Bcf</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one billion cubic feet</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Bison Midstream</w:t>
            </w:r>
          </w:p>
        </w:tc>
        <w:tc>
          <w:tcPr>
            <w:tcW w:w="8740" w:type="dxa"/>
            <w:vAlign w:val="bottom"/>
          </w:tcPr>
          <w:p>
            <w:pPr>
              <w:ind w:left="340"/>
              <w:spacing w:after="0"/>
              <w:rPr>
                <w:sz w:val="20"/>
                <w:szCs w:val="20"/>
                <w:color w:val="auto"/>
              </w:rPr>
            </w:pPr>
            <w:r>
              <w:rPr>
                <w:rFonts w:ascii="Arial" w:cs="Arial" w:eastAsia="Arial" w:hAnsi="Arial"/>
                <w:sz w:val="18"/>
                <w:szCs w:val="18"/>
                <w:color w:val="auto"/>
              </w:rPr>
              <w:t>Bison Midstream,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Board of Directors</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board of directors of our General Partner</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condensate</w:t>
            </w:r>
          </w:p>
        </w:tc>
        <w:tc>
          <w:tcPr>
            <w:tcW w:w="8740" w:type="dxa"/>
            <w:vAlign w:val="bottom"/>
          </w:tcPr>
          <w:p>
            <w:pPr>
              <w:ind w:left="340"/>
              <w:spacing w:after="0"/>
              <w:rPr>
                <w:sz w:val="20"/>
                <w:szCs w:val="20"/>
                <w:color w:val="auto"/>
              </w:rPr>
            </w:pPr>
            <w:r>
              <w:rPr>
                <w:rFonts w:ascii="Arial" w:cs="Arial" w:eastAsia="Arial" w:hAnsi="Arial"/>
                <w:sz w:val="18"/>
                <w:szCs w:val="18"/>
                <w:color w:val="auto"/>
              </w:rPr>
              <w:t>a natural gas liquid with a low vapor pressure, mainly composed of propane, butane,</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3" w:lineRule="exact"/>
              <w:rPr>
                <w:sz w:val="20"/>
                <w:szCs w:val="20"/>
                <w:color w:val="auto"/>
              </w:rPr>
            </w:pPr>
            <w:r>
              <w:rPr>
                <w:rFonts w:ascii="Arial" w:cs="Arial" w:eastAsia="Arial" w:hAnsi="Arial"/>
                <w:sz w:val="18"/>
                <w:szCs w:val="18"/>
                <w:color w:val="auto"/>
              </w:rPr>
              <w:t>pentane and heavier hydrocarbon fractions</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 Purchase Price</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the deferred payment liability recognized in connection with the 2016 Drop Down;</w:t>
            </w:r>
          </w:p>
        </w:tc>
      </w:tr>
      <w:tr>
        <w:trPr>
          <w:trHeight w:val="203"/>
        </w:trPr>
        <w:tc>
          <w:tcPr>
            <w:tcW w:w="268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Obligation</w:t>
            </w:r>
          </w:p>
        </w:tc>
        <w:tc>
          <w:tcPr>
            <w:tcW w:w="874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also referred to as DPPO</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DFW Midstream</w:t>
            </w:r>
          </w:p>
        </w:tc>
        <w:tc>
          <w:tcPr>
            <w:tcW w:w="8740" w:type="dxa"/>
            <w:vAlign w:val="bottom"/>
          </w:tcPr>
          <w:p>
            <w:pPr>
              <w:ind w:left="340"/>
              <w:spacing w:after="0"/>
              <w:rPr>
                <w:sz w:val="20"/>
                <w:szCs w:val="20"/>
                <w:color w:val="auto"/>
              </w:rPr>
            </w:pPr>
            <w:r>
              <w:rPr>
                <w:rFonts w:ascii="Arial" w:cs="Arial" w:eastAsia="Arial" w:hAnsi="Arial"/>
                <w:sz w:val="18"/>
                <w:szCs w:val="18"/>
                <w:color w:val="auto"/>
              </w:rPr>
              <w:t>DFW Midstream Services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DJ Basin</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Denver-Julesburg Basin</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Double E</w:t>
            </w:r>
          </w:p>
        </w:tc>
        <w:tc>
          <w:tcPr>
            <w:tcW w:w="8740" w:type="dxa"/>
            <w:vAlign w:val="bottom"/>
          </w:tcPr>
          <w:p>
            <w:pPr>
              <w:ind w:left="340"/>
              <w:spacing w:after="0"/>
              <w:rPr>
                <w:sz w:val="20"/>
                <w:szCs w:val="20"/>
                <w:color w:val="auto"/>
              </w:rPr>
            </w:pPr>
            <w:r>
              <w:rPr>
                <w:rFonts w:ascii="Arial" w:cs="Arial" w:eastAsia="Arial" w:hAnsi="Arial"/>
                <w:sz w:val="18"/>
                <w:szCs w:val="18"/>
                <w:color w:val="auto"/>
              </w:rPr>
              <w:t>Double E Pipeline, LLC</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dry gas</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natural gas primarily composed of methane where heavy hydrocarbons and water</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either do not exist or have been removed through processing or treating</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Energy Capital Partners</w:t>
            </w:r>
          </w:p>
        </w:tc>
        <w:tc>
          <w:tcPr>
            <w:tcW w:w="8740" w:type="dxa"/>
            <w:vAlign w:val="bottom"/>
          </w:tcPr>
          <w:p>
            <w:pPr>
              <w:ind w:left="34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3" w:lineRule="exact"/>
              <w:rPr>
                <w:sz w:val="20"/>
                <w:szCs w:val="20"/>
                <w:color w:val="auto"/>
              </w:rPr>
            </w:pPr>
            <w:r>
              <w:rPr>
                <w:rFonts w:ascii="Arial" w:cs="Arial" w:eastAsia="Arial" w:hAnsi="Arial"/>
                <w:sz w:val="18"/>
                <w:szCs w:val="18"/>
                <w:color w:val="auto"/>
              </w:rPr>
              <w:t>as the Sponsor</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Epping</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Epping Transmission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EPU</w:t>
            </w:r>
          </w:p>
        </w:tc>
        <w:tc>
          <w:tcPr>
            <w:tcW w:w="8740" w:type="dxa"/>
            <w:vAlign w:val="bottom"/>
          </w:tcPr>
          <w:p>
            <w:pPr>
              <w:ind w:left="340"/>
              <w:spacing w:after="0"/>
              <w:rPr>
                <w:sz w:val="20"/>
                <w:szCs w:val="20"/>
                <w:color w:val="auto"/>
              </w:rPr>
            </w:pPr>
            <w:r>
              <w:rPr>
                <w:rFonts w:ascii="Arial" w:cs="Arial" w:eastAsia="Arial" w:hAnsi="Arial"/>
                <w:sz w:val="18"/>
                <w:szCs w:val="18"/>
                <w:color w:val="auto"/>
              </w:rPr>
              <w:t>earnings or loss per unit</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Equity Restructuring</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 series of transactions consummated on March 22, 2019, pursuant to which the</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Partnership cancelled its IDRs and converted its 2% economic GP interest</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to a non-economic GP interest in exchange for 8,750,000 SMLP common</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units, which were issued to SMP Holdings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FASB</w:t>
            </w:r>
          </w:p>
        </w:tc>
        <w:tc>
          <w:tcPr>
            <w:tcW w:w="8740" w:type="dxa"/>
            <w:vAlign w:val="bottom"/>
          </w:tcPr>
          <w:p>
            <w:pPr>
              <w:ind w:left="34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Finance Corp.</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Summit Midstream Finance Corp.</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GAAP</w:t>
            </w:r>
          </w:p>
        </w:tc>
        <w:tc>
          <w:tcPr>
            <w:tcW w:w="8740" w:type="dxa"/>
            <w:vAlign w:val="bottom"/>
          </w:tcPr>
          <w:p>
            <w:pPr>
              <w:ind w:left="3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GP</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general partner</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General Partner</w:t>
            </w:r>
          </w:p>
        </w:tc>
        <w:tc>
          <w:tcPr>
            <w:tcW w:w="8740" w:type="dxa"/>
            <w:vAlign w:val="bottom"/>
          </w:tcPr>
          <w:p>
            <w:pPr>
              <w:ind w:left="340"/>
              <w:spacing w:after="0"/>
              <w:rPr>
                <w:sz w:val="20"/>
                <w:szCs w:val="20"/>
                <w:color w:val="auto"/>
              </w:rPr>
            </w:pPr>
            <w:r>
              <w:rPr>
                <w:rFonts w:ascii="Arial" w:cs="Arial" w:eastAsia="Arial" w:hAnsi="Arial"/>
                <w:sz w:val="18"/>
                <w:szCs w:val="18"/>
                <w:color w:val="auto"/>
              </w:rPr>
              <w:t>Summit Midstream GP, LLC</w:t>
            </w:r>
          </w:p>
        </w:tc>
      </w:tr>
      <w:tr>
        <w:trPr>
          <w:trHeight w:val="215"/>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Guarantor Subsidiaries</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Bison Midstream and its subsidiaries, Grand River and its subsidiary, DFW</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Midstream, Summit Marketing, Summit Permian, Permian Finance, Summit</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2" w:lineRule="exact"/>
              <w:rPr>
                <w:sz w:val="20"/>
                <w:szCs w:val="20"/>
                <w:color w:val="auto"/>
              </w:rPr>
            </w:pPr>
            <w:r>
              <w:rPr>
                <w:rFonts w:ascii="Arial" w:cs="Arial" w:eastAsia="Arial" w:hAnsi="Arial"/>
                <w:sz w:val="18"/>
                <w:szCs w:val="18"/>
                <w:color w:val="auto"/>
              </w:rPr>
              <w:t>Niobrara, OpCo, Summit Utica, Meadowlark Midstream, Summit Permian II</w:t>
            </w:r>
          </w:p>
        </w:tc>
      </w:tr>
      <w:tr>
        <w:trPr>
          <w:trHeight w:val="203"/>
        </w:trPr>
        <w:tc>
          <w:tcPr>
            <w:tcW w:w="2680" w:type="dxa"/>
            <w:vAlign w:val="bottom"/>
            <w:shd w:val="clear" w:color="auto" w:fill="CFF0FC"/>
          </w:tcPr>
          <w:p>
            <w:pPr>
              <w:spacing w:after="0"/>
              <w:rPr>
                <w:sz w:val="17"/>
                <w:szCs w:val="17"/>
                <w:color w:val="auto"/>
              </w:rPr>
            </w:pPr>
          </w:p>
        </w:tc>
        <w:tc>
          <w:tcPr>
            <w:tcW w:w="8740" w:type="dxa"/>
            <w:vAlign w:val="bottom"/>
            <w:shd w:val="clear" w:color="auto" w:fill="CFF0FC"/>
          </w:tcPr>
          <w:p>
            <w:pPr>
              <w:ind w:left="540"/>
              <w:spacing w:after="0" w:line="203" w:lineRule="exact"/>
              <w:rPr>
                <w:sz w:val="20"/>
                <w:szCs w:val="20"/>
                <w:color w:val="auto"/>
              </w:rPr>
            </w:pPr>
            <w:r>
              <w:rPr>
                <w:rFonts w:ascii="Arial" w:cs="Arial" w:eastAsia="Arial" w:hAnsi="Arial"/>
                <w:sz w:val="18"/>
                <w:szCs w:val="18"/>
                <w:color w:val="auto"/>
              </w:rPr>
              <w:t>and Summit Permian Transmission</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Grand River</w:t>
            </w:r>
          </w:p>
        </w:tc>
        <w:tc>
          <w:tcPr>
            <w:tcW w:w="8740" w:type="dxa"/>
            <w:vAlign w:val="bottom"/>
          </w:tcPr>
          <w:p>
            <w:pPr>
              <w:ind w:left="340"/>
              <w:spacing w:after="0"/>
              <w:rPr>
                <w:sz w:val="20"/>
                <w:szCs w:val="20"/>
                <w:color w:val="auto"/>
              </w:rPr>
            </w:pPr>
            <w:r>
              <w:rPr>
                <w:rFonts w:ascii="Arial" w:cs="Arial" w:eastAsia="Arial" w:hAnsi="Arial"/>
                <w:sz w:val="18"/>
                <w:szCs w:val="18"/>
                <w:color w:val="auto"/>
              </w:rPr>
              <w:t>Grand River Gathering, LLC</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IDR</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incentive distribution rights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LIBOR</w:t>
            </w:r>
          </w:p>
        </w:tc>
        <w:tc>
          <w:tcPr>
            <w:tcW w:w="8740" w:type="dxa"/>
            <w:vAlign w:val="bottom"/>
          </w:tcPr>
          <w:p>
            <w:pPr>
              <w:ind w:left="34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Mbbl</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one thousand barrels</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Mbbl/d</w:t>
            </w:r>
          </w:p>
        </w:tc>
        <w:tc>
          <w:tcPr>
            <w:tcW w:w="8740" w:type="dxa"/>
            <w:vAlign w:val="bottom"/>
          </w:tcPr>
          <w:p>
            <w:pPr>
              <w:ind w:left="340"/>
              <w:spacing w:after="0"/>
              <w:rPr>
                <w:sz w:val="20"/>
                <w:szCs w:val="20"/>
                <w:color w:val="auto"/>
              </w:rPr>
            </w:pPr>
            <w:r>
              <w:rPr>
                <w:rFonts w:ascii="Arial" w:cs="Arial" w:eastAsia="Arial" w:hAnsi="Arial"/>
                <w:sz w:val="18"/>
                <w:szCs w:val="18"/>
                <w:color w:val="auto"/>
              </w:rPr>
              <w:t>one thousand barrels per day</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Mcf</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one thousand cubic feet</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MD&amp;A</w:t>
            </w:r>
          </w:p>
        </w:tc>
        <w:tc>
          <w:tcPr>
            <w:tcW w:w="8740" w:type="dxa"/>
            <w:vAlign w:val="bottom"/>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3" w:lineRule="exact"/>
              <w:rPr>
                <w:sz w:val="20"/>
                <w:szCs w:val="20"/>
                <w:color w:val="auto"/>
              </w:rPr>
            </w:pPr>
            <w:r>
              <w:rPr>
                <w:rFonts w:ascii="Arial" w:cs="Arial" w:eastAsia="Arial" w:hAnsi="Arial"/>
                <w:sz w:val="18"/>
                <w:szCs w:val="18"/>
                <w:color w:val="auto"/>
              </w:rPr>
              <w:t>Operations</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Meadowlark Midstream</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Meadowlark Midstream Company, LLC</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MMcf</w:t>
            </w:r>
          </w:p>
        </w:tc>
        <w:tc>
          <w:tcPr>
            <w:tcW w:w="8740" w:type="dxa"/>
            <w:vAlign w:val="bottom"/>
          </w:tcPr>
          <w:p>
            <w:pPr>
              <w:ind w:left="340"/>
              <w:spacing w:after="0"/>
              <w:rPr>
                <w:sz w:val="20"/>
                <w:szCs w:val="20"/>
                <w:color w:val="auto"/>
              </w:rPr>
            </w:pPr>
            <w:r>
              <w:rPr>
                <w:rFonts w:ascii="Arial" w:cs="Arial" w:eastAsia="Arial" w:hAnsi="Arial"/>
                <w:sz w:val="18"/>
                <w:szCs w:val="18"/>
                <w:color w:val="auto"/>
              </w:rPr>
              <w:t>one million cubic feet</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MMcf/d</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one million cubic feet per day</w:t>
            </w:r>
          </w:p>
        </w:tc>
      </w:tr>
      <w:tr>
        <w:trPr>
          <w:trHeight w:val="216"/>
        </w:trPr>
        <w:tc>
          <w:tcPr>
            <w:tcW w:w="2680" w:type="dxa"/>
            <w:vAlign w:val="bottom"/>
          </w:tcPr>
          <w:p>
            <w:pPr>
              <w:ind w:left="380"/>
              <w:spacing w:after="0"/>
              <w:rPr>
                <w:sz w:val="20"/>
                <w:szCs w:val="20"/>
                <w:color w:val="auto"/>
              </w:rPr>
            </w:pPr>
            <w:r>
              <w:rPr>
                <w:rFonts w:ascii="Arial" w:cs="Arial" w:eastAsia="Arial" w:hAnsi="Arial"/>
                <w:sz w:val="18"/>
                <w:szCs w:val="18"/>
                <w:color w:val="auto"/>
              </w:rPr>
              <w:t>Mountaineer Midstream</w:t>
            </w:r>
          </w:p>
        </w:tc>
        <w:tc>
          <w:tcPr>
            <w:tcW w:w="8740" w:type="dxa"/>
            <w:vAlign w:val="bottom"/>
          </w:tcPr>
          <w:p>
            <w:pPr>
              <w:ind w:left="340"/>
              <w:spacing w:after="0"/>
              <w:rPr>
                <w:sz w:val="20"/>
                <w:szCs w:val="20"/>
                <w:color w:val="auto"/>
              </w:rPr>
            </w:pPr>
            <w:r>
              <w:rPr>
                <w:rFonts w:ascii="Arial" w:cs="Arial" w:eastAsia="Arial" w:hAnsi="Arial"/>
                <w:sz w:val="18"/>
                <w:szCs w:val="18"/>
                <w:color w:val="auto"/>
              </w:rPr>
              <w:t>Mountaineer Midstream gathering system</w:t>
            </w:r>
          </w:p>
        </w:tc>
      </w:tr>
      <w:tr>
        <w:trPr>
          <w:trHeight w:val="216"/>
        </w:trPr>
        <w:tc>
          <w:tcPr>
            <w:tcW w:w="26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MVC</w:t>
            </w:r>
          </w:p>
        </w:tc>
        <w:tc>
          <w:tcPr>
            <w:tcW w:w="8740" w:type="dxa"/>
            <w:vAlign w:val="bottom"/>
            <w:shd w:val="clear" w:color="auto" w:fill="CFF0FC"/>
          </w:tcPr>
          <w:p>
            <w:pPr>
              <w:ind w:left="340"/>
              <w:spacing w:after="0"/>
              <w:rPr>
                <w:sz w:val="20"/>
                <w:szCs w:val="20"/>
                <w:color w:val="auto"/>
              </w:rPr>
            </w:pPr>
            <w:r>
              <w:rPr>
                <w:rFonts w:ascii="Arial" w:cs="Arial" w:eastAsia="Arial" w:hAnsi="Arial"/>
                <w:sz w:val="18"/>
                <w:szCs w:val="18"/>
                <w:color w:val="auto"/>
              </w:rPr>
              <w:t>minimum volume commitment</w:t>
            </w:r>
          </w:p>
        </w:tc>
      </w:tr>
      <w:tr>
        <w:trPr>
          <w:trHeight w:val="215"/>
        </w:trPr>
        <w:tc>
          <w:tcPr>
            <w:tcW w:w="2680" w:type="dxa"/>
            <w:vAlign w:val="bottom"/>
          </w:tcPr>
          <w:p>
            <w:pPr>
              <w:ind w:left="380"/>
              <w:spacing w:after="0"/>
              <w:rPr>
                <w:sz w:val="20"/>
                <w:szCs w:val="20"/>
                <w:color w:val="auto"/>
              </w:rPr>
            </w:pPr>
            <w:r>
              <w:rPr>
                <w:rFonts w:ascii="Arial" w:cs="Arial" w:eastAsia="Arial" w:hAnsi="Arial"/>
                <w:sz w:val="18"/>
                <w:szCs w:val="18"/>
                <w:color w:val="auto"/>
              </w:rPr>
              <w:t>NGLs</w:t>
            </w:r>
          </w:p>
        </w:tc>
        <w:tc>
          <w:tcPr>
            <w:tcW w:w="8740" w:type="dxa"/>
            <w:vAlign w:val="bottom"/>
          </w:tcPr>
          <w:p>
            <w:pPr>
              <w:ind w:left="340"/>
              <w:spacing w:after="0"/>
              <w:rPr>
                <w:sz w:val="20"/>
                <w:szCs w:val="20"/>
                <w:color w:val="auto"/>
              </w:rPr>
            </w:pPr>
            <w:r>
              <w:rPr>
                <w:rFonts w:ascii="Arial" w:cs="Arial" w:eastAsia="Arial" w:hAnsi="Arial"/>
                <w:sz w:val="18"/>
                <w:szCs w:val="18"/>
                <w:color w:val="auto"/>
              </w:rPr>
              <w:t>natural gas liquids; the combination of ethane, propane, normal butane, iso-butane</w:t>
            </w:r>
          </w:p>
        </w:tc>
      </w:tr>
      <w:tr>
        <w:trPr>
          <w:trHeight w:val="203"/>
        </w:trPr>
        <w:tc>
          <w:tcPr>
            <w:tcW w:w="2680" w:type="dxa"/>
            <w:vAlign w:val="bottom"/>
          </w:tcPr>
          <w:p>
            <w:pPr>
              <w:spacing w:after="0"/>
              <w:rPr>
                <w:sz w:val="17"/>
                <w:szCs w:val="17"/>
                <w:color w:val="auto"/>
              </w:rPr>
            </w:pPr>
          </w:p>
        </w:tc>
        <w:tc>
          <w:tcPr>
            <w:tcW w:w="8740" w:type="dxa"/>
            <w:vAlign w:val="bottom"/>
          </w:tcPr>
          <w:p>
            <w:pPr>
              <w:ind w:left="540"/>
              <w:spacing w:after="0" w:line="202" w:lineRule="exact"/>
              <w:rPr>
                <w:sz w:val="20"/>
                <w:szCs w:val="20"/>
                <w:color w:val="auto"/>
              </w:rPr>
            </w:pPr>
            <w:r>
              <w:rPr>
                <w:rFonts w:ascii="Arial" w:cs="Arial" w:eastAsia="Arial" w:hAnsi="Arial"/>
                <w:sz w:val="18"/>
                <w:szCs w:val="18"/>
                <w:color w:val="auto"/>
              </w:rPr>
              <w:t>and natural gasolines that when removed from unprocessed natural gas streams</w:t>
            </w:r>
          </w:p>
        </w:tc>
      </w:tr>
      <w:tr>
        <w:trPr>
          <w:trHeight w:val="217"/>
        </w:trPr>
        <w:tc>
          <w:tcPr>
            <w:tcW w:w="2680" w:type="dxa"/>
            <w:vAlign w:val="bottom"/>
          </w:tcPr>
          <w:p>
            <w:pPr>
              <w:spacing w:after="0"/>
              <w:rPr>
                <w:sz w:val="18"/>
                <w:szCs w:val="18"/>
                <w:color w:val="auto"/>
              </w:rPr>
            </w:pPr>
          </w:p>
        </w:tc>
        <w:tc>
          <w:tcPr>
            <w:tcW w:w="8740" w:type="dxa"/>
            <w:vAlign w:val="bottom"/>
          </w:tcPr>
          <w:p>
            <w:pPr>
              <w:ind w:left="540"/>
              <w:spacing w:after="0"/>
              <w:rPr>
                <w:sz w:val="20"/>
                <w:szCs w:val="20"/>
                <w:color w:val="auto"/>
              </w:rPr>
            </w:pPr>
            <w:r>
              <w:rPr>
                <w:rFonts w:ascii="Arial" w:cs="Arial" w:eastAsia="Arial" w:hAnsi="Arial"/>
                <w:sz w:val="18"/>
                <w:szCs w:val="18"/>
                <w:color w:val="auto"/>
              </w:rPr>
              <w:t>become liquid under various levels of higher pressure and lower temperature</w:t>
            </w:r>
          </w:p>
        </w:tc>
      </w:tr>
      <w:tr>
        <w:trPr>
          <w:trHeight w:val="419"/>
        </w:trPr>
        <w:tc>
          <w:tcPr>
            <w:tcW w:w="2680" w:type="dxa"/>
            <w:vAlign w:val="bottom"/>
          </w:tcPr>
          <w:p>
            <w:pPr>
              <w:spacing w:after="0"/>
              <w:rPr>
                <w:sz w:val="24"/>
                <w:szCs w:val="24"/>
                <w:color w:val="auto"/>
              </w:rPr>
            </w:pPr>
          </w:p>
        </w:tc>
        <w:tc>
          <w:tcPr>
            <w:tcW w:w="8740" w:type="dxa"/>
            <w:vAlign w:val="bottom"/>
          </w:tcPr>
          <w:p>
            <w:pPr>
              <w:ind w:left="2980"/>
              <w:spacing w:after="0"/>
              <w:rPr>
                <w:sz w:val="20"/>
                <w:szCs w:val="20"/>
                <w:color w:val="auto"/>
              </w:rPr>
            </w:pPr>
            <w:r>
              <w:rPr>
                <w:rFonts w:ascii="Arial" w:cs="Arial" w:eastAsia="Arial" w:hAnsi="Arial"/>
                <w:sz w:val="18"/>
                <w:szCs w:val="18"/>
                <w:color w:val="auto"/>
              </w:rPr>
              <w:t>2</w:t>
            </w:r>
          </w:p>
        </w:tc>
      </w:tr>
      <w:tr>
        <w:trPr>
          <w:trHeight w:val="102"/>
        </w:trPr>
        <w:tc>
          <w:tcPr>
            <w:tcW w:w="2680" w:type="dxa"/>
            <w:vAlign w:val="bottom"/>
            <w:tcBorders>
              <w:bottom w:val="single" w:sz="8" w:color="9A9A9A"/>
            </w:tcBorders>
          </w:tcPr>
          <w:p>
            <w:pPr>
              <w:spacing w:after="0"/>
              <w:rPr>
                <w:sz w:val="8"/>
                <w:szCs w:val="8"/>
                <w:color w:val="auto"/>
              </w:rPr>
            </w:pPr>
          </w:p>
        </w:tc>
        <w:tc>
          <w:tcPr>
            <w:tcW w:w="87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Niobrara G&amp;P</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Niobrara Gathering and Processing system</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OCC</w:t>
            </w:r>
          </w:p>
        </w:tc>
        <w:tc>
          <w:tcPr>
            <w:tcW w:w="8720" w:type="dxa"/>
            <w:vAlign w:val="bottom"/>
          </w:tcPr>
          <w:p>
            <w:pPr>
              <w:ind w:left="320"/>
              <w:spacing w:after="0"/>
              <w:rPr>
                <w:sz w:val="20"/>
                <w:szCs w:val="20"/>
                <w:color w:val="auto"/>
              </w:rPr>
            </w:pPr>
            <w:r>
              <w:rPr>
                <w:rFonts w:ascii="Arial" w:cs="Arial" w:eastAsia="Arial" w:hAnsi="Arial"/>
                <w:sz w:val="18"/>
                <w:szCs w:val="18"/>
                <w:color w:val="auto"/>
              </w:rPr>
              <w:t>Ohio Condensate Company,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OGC</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Ohio Gathering Company,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Ohio Gathering</w:t>
            </w:r>
          </w:p>
        </w:tc>
        <w:tc>
          <w:tcPr>
            <w:tcW w:w="8720" w:type="dxa"/>
            <w:vAlign w:val="bottom"/>
          </w:tcPr>
          <w:p>
            <w:pPr>
              <w:ind w:left="320"/>
              <w:spacing w:after="0"/>
              <w:rPr>
                <w:sz w:val="20"/>
                <w:szCs w:val="20"/>
                <w:color w:val="auto"/>
              </w:rPr>
            </w:pPr>
            <w:r>
              <w:rPr>
                <w:rFonts w:ascii="Arial" w:cs="Arial" w:eastAsia="Arial" w:hAnsi="Arial"/>
                <w:sz w:val="18"/>
                <w:szCs w:val="18"/>
                <w:color w:val="auto"/>
              </w:rPr>
              <w:t>Ohio Gathering Company, L.L.C. and Ohio Condensate Company,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OpCo</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OpCo, LP</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play</w:t>
            </w:r>
          </w:p>
        </w:tc>
        <w:tc>
          <w:tcPr>
            <w:tcW w:w="8720" w:type="dxa"/>
            <w:vAlign w:val="bottom"/>
          </w:tcPr>
          <w:p>
            <w:pPr>
              <w:ind w:left="320"/>
              <w:spacing w:after="0"/>
              <w:rPr>
                <w:sz w:val="20"/>
                <w:szCs w:val="20"/>
                <w:color w:val="auto"/>
              </w:rPr>
            </w:pPr>
            <w:r>
              <w:rPr>
                <w:rFonts w:ascii="Arial" w:cs="Arial" w:eastAsia="Arial" w:hAnsi="Arial"/>
                <w:sz w:val="18"/>
                <w:szCs w:val="18"/>
                <w:color w:val="auto"/>
              </w:rPr>
              <w:t>a proven geological formation that contains commercial amounts of hydrocarbons</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Permian Finance</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Permian Finance,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Polar and Divide</w:t>
            </w:r>
          </w:p>
        </w:tc>
        <w:tc>
          <w:tcPr>
            <w:tcW w:w="8720" w:type="dxa"/>
            <w:vAlign w:val="bottom"/>
          </w:tcPr>
          <w:p>
            <w:pPr>
              <w:ind w:left="320"/>
              <w:spacing w:after="0"/>
              <w:rPr>
                <w:sz w:val="20"/>
                <w:szCs w:val="20"/>
                <w:color w:val="auto"/>
              </w:rPr>
            </w:pPr>
            <w:r>
              <w:rPr>
                <w:rFonts w:ascii="Arial" w:cs="Arial" w:eastAsia="Arial" w:hAnsi="Arial"/>
                <w:sz w:val="18"/>
                <w:szCs w:val="18"/>
                <w:color w:val="auto"/>
              </w:rPr>
              <w:t>the Polar and Divide system; collectively Polar Midstream and Epping</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Polar Midstream</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Polar Midstream, LLC</w:t>
            </w: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produced water</w:t>
            </w:r>
          </w:p>
        </w:tc>
        <w:tc>
          <w:tcPr>
            <w:tcW w:w="8720" w:type="dxa"/>
            <w:vAlign w:val="bottom"/>
          </w:tcPr>
          <w:p>
            <w:pPr>
              <w:ind w:left="320"/>
              <w:spacing w:after="0"/>
              <w:rPr>
                <w:sz w:val="20"/>
                <w:szCs w:val="20"/>
                <w:color w:val="auto"/>
              </w:rPr>
            </w:pPr>
            <w:r>
              <w:rPr>
                <w:rFonts w:ascii="Arial" w:cs="Arial" w:eastAsia="Arial" w:hAnsi="Arial"/>
                <w:sz w:val="18"/>
                <w:szCs w:val="18"/>
                <w:color w:val="auto"/>
              </w:rPr>
              <w:t>water from underground geologic formations that is a by-product of natural gas and</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3" w:lineRule="exact"/>
              <w:rPr>
                <w:sz w:val="20"/>
                <w:szCs w:val="20"/>
                <w:color w:val="auto"/>
              </w:rPr>
            </w:pPr>
            <w:r>
              <w:rPr>
                <w:rFonts w:ascii="Arial" w:cs="Arial" w:eastAsia="Arial" w:hAnsi="Arial"/>
                <w:sz w:val="18"/>
                <w:szCs w:val="18"/>
                <w:color w:val="auto"/>
              </w:rPr>
              <w:t>crude oil production</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Project</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In June 2019, we announced a final investment decision to proceed with the</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development and construction of a long-haul natural gas pipeline with an</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initial throughput capacity of 1.35 billion cubic feet per day that will provide</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transportation service from multiple receipt points in the Delaware Basin</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to various delivery points in and around the Waha hub in Texas</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Red Rock Gathering</w:t>
            </w:r>
          </w:p>
        </w:tc>
        <w:tc>
          <w:tcPr>
            <w:tcW w:w="8720" w:type="dxa"/>
            <w:vAlign w:val="bottom"/>
          </w:tcPr>
          <w:p>
            <w:pPr>
              <w:ind w:left="320"/>
              <w:spacing w:after="0"/>
              <w:rPr>
                <w:sz w:val="20"/>
                <w:szCs w:val="20"/>
                <w:color w:val="auto"/>
              </w:rPr>
            </w:pPr>
            <w:r>
              <w:rPr>
                <w:rFonts w:ascii="Arial" w:cs="Arial" w:eastAsia="Arial" w:hAnsi="Arial"/>
                <w:sz w:val="18"/>
                <w:szCs w:val="18"/>
                <w:color w:val="auto"/>
              </w:rPr>
              <w:t>Red Rock Gathering Company, LLC</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Remaining Consideration</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consideration to be paid to SMP Holdings in 2020 in connection with the 2016</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Drop Down, the present value of which is reflected on our balance sheets as the</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Deferred Purchase Price Obligation</w:t>
            </w: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8720" w:type="dxa"/>
            <w:vAlign w:val="bottom"/>
          </w:tcPr>
          <w:p>
            <w:pPr>
              <w:ind w:left="320"/>
              <w:spacing w:after="0"/>
              <w:rPr>
                <w:sz w:val="20"/>
                <w:szCs w:val="20"/>
                <w:color w:val="auto"/>
              </w:rPr>
            </w:pPr>
            <w:r>
              <w:rPr>
                <w:rFonts w:ascii="Arial" w:cs="Arial" w:eastAsia="Arial" w:hAnsi="Arial"/>
                <w:sz w:val="18"/>
                <w:szCs w:val="18"/>
                <w:color w:val="auto"/>
              </w:rPr>
              <w:t>the Third Amended and Restated Credit Agreement dated as of May 26, 2017, as</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amended by the First Amendment to Third Amended and Restated Credit</w:t>
            </w:r>
          </w:p>
        </w:tc>
      </w:tr>
      <w:tr>
        <w:trPr>
          <w:trHeight w:val="203"/>
        </w:trPr>
        <w:tc>
          <w:tcPr>
            <w:tcW w:w="2700" w:type="dxa"/>
            <w:vAlign w:val="bottom"/>
          </w:tcPr>
          <w:p>
            <w:pPr>
              <w:spacing w:after="0"/>
              <w:rPr>
                <w:sz w:val="17"/>
                <w:szCs w:val="17"/>
                <w:color w:val="auto"/>
              </w:rPr>
            </w:pPr>
          </w:p>
        </w:tc>
        <w:tc>
          <w:tcPr>
            <w:tcW w:w="8720" w:type="dxa"/>
            <w:vAlign w:val="bottom"/>
          </w:tcPr>
          <w:p>
            <w:pPr>
              <w:ind w:left="500"/>
              <w:spacing w:after="0" w:line="202" w:lineRule="exact"/>
              <w:rPr>
                <w:sz w:val="20"/>
                <w:szCs w:val="20"/>
                <w:color w:val="auto"/>
              </w:rPr>
            </w:pPr>
            <w:r>
              <w:rPr>
                <w:rFonts w:ascii="Arial" w:cs="Arial" w:eastAsia="Arial" w:hAnsi="Arial"/>
                <w:sz w:val="18"/>
                <w:szCs w:val="18"/>
                <w:color w:val="auto"/>
              </w:rPr>
              <w:t>Agreement dated as of September 22, 2017 and by the Second Amendment</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3" w:lineRule="exact"/>
              <w:rPr>
                <w:sz w:val="20"/>
                <w:szCs w:val="20"/>
                <w:color w:val="auto"/>
              </w:rPr>
            </w:pPr>
            <w:r>
              <w:rPr>
                <w:rFonts w:ascii="Arial" w:cs="Arial" w:eastAsia="Arial" w:hAnsi="Arial"/>
                <w:sz w:val="18"/>
                <w:szCs w:val="18"/>
                <w:color w:val="auto"/>
              </w:rPr>
              <w:t>to Third Amended and Restated Credit Agreement dated as of June 26, 2019</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SEC</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Securities and Exchange Commission</w:t>
            </w: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segment adjusted</w:t>
            </w:r>
          </w:p>
        </w:tc>
        <w:tc>
          <w:tcPr>
            <w:tcW w:w="8720" w:type="dxa"/>
            <w:vAlign w:val="bottom"/>
          </w:tcPr>
          <w:p>
            <w:pPr>
              <w:ind w:left="320"/>
              <w:spacing w:after="0"/>
              <w:rPr>
                <w:sz w:val="20"/>
                <w:szCs w:val="20"/>
                <w:color w:val="auto"/>
              </w:rPr>
            </w:pPr>
            <w:r>
              <w:rPr>
                <w:rFonts w:ascii="Arial" w:cs="Arial" w:eastAsia="Arial" w:hAnsi="Arial"/>
                <w:sz w:val="18"/>
                <w:szCs w:val="18"/>
                <w:color w:val="auto"/>
              </w:rPr>
              <w:t>total revenues less total costs and expenses; plus (i) other income excluding interest</w:t>
            </w:r>
          </w:p>
        </w:tc>
      </w:tr>
      <w:tr>
        <w:trPr>
          <w:trHeight w:val="203"/>
        </w:trPr>
        <w:tc>
          <w:tcPr>
            <w:tcW w:w="2700" w:type="dxa"/>
            <w:vAlign w:val="bottom"/>
          </w:tcPr>
          <w:p>
            <w:pPr>
              <w:ind w:left="580"/>
              <w:spacing w:after="0" w:line="202" w:lineRule="exact"/>
              <w:rPr>
                <w:sz w:val="20"/>
                <w:szCs w:val="20"/>
                <w:color w:val="auto"/>
              </w:rPr>
            </w:pPr>
            <w:r>
              <w:rPr>
                <w:rFonts w:ascii="Arial" w:cs="Arial" w:eastAsia="Arial" w:hAnsi="Arial"/>
                <w:sz w:val="18"/>
                <w:szCs w:val="18"/>
                <w:color w:val="auto"/>
              </w:rPr>
              <w:t>EBITDA</w:t>
            </w: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income, (ii) our proportional adjusted EBITDA for equity method investees, (iii)</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depreciation and amortization, (iv) adjustments related to MVC shortfall</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payments, (v) adjustments related to capital reimbursement activity, (vi) unit-</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based and noncash compensation, (vii) the change in the Deferred Purchase</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2" w:lineRule="exact"/>
              <w:rPr>
                <w:sz w:val="20"/>
                <w:szCs w:val="20"/>
                <w:color w:val="auto"/>
              </w:rPr>
            </w:pPr>
            <w:r>
              <w:rPr>
                <w:rFonts w:ascii="Arial" w:cs="Arial" w:eastAsia="Arial" w:hAnsi="Arial"/>
                <w:sz w:val="18"/>
                <w:szCs w:val="18"/>
                <w:color w:val="auto"/>
              </w:rPr>
              <w:t>Price Obligation fair value, (viii) impairments and (ix) other noncash expenses</w:t>
            </w:r>
          </w:p>
        </w:tc>
      </w:tr>
      <w:tr>
        <w:trPr>
          <w:trHeight w:val="203"/>
        </w:trPr>
        <w:tc>
          <w:tcPr>
            <w:tcW w:w="2700" w:type="dxa"/>
            <w:vAlign w:val="bottom"/>
          </w:tcPr>
          <w:p>
            <w:pPr>
              <w:spacing w:after="0"/>
              <w:rPr>
                <w:sz w:val="17"/>
                <w:szCs w:val="17"/>
                <w:color w:val="auto"/>
              </w:rPr>
            </w:pPr>
          </w:p>
        </w:tc>
        <w:tc>
          <w:tcPr>
            <w:tcW w:w="8720" w:type="dxa"/>
            <w:vAlign w:val="bottom"/>
          </w:tcPr>
          <w:p>
            <w:pPr>
              <w:ind w:left="520"/>
              <w:spacing w:after="0" w:line="203" w:lineRule="exact"/>
              <w:rPr>
                <w:sz w:val="20"/>
                <w:szCs w:val="20"/>
                <w:color w:val="auto"/>
              </w:rPr>
            </w:pPr>
            <w:r>
              <w:rPr>
                <w:rFonts w:ascii="Arial" w:cs="Arial" w:eastAsia="Arial" w:hAnsi="Arial"/>
                <w:sz w:val="18"/>
                <w:szCs w:val="18"/>
                <w:color w:val="auto"/>
              </w:rPr>
              <w:t>or losses, less other noncash income or gains</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shortfall payment</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payment received from a counterparty when its volume throughput does not</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meet its MVC for the applicable period</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SMLP</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Partners, LP</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SMLP LTIP</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SMLP Long-Term Incentive Plan</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SMP Holdings</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Partners Holdings, LLC</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Sponsor</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Energy Capital Partners II, LLC and its parallel and co-investment funds; also known</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as Energy Capital Partners</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Holdings</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Holdings,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Investments</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Partners,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Niobrara</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Niobrara,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Permian, LLC</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Permian II</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Permian II, LLC</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Summit Permian</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Permian Transmission, LLC</w:t>
            </w:r>
          </w:p>
        </w:tc>
      </w:tr>
      <w:tr>
        <w:trPr>
          <w:trHeight w:val="203"/>
        </w:trPr>
        <w:tc>
          <w:tcPr>
            <w:tcW w:w="2700" w:type="dxa"/>
            <w:vAlign w:val="bottom"/>
            <w:shd w:val="clear" w:color="auto" w:fill="CFF0FC"/>
          </w:tcPr>
          <w:p>
            <w:pPr>
              <w:ind w:left="580"/>
              <w:spacing w:after="0" w:line="203" w:lineRule="exact"/>
              <w:rPr>
                <w:sz w:val="20"/>
                <w:szCs w:val="20"/>
                <w:color w:val="auto"/>
              </w:rPr>
            </w:pPr>
            <w:r>
              <w:rPr>
                <w:rFonts w:ascii="Arial" w:cs="Arial" w:eastAsia="Arial" w:hAnsi="Arial"/>
                <w:sz w:val="18"/>
                <w:szCs w:val="18"/>
                <w:color w:val="auto"/>
              </w:rPr>
              <w:t>Transmission</w:t>
            </w:r>
          </w:p>
        </w:tc>
        <w:tc>
          <w:tcPr>
            <w:tcW w:w="8720" w:type="dxa"/>
            <w:vAlign w:val="bottom"/>
            <w:shd w:val="clear" w:color="auto" w:fill="CFF0FC"/>
          </w:tcPr>
          <w:p>
            <w:pPr>
              <w:spacing w:after="0"/>
              <w:rPr>
                <w:sz w:val="17"/>
                <w:szCs w:val="17"/>
                <w:color w:val="auto"/>
              </w:rPr>
            </w:pP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Summit Utica</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Utica, LLC</w:t>
            </w:r>
          </w:p>
        </w:tc>
      </w:tr>
      <w:tr>
        <w:trPr>
          <w:trHeight w:val="216"/>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the Company</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Summit Midstream Partners, LLC and its subsidiaries</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the Partnership</w:t>
            </w:r>
          </w:p>
        </w:tc>
        <w:tc>
          <w:tcPr>
            <w:tcW w:w="8720" w:type="dxa"/>
            <w:vAlign w:val="bottom"/>
          </w:tcPr>
          <w:p>
            <w:pPr>
              <w:ind w:left="320"/>
              <w:spacing w:after="0"/>
              <w:rPr>
                <w:sz w:val="20"/>
                <w:szCs w:val="20"/>
                <w:color w:val="auto"/>
              </w:rPr>
            </w:pPr>
            <w:r>
              <w:rPr>
                <w:rFonts w:ascii="Arial" w:cs="Arial" w:eastAsia="Arial" w:hAnsi="Arial"/>
                <w:sz w:val="18"/>
                <w:szCs w:val="18"/>
                <w:color w:val="auto"/>
              </w:rPr>
              <w:t>Summit Midstream Partners, LP and its subsidiaries</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throughput volume</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the volume of natural gas, crude oil or produced water gathered, transported or</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passing through a pipeline, plant or other facility during a particular period;</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also referred to as volume throughput</w:t>
            </w:r>
          </w:p>
        </w:tc>
      </w:tr>
      <w:tr>
        <w:trPr>
          <w:trHeight w:val="216"/>
        </w:trPr>
        <w:tc>
          <w:tcPr>
            <w:tcW w:w="2700" w:type="dxa"/>
            <w:vAlign w:val="bottom"/>
          </w:tcPr>
          <w:p>
            <w:pPr>
              <w:ind w:left="380"/>
              <w:spacing w:after="0"/>
              <w:rPr>
                <w:sz w:val="20"/>
                <w:szCs w:val="20"/>
                <w:color w:val="auto"/>
              </w:rPr>
            </w:pPr>
            <w:r>
              <w:rPr>
                <w:rFonts w:ascii="Arial" w:cs="Arial" w:eastAsia="Arial" w:hAnsi="Arial"/>
                <w:sz w:val="18"/>
                <w:szCs w:val="18"/>
                <w:color w:val="auto"/>
              </w:rPr>
              <w:t>Tioga Midstream</w:t>
            </w:r>
          </w:p>
        </w:tc>
        <w:tc>
          <w:tcPr>
            <w:tcW w:w="8720" w:type="dxa"/>
            <w:vAlign w:val="bottom"/>
          </w:tcPr>
          <w:p>
            <w:pPr>
              <w:ind w:left="320"/>
              <w:spacing w:after="0"/>
              <w:rPr>
                <w:sz w:val="20"/>
                <w:szCs w:val="20"/>
                <w:color w:val="auto"/>
              </w:rPr>
            </w:pPr>
            <w:r>
              <w:rPr>
                <w:rFonts w:ascii="Arial" w:cs="Arial" w:eastAsia="Arial" w:hAnsi="Arial"/>
                <w:sz w:val="18"/>
                <w:szCs w:val="18"/>
                <w:color w:val="auto"/>
              </w:rPr>
              <w:t>Tioga Midstream, LLC</w:t>
            </w:r>
          </w:p>
        </w:tc>
      </w:tr>
      <w:tr>
        <w:trPr>
          <w:trHeight w:val="215"/>
        </w:trPr>
        <w:tc>
          <w:tcPr>
            <w:tcW w:w="27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unconventional resource</w:t>
            </w:r>
          </w:p>
        </w:tc>
        <w:tc>
          <w:tcPr>
            <w:tcW w:w="87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 basin where natural gas or crude oil production is developed from unconventional</w:t>
            </w:r>
          </w:p>
        </w:tc>
      </w:tr>
      <w:tr>
        <w:trPr>
          <w:trHeight w:val="203"/>
        </w:trPr>
        <w:tc>
          <w:tcPr>
            <w:tcW w:w="2700" w:type="dxa"/>
            <w:vAlign w:val="bottom"/>
            <w:shd w:val="clear" w:color="auto" w:fill="CFF0FC"/>
          </w:tcPr>
          <w:p>
            <w:pPr>
              <w:ind w:left="580"/>
              <w:spacing w:after="0" w:line="202" w:lineRule="exact"/>
              <w:rPr>
                <w:sz w:val="20"/>
                <w:szCs w:val="20"/>
                <w:color w:val="auto"/>
              </w:rPr>
            </w:pPr>
            <w:r>
              <w:rPr>
                <w:rFonts w:ascii="Arial" w:cs="Arial" w:eastAsia="Arial" w:hAnsi="Arial"/>
                <w:sz w:val="18"/>
                <w:szCs w:val="18"/>
                <w:color w:val="auto"/>
              </w:rPr>
              <w:t>basin</w:t>
            </w: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sources that require hydraulic fracturing as part of the completion process, for</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2" w:lineRule="exact"/>
              <w:rPr>
                <w:sz w:val="20"/>
                <w:szCs w:val="20"/>
                <w:color w:val="auto"/>
              </w:rPr>
            </w:pPr>
            <w:r>
              <w:rPr>
                <w:rFonts w:ascii="Arial" w:cs="Arial" w:eastAsia="Arial" w:hAnsi="Arial"/>
                <w:sz w:val="18"/>
                <w:szCs w:val="18"/>
                <w:color w:val="auto"/>
              </w:rPr>
              <w:t>instance, natural gas produced from shale formations and coalbeds; also</w:t>
            </w:r>
          </w:p>
        </w:tc>
      </w:tr>
      <w:tr>
        <w:trPr>
          <w:trHeight w:val="203"/>
        </w:trPr>
        <w:tc>
          <w:tcPr>
            <w:tcW w:w="2700" w:type="dxa"/>
            <w:vAlign w:val="bottom"/>
            <w:shd w:val="clear" w:color="auto" w:fill="CFF0FC"/>
          </w:tcPr>
          <w:p>
            <w:pPr>
              <w:spacing w:after="0"/>
              <w:rPr>
                <w:sz w:val="17"/>
                <w:szCs w:val="17"/>
                <w:color w:val="auto"/>
              </w:rPr>
            </w:pPr>
          </w:p>
        </w:tc>
        <w:tc>
          <w:tcPr>
            <w:tcW w:w="8720" w:type="dxa"/>
            <w:vAlign w:val="bottom"/>
            <w:shd w:val="clear" w:color="auto" w:fill="CFF0FC"/>
          </w:tcPr>
          <w:p>
            <w:pPr>
              <w:ind w:left="520"/>
              <w:spacing w:after="0" w:line="203" w:lineRule="exact"/>
              <w:rPr>
                <w:sz w:val="20"/>
                <w:szCs w:val="20"/>
                <w:color w:val="auto"/>
              </w:rPr>
            </w:pPr>
            <w:r>
              <w:rPr>
                <w:rFonts w:ascii="Arial" w:cs="Arial" w:eastAsia="Arial" w:hAnsi="Arial"/>
                <w:sz w:val="18"/>
                <w:szCs w:val="18"/>
                <w:color w:val="auto"/>
              </w:rPr>
              <w:t>referred to as an unconventional resource play</w:t>
            </w:r>
          </w:p>
        </w:tc>
      </w:tr>
      <w:tr>
        <w:trPr>
          <w:trHeight w:val="215"/>
        </w:trPr>
        <w:tc>
          <w:tcPr>
            <w:tcW w:w="2700" w:type="dxa"/>
            <w:vAlign w:val="bottom"/>
          </w:tcPr>
          <w:p>
            <w:pPr>
              <w:ind w:left="380"/>
              <w:spacing w:after="0"/>
              <w:rPr>
                <w:sz w:val="20"/>
                <w:szCs w:val="20"/>
                <w:color w:val="auto"/>
              </w:rPr>
            </w:pPr>
            <w:r>
              <w:rPr>
                <w:rFonts w:ascii="Arial" w:cs="Arial" w:eastAsia="Arial" w:hAnsi="Arial"/>
                <w:sz w:val="18"/>
                <w:szCs w:val="18"/>
                <w:color w:val="auto"/>
              </w:rPr>
              <w:t>wellhead</w:t>
            </w:r>
          </w:p>
        </w:tc>
        <w:tc>
          <w:tcPr>
            <w:tcW w:w="8720" w:type="dxa"/>
            <w:vAlign w:val="bottom"/>
          </w:tcPr>
          <w:p>
            <w:pPr>
              <w:ind w:left="320"/>
              <w:spacing w:after="0"/>
              <w:rPr>
                <w:sz w:val="20"/>
                <w:szCs w:val="20"/>
                <w:color w:val="auto"/>
              </w:rPr>
            </w:pPr>
            <w:r>
              <w:rPr>
                <w:rFonts w:ascii="Arial" w:cs="Arial" w:eastAsia="Arial" w:hAnsi="Arial"/>
                <w:sz w:val="18"/>
                <w:szCs w:val="18"/>
                <w:color w:val="auto"/>
              </w:rPr>
              <w:t>the equipment at the surface of a well, used to control the well's pressure; also, the</w:t>
            </w:r>
          </w:p>
        </w:tc>
      </w:tr>
      <w:tr>
        <w:trPr>
          <w:trHeight w:val="217"/>
        </w:trPr>
        <w:tc>
          <w:tcPr>
            <w:tcW w:w="2700" w:type="dxa"/>
            <w:vAlign w:val="bottom"/>
          </w:tcPr>
          <w:p>
            <w:pPr>
              <w:spacing w:after="0"/>
              <w:rPr>
                <w:sz w:val="18"/>
                <w:szCs w:val="18"/>
                <w:color w:val="auto"/>
              </w:rPr>
            </w:pPr>
          </w:p>
        </w:tc>
        <w:tc>
          <w:tcPr>
            <w:tcW w:w="8720" w:type="dxa"/>
            <w:vAlign w:val="bottom"/>
          </w:tcPr>
          <w:p>
            <w:pPr>
              <w:ind w:left="520"/>
              <w:spacing w:after="0"/>
              <w:rPr>
                <w:sz w:val="20"/>
                <w:szCs w:val="20"/>
                <w:color w:val="auto"/>
              </w:rPr>
            </w:pPr>
            <w:r>
              <w:rPr>
                <w:rFonts w:ascii="Arial" w:cs="Arial" w:eastAsia="Arial" w:hAnsi="Arial"/>
                <w:sz w:val="18"/>
                <w:szCs w:val="18"/>
                <w:color w:val="auto"/>
              </w:rPr>
              <w:t>point at which the hydrocarbons and water exit the ground</w:t>
            </w:r>
          </w:p>
        </w:tc>
      </w:tr>
      <w:tr>
        <w:trPr>
          <w:trHeight w:val="662"/>
        </w:trPr>
        <w:tc>
          <w:tcPr>
            <w:tcW w:w="2700" w:type="dxa"/>
            <w:vAlign w:val="bottom"/>
          </w:tcPr>
          <w:p>
            <w:pPr>
              <w:spacing w:after="0"/>
              <w:rPr>
                <w:sz w:val="24"/>
                <w:szCs w:val="24"/>
                <w:color w:val="auto"/>
              </w:rPr>
            </w:pPr>
          </w:p>
        </w:tc>
        <w:tc>
          <w:tcPr>
            <w:tcW w:w="8720" w:type="dxa"/>
            <w:vAlign w:val="bottom"/>
          </w:tcPr>
          <w:p>
            <w:pPr>
              <w:ind w:left="2960"/>
              <w:spacing w:after="0"/>
              <w:rPr>
                <w:sz w:val="20"/>
                <w:szCs w:val="20"/>
                <w:color w:val="auto"/>
              </w:rPr>
            </w:pPr>
            <w:r>
              <w:rPr>
                <w:rFonts w:ascii="Arial" w:cs="Arial" w:eastAsia="Arial" w:hAnsi="Arial"/>
                <w:sz w:val="18"/>
                <w:szCs w:val="18"/>
                <w:color w:val="auto"/>
              </w:rPr>
              <w:t>3</w:t>
            </w:r>
          </w:p>
        </w:tc>
      </w:tr>
      <w:tr>
        <w:trPr>
          <w:trHeight w:val="102"/>
        </w:trPr>
        <w:tc>
          <w:tcPr>
            <w:tcW w:w="2700" w:type="dxa"/>
            <w:vAlign w:val="bottom"/>
            <w:tcBorders>
              <w:bottom w:val="single" w:sz="8" w:color="9A9A9A"/>
            </w:tcBorders>
          </w:tcPr>
          <w:p>
            <w:pPr>
              <w:spacing w:after="0"/>
              <w:rPr>
                <w:sz w:val="8"/>
                <w:szCs w:val="8"/>
                <w:color w:val="auto"/>
              </w:rPr>
            </w:pPr>
          </w:p>
        </w:tc>
        <w:tc>
          <w:tcPr>
            <w:tcW w:w="87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PART I - FINANCIAL INFORMATION</w:t>
      </w:r>
    </w:p>
    <w:p>
      <w:pPr>
        <w:spacing w:after="0" w:line="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Financial Statements.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BALANCE SHEETS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5"/>
                <w:szCs w:val="15"/>
                <w:color w:val="auto"/>
              </w:rPr>
            </w:pPr>
          </w:p>
        </w:tc>
        <w:tc>
          <w:tcPr>
            <w:tcW w:w="1580" w:type="dxa"/>
            <w:vAlign w:val="bottom"/>
          </w:tcPr>
          <w:p>
            <w:pPr>
              <w:jc w:val="right"/>
              <w:ind w:right="43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6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71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73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80" w:type="dxa"/>
            <w:vAlign w:val="bottom"/>
            <w:gridSpan w:val="4"/>
          </w:tcPr>
          <w:p>
            <w:pPr>
              <w:jc w:val="right"/>
              <w:ind w:right="631"/>
              <w:spacing w:after="0"/>
              <w:rPr>
                <w:sz w:val="20"/>
                <w:szCs w:val="20"/>
                <w:color w:val="auto"/>
              </w:rPr>
            </w:pPr>
            <w:r>
              <w:rPr>
                <w:rFonts w:ascii="Arial" w:cs="Arial" w:eastAsia="Arial" w:hAnsi="Arial"/>
                <w:sz w:val="14"/>
                <w:szCs w:val="14"/>
                <w:b w:val="1"/>
                <w:bCs w:val="1"/>
                <w:color w:val="auto"/>
              </w:rPr>
              <w:t>(In thousands, except unit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84,125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97,936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2,011</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86,671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106,252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1,878,851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1,963,713</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251,250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273,416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16,211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16,211</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Investment in equity method investees</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653,807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649,250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10,912</w:t>
            </w:r>
          </w:p>
        </w:tc>
        <w:tc>
          <w:tcPr>
            <w:tcW w:w="1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11,720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2,897,702</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25,252</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38,414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expenses</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8,759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Due to affiliate</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387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Deferred revenue</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12,325</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Ad valorem taxes payable</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6,737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10,550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Accrued interest</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12,381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Arial" w:cs="Arial" w:eastAsia="Arial" w:hAnsi="Arial"/>
                <w:sz w:val="18"/>
                <w:szCs w:val="18"/>
                <w:color w:val="auto"/>
              </w:rPr>
              <w:t>Accrued environmental remediation</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2,561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current liabilities</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11,949</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Deferred Purchase Price Obligation</w:t>
            </w: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292,073</w:t>
            </w:r>
          </w:p>
        </w:tc>
        <w:tc>
          <w:tcPr>
            <w:tcW w:w="1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372,424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110,052</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1,365,564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Deferred Purchase Price Obligation</w:t>
            </w:r>
          </w:p>
        </w:tc>
        <w:tc>
          <w:tcPr>
            <w:tcW w:w="3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383,934</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Noncurrent deferred revenue</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40,201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Noncurrent accrued environmental remediation</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2,841</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3,149</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18"/>
                <w:szCs w:val="18"/>
                <w:color w:val="auto"/>
              </w:rPr>
            </w:pPr>
          </w:p>
        </w:tc>
        <w:tc>
          <w:tcPr>
            <w:tcW w:w="1480" w:type="dxa"/>
            <w:vAlign w:val="bottom"/>
          </w:tcPr>
          <w:p>
            <w:pPr>
              <w:jc w:val="right"/>
              <w:ind w:right="32"/>
              <w:spacing w:after="0"/>
              <w:rPr>
                <w:sz w:val="20"/>
                <w:szCs w:val="20"/>
                <w:color w:val="auto"/>
              </w:rPr>
            </w:pPr>
            <w:r>
              <w:rPr>
                <w:rFonts w:ascii="Arial" w:cs="Arial" w:eastAsia="Arial" w:hAnsi="Arial"/>
                <w:sz w:val="18"/>
                <w:szCs w:val="18"/>
                <w:color w:val="auto"/>
              </w:rPr>
              <w:t>9,557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51"/>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1,790,587</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1,799,338</w:t>
            </w: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Commitments and contingencies (Note 16)</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620" w:type="dxa"/>
            <w:vAlign w:val="bottom"/>
            <w:gridSpan w:val="2"/>
          </w:tcPr>
          <w:p>
            <w:pPr>
              <w:spacing w:after="0"/>
              <w:rPr>
                <w:sz w:val="20"/>
                <w:szCs w:val="20"/>
                <w:color w:val="auto"/>
              </w:rPr>
            </w:pPr>
            <w:r>
              <w:rPr>
                <w:rFonts w:ascii="Arial" w:cs="Arial" w:eastAsia="Arial" w:hAnsi="Arial"/>
                <w:sz w:val="18"/>
                <w:szCs w:val="18"/>
                <w:color w:val="auto"/>
              </w:rPr>
              <w:t>Series A Preferred Units (300,000 units issued and outstanding at</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80"/>
              <w:spacing w:after="0" w:line="203" w:lineRule="exact"/>
              <w:rPr>
                <w:sz w:val="20"/>
                <w:szCs w:val="20"/>
                <w:color w:val="auto"/>
              </w:rPr>
            </w:pPr>
            <w:r>
              <w:rPr>
                <w:rFonts w:ascii="Arial" w:cs="Arial" w:eastAsia="Arial" w:hAnsi="Arial"/>
                <w:sz w:val="18"/>
                <w:szCs w:val="18"/>
                <w:color w:val="auto"/>
              </w:rPr>
              <w:t>June 30, 2019 and December 31, 2018)</w:t>
            </w:r>
          </w:p>
        </w:tc>
        <w:tc>
          <w:tcPr>
            <w:tcW w:w="320" w:type="dxa"/>
            <w:vAlign w:val="bottom"/>
          </w:tcPr>
          <w:p>
            <w:pPr>
              <w:spacing w:after="0"/>
              <w:rPr>
                <w:sz w:val="17"/>
                <w:szCs w:val="17"/>
                <w:color w:val="auto"/>
              </w:rPr>
            </w:pPr>
          </w:p>
        </w:tc>
        <w:tc>
          <w:tcPr>
            <w:tcW w:w="148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293,616</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293,616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00" w:type="dxa"/>
            <w:vAlign w:val="bottom"/>
            <w:shd w:val="clear" w:color="auto" w:fill="CFF0FC"/>
          </w:tcPr>
          <w:p>
            <w:pPr>
              <w:spacing w:after="0"/>
              <w:rPr>
                <w:sz w:val="20"/>
                <w:szCs w:val="20"/>
                <w:color w:val="auto"/>
              </w:rPr>
            </w:pPr>
            <w:r>
              <w:rPr>
                <w:rFonts w:ascii="Arial" w:cs="Arial" w:eastAsia="Arial" w:hAnsi="Arial"/>
                <w:sz w:val="18"/>
                <w:szCs w:val="18"/>
                <w:color w:val="auto"/>
              </w:rPr>
              <w:t>Common limited partner capital (82,704,891 units issued and outstanding</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at June 30, 2019 and 73,390,853 units issued and outstanding</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at December 31, 2018)</w:t>
            </w:r>
          </w:p>
        </w:tc>
        <w:tc>
          <w:tcPr>
            <w:tcW w:w="320" w:type="dxa"/>
            <w:vAlign w:val="bottom"/>
            <w:shd w:val="clear" w:color="auto" w:fill="CFF0FC"/>
          </w:tcPr>
          <w:p>
            <w:pPr>
              <w:spacing w:after="0"/>
              <w:rPr>
                <w:sz w:val="17"/>
                <w:szCs w:val="17"/>
                <w:color w:val="auto"/>
              </w:rPr>
            </w:pPr>
          </w:p>
        </w:tc>
        <w:tc>
          <w:tcPr>
            <w:tcW w:w="148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813,499</w:t>
            </w: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58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902,358</w:t>
            </w:r>
          </w:p>
        </w:tc>
        <w:tc>
          <w:tcPr>
            <w:tcW w:w="0" w:type="dxa"/>
            <w:vAlign w:val="bottom"/>
          </w:tcPr>
          <w:p>
            <w:pPr>
              <w:spacing w:after="0"/>
              <w:rPr>
                <w:sz w:val="1"/>
                <w:szCs w:val="1"/>
                <w:color w:val="auto"/>
              </w:rPr>
            </w:pPr>
          </w:p>
        </w:tc>
      </w:tr>
      <w:tr>
        <w:trPr>
          <w:trHeight w:val="215"/>
        </w:trPr>
        <w:tc>
          <w:tcPr>
            <w:tcW w:w="7620" w:type="dxa"/>
            <w:vAlign w:val="bottom"/>
            <w:gridSpan w:val="2"/>
          </w:tcPr>
          <w:p>
            <w:pPr>
              <w:spacing w:after="0"/>
              <w:rPr>
                <w:sz w:val="20"/>
                <w:szCs w:val="20"/>
                <w:color w:val="auto"/>
              </w:rPr>
            </w:pPr>
            <w:r>
              <w:rPr>
                <w:rFonts w:ascii="Arial" w:cs="Arial" w:eastAsia="Arial" w:hAnsi="Arial"/>
                <w:sz w:val="18"/>
                <w:szCs w:val="18"/>
                <w:color w:val="auto"/>
              </w:rPr>
              <w:t>General Partner interests (zero units issued and outstanding at</w:t>
            </w:r>
          </w:p>
        </w:tc>
        <w:tc>
          <w:tcPr>
            <w:tcW w:w="3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80"/>
              <w:spacing w:after="0" w:line="202" w:lineRule="exact"/>
              <w:rPr>
                <w:sz w:val="20"/>
                <w:szCs w:val="20"/>
                <w:color w:val="auto"/>
              </w:rPr>
            </w:pPr>
            <w:r>
              <w:rPr>
                <w:rFonts w:ascii="Arial" w:cs="Arial" w:eastAsia="Arial" w:hAnsi="Arial"/>
                <w:sz w:val="18"/>
                <w:szCs w:val="18"/>
                <w:color w:val="auto"/>
              </w:rPr>
              <w:t>June 30, 2019 and 1,490,999 units issued and outstanding</w:t>
            </w:r>
          </w:p>
        </w:tc>
        <w:tc>
          <w:tcPr>
            <w:tcW w:w="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0" w:type="dxa"/>
            <w:vAlign w:val="bottom"/>
          </w:tcPr>
          <w:p>
            <w:pPr>
              <w:ind w:left="180"/>
              <w:spacing w:after="0" w:line="203" w:lineRule="exact"/>
              <w:rPr>
                <w:sz w:val="20"/>
                <w:szCs w:val="20"/>
                <w:color w:val="auto"/>
              </w:rPr>
            </w:pPr>
            <w:r>
              <w:rPr>
                <w:rFonts w:ascii="Arial" w:cs="Arial" w:eastAsia="Arial" w:hAnsi="Arial"/>
                <w:sz w:val="18"/>
                <w:szCs w:val="18"/>
                <w:color w:val="auto"/>
              </w:rPr>
              <w:t>at December 31, 2018)</w:t>
            </w:r>
          </w:p>
        </w:tc>
        <w:tc>
          <w:tcPr>
            <w:tcW w:w="320" w:type="dxa"/>
            <w:vAlign w:val="bottom"/>
          </w:tcPr>
          <w:p>
            <w:pPr>
              <w:spacing w:after="0"/>
              <w:rPr>
                <w:sz w:val="17"/>
                <w:szCs w:val="17"/>
                <w:color w:val="auto"/>
              </w:rPr>
            </w:pPr>
          </w:p>
        </w:tc>
        <w:tc>
          <w:tcPr>
            <w:tcW w:w="166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58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25,250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partners' capital</w:t>
            </w: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14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1,107,115</w:t>
            </w:r>
          </w:p>
        </w:tc>
        <w:tc>
          <w:tcPr>
            <w:tcW w:w="1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5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Total liabilities and partners' capital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2,897,702</w:t>
            </w:r>
          </w:p>
        </w:tc>
        <w:tc>
          <w:tcPr>
            <w:tcW w:w="1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3,020,562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OPERATIONS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 except per-unit amounts)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75,107</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89,585</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162,071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18,291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31,891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56,219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58,008</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6,288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6,707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12,804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99,686</w:t>
            </w: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128,183</w:t>
            </w: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231,094</w:t>
            </w:r>
          </w:p>
        </w:tc>
        <w:tc>
          <w:tcPr>
            <w:tcW w:w="1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245,503</w:t>
            </w:r>
          </w:p>
        </w:tc>
        <w:tc>
          <w:tcPr>
            <w:tcW w:w="0" w:type="dxa"/>
            <w:vAlign w:val="bottom"/>
          </w:tcPr>
          <w:p>
            <w:pPr>
              <w:spacing w:after="0"/>
              <w:rPr>
                <w:sz w:val="1"/>
                <w:szCs w:val="1"/>
                <w:color w:val="auto"/>
              </w:rPr>
            </w:pPr>
          </w:p>
        </w:tc>
      </w:tr>
      <w:tr>
        <w:trPr>
          <w:trHeight w:val="210"/>
        </w:trPr>
        <w:tc>
          <w:tcPr>
            <w:tcW w:w="59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11,571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24,384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43,330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44,670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23,718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24,466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47,940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10,214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13,484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27,495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27,926</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26,800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26,784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54,527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(Gain) loss on asset sales, net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45,021</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72,086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89,767</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218,015</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(14,837)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(35,468)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(69,305)</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Income (loss) before income taxes and loss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tcPr>
          <w:p>
            <w:pPr>
              <w:ind w:left="380"/>
              <w:spacing w:after="0" w:line="203" w:lineRule="exact"/>
              <w:rPr>
                <w:sz w:val="20"/>
                <w:szCs w:val="20"/>
                <w:color w:val="auto"/>
              </w:rPr>
            </w:pPr>
            <w:r>
              <w:rPr>
                <w:rFonts w:ascii="Arial" w:cs="Arial" w:eastAsia="Arial" w:hAnsi="Arial"/>
                <w:sz w:val="18"/>
                <w:szCs w:val="18"/>
                <w:color w:val="auto"/>
              </w:rPr>
              <w:t>from equity method investees</w:t>
            </w:r>
          </w:p>
        </w:tc>
        <w:tc>
          <w:tcPr>
            <w:tcW w:w="180" w:type="dxa"/>
            <w:vAlign w:val="bottom"/>
          </w:tcPr>
          <w:p>
            <w:pPr>
              <w:spacing w:after="0"/>
              <w:rPr>
                <w:sz w:val="17"/>
                <w:szCs w:val="17"/>
                <w:color w:val="auto"/>
              </w:rPr>
            </w:pPr>
          </w:p>
        </w:tc>
        <w:tc>
          <w:tcPr>
            <w:tcW w:w="11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6,030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(45,699)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(30,236)</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Loss from equity method investees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4,809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(32,105)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Less:</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2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Net income (loss) attributable to SMLP</w:t>
            </w: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(49,971)</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(32,105)</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attributable to General Partner,</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900" w:type="dxa"/>
            <w:vAlign w:val="bottom"/>
            <w:shd w:val="clear" w:color="auto" w:fill="CFF0FC"/>
          </w:tcPr>
          <w:p>
            <w:pPr>
              <w:ind w:left="320"/>
              <w:spacing w:after="0" w:line="203" w:lineRule="exact"/>
              <w:rPr>
                <w:sz w:val="20"/>
                <w:szCs w:val="20"/>
                <w:color w:val="auto"/>
              </w:rPr>
            </w:pPr>
            <w:r>
              <w:rPr>
                <w:rFonts w:ascii="Arial" w:cs="Arial" w:eastAsia="Arial" w:hAnsi="Arial"/>
                <w:sz w:val="18"/>
                <w:szCs w:val="18"/>
                <w:color w:val="auto"/>
              </w:rPr>
              <w:t>including IDRs</w:t>
            </w:r>
          </w:p>
        </w:tc>
        <w:tc>
          <w:tcPr>
            <w:tcW w:w="18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1,140</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3,198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Net income (loss) attributable to limited partners</w:t>
            </w: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4,809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(51,111)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(32,117)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attributable to Series A Preferred Units</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7,125</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7,125</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900" w:type="dxa"/>
            <w:vAlign w:val="bottom"/>
          </w:tcPr>
          <w:p>
            <w:pPr>
              <w:ind w:left="240"/>
              <w:spacing w:after="0"/>
              <w:rPr>
                <w:sz w:val="20"/>
                <w:szCs w:val="20"/>
                <w:color w:val="auto"/>
              </w:rPr>
            </w:pPr>
            <w:r>
              <w:rPr>
                <w:rFonts w:ascii="Arial" w:cs="Arial" w:eastAsia="Arial" w:hAnsi="Arial"/>
                <w:sz w:val="18"/>
                <w:szCs w:val="18"/>
                <w:color w:val="auto"/>
              </w:rPr>
              <w:t>Net loss attributable to common limited partners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(2,316)</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(58,236)</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(46,367)</w:t>
            </w:r>
          </w:p>
        </w:tc>
        <w:tc>
          <w:tcPr>
            <w:tcW w:w="14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4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Loss per limited partner unit: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basic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Weighted-average limited partner units outstanding:</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units – basic</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82,700</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73,356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79,266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73,245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units – diluted</w:t>
            </w:r>
          </w:p>
        </w:tc>
        <w:tc>
          <w:tcPr>
            <w:tcW w:w="180" w:type="dxa"/>
            <w:vAlign w:val="bottom"/>
          </w:tcPr>
          <w:p>
            <w:pPr>
              <w:spacing w:after="0"/>
              <w:rPr>
                <w:sz w:val="19"/>
                <w:szCs w:val="19"/>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82,700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73,356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79,266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73,245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PARTNERS' CAPITAL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4"/>
                <w:szCs w:val="14"/>
                <w:b w:val="1"/>
                <w:bCs w:val="1"/>
                <w:color w:val="auto"/>
              </w:rPr>
              <w:t>Partners' capital</w:t>
            </w:r>
          </w:p>
        </w:tc>
        <w:tc>
          <w:tcPr>
            <w:tcW w:w="1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20" w:type="dxa"/>
            <w:vAlign w:val="bottom"/>
            <w:gridSpan w:val="4"/>
          </w:tcPr>
          <w:p>
            <w:pPr>
              <w:jc w:val="center"/>
              <w:spacing w:after="0" w:line="156" w:lineRule="exact"/>
              <w:rPr>
                <w:sz w:val="20"/>
                <w:szCs w:val="20"/>
                <w:color w:val="auto"/>
              </w:rPr>
            </w:pPr>
            <w:r>
              <w:rPr>
                <w:rFonts w:ascii="Arial" w:cs="Arial" w:eastAsia="Arial" w:hAnsi="Arial"/>
                <w:sz w:val="14"/>
                <w:szCs w:val="14"/>
                <w:b w:val="1"/>
                <w:bCs w:val="1"/>
                <w:color w:val="auto"/>
              </w:rPr>
              <w:t>Series A Preferred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Borders>
              <w:bottom w:val="single" w:sz="8" w:color="auto"/>
            </w:tcBorders>
            <w:gridSpan w:val="3"/>
          </w:tcPr>
          <w:p>
            <w:pPr>
              <w:jc w:val="center"/>
              <w:ind w:left="395"/>
              <w:spacing w:after="0"/>
              <w:rPr>
                <w:sz w:val="20"/>
                <w:szCs w:val="20"/>
                <w:color w:val="auto"/>
              </w:rPr>
            </w:pPr>
            <w:r>
              <w:rPr>
                <w:rFonts w:ascii="Arial" w:cs="Arial" w:eastAsia="Arial" w:hAnsi="Arial"/>
                <w:sz w:val="14"/>
                <w:szCs w:val="14"/>
                <w:b w:val="1"/>
                <w:bCs w:val="1"/>
                <w:color w:val="auto"/>
              </w:rPr>
              <w:t>Units</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Common</w:t>
            </w:r>
          </w:p>
        </w:tc>
        <w:tc>
          <w:tcPr>
            <w:tcW w:w="1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General Partner</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3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535"/>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293,616</w:t>
            </w:r>
          </w:p>
        </w:tc>
        <w:tc>
          <w:tcPr>
            <w:tcW w:w="760" w:type="dxa"/>
            <w:vAlign w:val="bottom"/>
            <w:gridSpan w:val="3"/>
            <w:shd w:val="clear" w:color="auto" w:fill="CFF0FC"/>
          </w:tcPr>
          <w:p>
            <w:pPr>
              <w:jc w:val="right"/>
              <w:ind w:right="328"/>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902,358</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25,250</w:t>
            </w:r>
          </w:p>
        </w:tc>
        <w:tc>
          <w:tcPr>
            <w:tcW w:w="120" w:type="dxa"/>
            <w:vAlign w:val="bottom"/>
            <w:shd w:val="clear" w:color="auto" w:fill="CFF0FC"/>
          </w:tcPr>
          <w:p>
            <w:pPr>
              <w:spacing w:after="0"/>
              <w:rPr>
                <w:sz w:val="18"/>
                <w:szCs w:val="18"/>
                <w:color w:val="auto"/>
              </w:rPr>
            </w:pPr>
          </w:p>
        </w:tc>
        <w:tc>
          <w:tcPr>
            <w:tcW w:w="22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1,221,224</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(44,051)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(36,914)</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Conversion of General Partner economic</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interests</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rPr>
              <w:t>22,222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(22,222)</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(42,241)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(3,040)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(45,281)</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2,526</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Tax withholdings on vested SMLP LTIP</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awards</w:t>
            </w:r>
          </w:p>
        </w:tc>
        <w:tc>
          <w:tcPr>
            <w:tcW w:w="220" w:type="dxa"/>
            <w:vAlign w:val="bottom"/>
            <w:tcBorders>
              <w:bottom w:val="single" w:sz="8" w:color="CFF0FC"/>
            </w:tcBorders>
          </w:tcPr>
          <w:p>
            <w:pPr>
              <w:spacing w:after="0"/>
              <w:rPr>
                <w:sz w:val="17"/>
                <w:szCs w:val="17"/>
                <w:color w:val="auto"/>
              </w:rPr>
            </w:pPr>
          </w:p>
        </w:tc>
        <w:tc>
          <w:tcPr>
            <w:tcW w:w="4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(2,522)</w:t>
            </w:r>
          </w:p>
        </w:tc>
        <w:tc>
          <w:tcPr>
            <w:tcW w:w="14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2019</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7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300,741</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w w:val="98"/>
              </w:rPr>
              <w:t>838,292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1,139,033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7,125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(23,775)</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(38,025)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1,393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(95)</w:t>
            </w:r>
          </w:p>
        </w:tc>
        <w:tc>
          <w:tcPr>
            <w:tcW w:w="140" w:type="dxa"/>
            <w:vAlign w:val="bottom"/>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Arial" w:cs="Arial" w:eastAsia="Arial" w:hAnsi="Arial"/>
                <w:sz w:val="18"/>
                <w:szCs w:val="18"/>
                <w:b w:val="1"/>
                <w:bCs w:val="1"/>
                <w:color w:val="auto"/>
              </w:rPr>
              <w:t>Partners' capital, June 30, 2019</w:t>
            </w:r>
          </w:p>
        </w:tc>
        <w:tc>
          <w:tcPr>
            <w:tcW w:w="220" w:type="dxa"/>
            <w:vAlign w:val="bottom"/>
          </w:tcPr>
          <w:p>
            <w:pPr>
              <w:spacing w:after="0"/>
              <w:rPr>
                <w:sz w:val="18"/>
                <w:szCs w:val="18"/>
                <w:color w:val="auto"/>
              </w:rPr>
            </w:pPr>
          </w:p>
        </w:tc>
        <w:tc>
          <w:tcPr>
            <w:tcW w:w="1120" w:type="dxa"/>
            <w:vAlign w:val="bottom"/>
            <w:gridSpan w:val="2"/>
          </w:tcPr>
          <w:p>
            <w:pPr>
              <w:jc w:val="right"/>
              <w:ind w:right="535"/>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293,616</w:t>
            </w:r>
          </w:p>
        </w:tc>
        <w:tc>
          <w:tcPr>
            <w:tcW w:w="760" w:type="dxa"/>
            <w:vAlign w:val="bottom"/>
            <w:gridSpan w:val="3"/>
          </w:tcPr>
          <w:p>
            <w:pPr>
              <w:jc w:val="right"/>
              <w:ind w:right="32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813,499</w:t>
            </w:r>
          </w:p>
        </w:tc>
        <w:tc>
          <w:tcPr>
            <w:tcW w:w="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ind w:right="10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1,107,115</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jc w:val="right"/>
              <w:ind w:right="88"/>
              <w:spacing w:after="0"/>
              <w:rPr>
                <w:sz w:val="20"/>
                <w:szCs w:val="20"/>
                <w:color w:val="auto"/>
              </w:rPr>
            </w:pPr>
            <w:r>
              <w:rPr>
                <w:rFonts w:ascii="Arial" w:cs="Arial" w:eastAsia="Arial" w:hAnsi="Arial"/>
                <w:sz w:val="14"/>
                <w:szCs w:val="14"/>
                <w:b w:val="1"/>
                <w:bCs w:val="1"/>
                <w:color w:val="auto"/>
              </w:rPr>
              <w:t>Partners' capital</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Limited partners</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Noncontrolling</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2"/>
          </w:tcPr>
          <w:p>
            <w:pPr>
              <w:jc w:val="right"/>
              <w:ind w:right="355"/>
              <w:spacing w:after="0" w:line="156" w:lineRule="exact"/>
              <w:rPr>
                <w:sz w:val="20"/>
                <w:szCs w:val="20"/>
                <w:color w:val="auto"/>
              </w:rPr>
            </w:pPr>
            <w:r>
              <w:rPr>
                <w:rFonts w:ascii="Arial" w:cs="Arial" w:eastAsia="Arial" w:hAnsi="Arial"/>
                <w:sz w:val="14"/>
                <w:szCs w:val="14"/>
                <w:b w:val="1"/>
                <w:bCs w:val="1"/>
                <w:color w:val="auto"/>
              </w:rPr>
              <w:t>Series A</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340" w:type="dxa"/>
            <w:vAlign w:val="bottom"/>
            <w:tcBorders>
              <w:bottom w:val="single" w:sz="8" w:color="auto"/>
            </w:tcBorders>
            <w:gridSpan w:val="3"/>
          </w:tcPr>
          <w:p>
            <w:pPr>
              <w:jc w:val="right"/>
              <w:ind w:right="135"/>
              <w:spacing w:after="0"/>
              <w:rPr>
                <w:sz w:val="20"/>
                <w:szCs w:val="20"/>
                <w:color w:val="auto"/>
              </w:rPr>
            </w:pPr>
            <w:r>
              <w:rPr>
                <w:rFonts w:ascii="Arial" w:cs="Arial" w:eastAsia="Arial" w:hAnsi="Arial"/>
                <w:sz w:val="14"/>
                <w:szCs w:val="14"/>
                <w:b w:val="1"/>
                <w:bCs w:val="1"/>
                <w:color w:val="auto"/>
              </w:rPr>
              <w:t>Preferred Units</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Common</w:t>
            </w: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5"/>
          </w:tcPr>
          <w:p>
            <w:pPr>
              <w:jc w:val="right"/>
              <w:ind w:right="320"/>
              <w:spacing w:after="0"/>
              <w:rPr>
                <w:sz w:val="20"/>
                <w:szCs w:val="20"/>
                <w:color w:val="auto"/>
              </w:rPr>
            </w:pPr>
            <w:r>
              <w:rPr>
                <w:rFonts w:ascii="Arial" w:cs="Arial" w:eastAsia="Arial" w:hAnsi="Arial"/>
                <w:sz w:val="14"/>
                <w:szCs w:val="14"/>
                <w:b w:val="1"/>
                <w:bCs w:val="1"/>
                <w:color w:val="auto"/>
              </w:rPr>
              <w:t>General Partner</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4"/>
                <w:szCs w:val="14"/>
                <w:b w:val="1"/>
                <w:bCs w:val="1"/>
                <w:color w:val="auto"/>
              </w:rPr>
              <w:t>interest</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420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Partners' capital, December 31, 2017,</w:t>
            </w:r>
          </w:p>
        </w:tc>
        <w:tc>
          <w:tcPr>
            <w:tcW w:w="22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as reported</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294,426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1,056,510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27,920</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10,813</w:t>
            </w:r>
          </w:p>
        </w:tc>
        <w:tc>
          <w:tcPr>
            <w:tcW w:w="4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1,389,669</w:t>
            </w:r>
          </w:p>
        </w:tc>
        <w:tc>
          <w:tcPr>
            <w:tcW w:w="0" w:type="dxa"/>
            <w:vAlign w:val="bottom"/>
          </w:tcPr>
          <w:p>
            <w:pPr>
              <w:spacing w:after="0"/>
              <w:rPr>
                <w:sz w:val="1"/>
                <w:szCs w:val="1"/>
                <w:color w:val="auto"/>
              </w:rPr>
            </w:pPr>
          </w:p>
        </w:tc>
      </w:tr>
      <w:tr>
        <w:trPr>
          <w:trHeight w:val="215"/>
        </w:trPr>
        <w:tc>
          <w:tcPr>
            <w:tcW w:w="4200" w:type="dxa"/>
            <w:vAlign w:val="bottom"/>
          </w:tcPr>
          <w:p>
            <w:pPr>
              <w:spacing w:after="0"/>
              <w:rPr>
                <w:sz w:val="20"/>
                <w:szCs w:val="20"/>
                <w:color w:val="auto"/>
              </w:rPr>
            </w:pPr>
            <w:r>
              <w:rPr>
                <w:rFonts w:ascii="Arial" w:cs="Arial" w:eastAsia="Arial" w:hAnsi="Arial"/>
                <w:sz w:val="18"/>
                <w:szCs w:val="18"/>
                <w:color w:val="auto"/>
              </w:rPr>
              <w:t>January 1, 2018 impact of Topic 606</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tcBorders>
              <w:bottom w:val="single" w:sz="8" w:color="CFF0FC"/>
            </w:tcBorders>
          </w:tcPr>
          <w:p>
            <w:pPr>
              <w:ind w:left="200"/>
              <w:spacing w:after="0" w:line="203" w:lineRule="exact"/>
              <w:rPr>
                <w:sz w:val="20"/>
                <w:szCs w:val="20"/>
                <w:color w:val="auto"/>
              </w:rPr>
            </w:pPr>
            <w:r>
              <w:rPr>
                <w:rFonts w:ascii="Arial" w:cs="Arial" w:eastAsia="Arial" w:hAnsi="Arial"/>
                <w:sz w:val="18"/>
                <w:szCs w:val="18"/>
                <w:color w:val="auto"/>
              </w:rPr>
              <w:t>day 1 adoption</w:t>
            </w:r>
          </w:p>
        </w:tc>
        <w:tc>
          <w:tcPr>
            <w:tcW w:w="2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3"/>
          </w:tcPr>
          <w:p>
            <w:pPr>
              <w:jc w:val="right"/>
              <w:ind w:right="68"/>
              <w:spacing w:after="0" w:line="203" w:lineRule="exact"/>
              <w:rPr>
                <w:sz w:val="20"/>
                <w:szCs w:val="20"/>
                <w:color w:val="auto"/>
              </w:rPr>
            </w:pPr>
            <w:r>
              <w:rPr>
                <w:rFonts w:ascii="Arial" w:cs="Arial" w:eastAsia="Arial" w:hAnsi="Arial"/>
                <w:sz w:val="18"/>
                <w:szCs w:val="18"/>
                <w:color w:val="auto"/>
              </w:rPr>
              <w:t>4,130</w:t>
            </w:r>
          </w:p>
        </w:tc>
        <w:tc>
          <w:tcPr>
            <w:tcW w:w="1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48"/>
              <w:spacing w:after="0" w:line="203" w:lineRule="exact"/>
              <w:rPr>
                <w:sz w:val="20"/>
                <w:szCs w:val="20"/>
                <w:color w:val="auto"/>
              </w:rPr>
            </w:pPr>
            <w:r>
              <w:rPr>
                <w:rFonts w:ascii="Arial" w:cs="Arial" w:eastAsia="Arial" w:hAnsi="Arial"/>
                <w:sz w:val="18"/>
                <w:szCs w:val="18"/>
                <w:color w:val="auto"/>
              </w:rPr>
              <w:t>84</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
              <w:spacing w:after="0" w:line="203" w:lineRule="exact"/>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January 1, 2018</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294,426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1,060,640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28,004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10,813</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1,393,883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120" w:type="dxa"/>
            <w:vAlign w:val="bottom"/>
            <w:gridSpan w:val="2"/>
          </w:tcPr>
          <w:p>
            <w:pPr>
              <w:jc w:val="right"/>
              <w:ind w:right="35"/>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(13,113)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8"/>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(42,024)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(3,029)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(45,053)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8"/>
              <w:spacing w:after="0"/>
              <w:rPr>
                <w:sz w:val="20"/>
                <w:szCs w:val="20"/>
                <w:color w:val="auto"/>
              </w:rPr>
            </w:pPr>
            <w:r>
              <w:rPr>
                <w:rFonts w:ascii="Arial" w:cs="Arial" w:eastAsia="Arial" w:hAnsi="Arial"/>
                <w:sz w:val="18"/>
                <w:szCs w:val="18"/>
                <w:color w:val="auto"/>
              </w:rPr>
              <w:t>1,979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spacing w:after="0" w:line="203" w:lineRule="exact"/>
              <w:rPr>
                <w:sz w:val="20"/>
                <w:szCs w:val="20"/>
                <w:color w:val="auto"/>
              </w:rPr>
            </w:pPr>
            <w:r>
              <w:rPr>
                <w:rFonts w:ascii="Arial" w:cs="Arial" w:eastAsia="Arial" w:hAnsi="Arial"/>
                <w:sz w:val="18"/>
                <w:szCs w:val="18"/>
                <w:color w:val="auto"/>
              </w:rPr>
              <w:t>(1,943)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(1,943)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4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Partners' capital, March 31, 2018</w:t>
            </w: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300,741</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1,005,409</w:t>
            </w: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27,033</w:t>
            </w:r>
          </w:p>
        </w:tc>
        <w:tc>
          <w:tcPr>
            <w:tcW w:w="1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10,898</w:t>
            </w: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1,344,081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Net income (loss)</w:t>
            </w:r>
          </w:p>
        </w:tc>
        <w:tc>
          <w:tcPr>
            <w:tcW w:w="220" w:type="dxa"/>
            <w:vAlign w:val="bottom"/>
          </w:tcPr>
          <w:p>
            <w:pPr>
              <w:spacing w:after="0"/>
              <w:rPr>
                <w:sz w:val="18"/>
                <w:szCs w:val="18"/>
                <w:color w:val="auto"/>
              </w:rPr>
            </w:pPr>
          </w:p>
        </w:tc>
        <w:tc>
          <w:tcPr>
            <w:tcW w:w="1120" w:type="dxa"/>
            <w:vAlign w:val="bottom"/>
            <w:gridSpan w:val="2"/>
          </w:tcPr>
          <w:p>
            <w:pPr>
              <w:jc w:val="right"/>
              <w:ind w:right="35"/>
              <w:spacing w:after="0"/>
              <w:rPr>
                <w:sz w:val="20"/>
                <w:szCs w:val="20"/>
                <w:color w:val="auto"/>
              </w:rPr>
            </w:pPr>
            <w:r>
              <w:rPr>
                <w:rFonts w:ascii="Arial" w:cs="Arial" w:eastAsia="Arial" w:hAnsi="Arial"/>
                <w:sz w:val="18"/>
                <w:szCs w:val="18"/>
                <w:color w:val="auto"/>
              </w:rPr>
              <w:t>7,125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(58,236)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3"/>
          </w:tcPr>
          <w:p>
            <w:pPr>
              <w:jc w:val="right"/>
              <w:ind w:right="48"/>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(49,913)</w:t>
            </w: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unitholders</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(42,180)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(3,036)</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(59,466)</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Unit-based compensation</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gridSpan w:val="3"/>
          </w:tcPr>
          <w:p>
            <w:pPr>
              <w:jc w:val="right"/>
              <w:ind w:right="68"/>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5"/>
        </w:trPr>
        <w:tc>
          <w:tcPr>
            <w:tcW w:w="4200" w:type="dxa"/>
            <w:vAlign w:val="bottom"/>
            <w:shd w:val="clear" w:color="auto" w:fill="CFF0FC"/>
          </w:tcPr>
          <w:p>
            <w:pPr>
              <w:spacing w:after="0"/>
              <w:rPr>
                <w:sz w:val="20"/>
                <w:szCs w:val="20"/>
                <w:color w:val="auto"/>
              </w:rPr>
            </w:pPr>
            <w:r>
              <w:rPr>
                <w:rFonts w:ascii="Arial" w:cs="Arial" w:eastAsia="Arial" w:hAnsi="Arial"/>
                <w:sz w:val="18"/>
                <w:szCs w:val="18"/>
                <w:color w:val="auto"/>
              </w:rPr>
              <w:t>Tax withholdings on vested SMLP LTIP</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0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awards</w:t>
            </w:r>
          </w:p>
        </w:tc>
        <w:tc>
          <w:tcPr>
            <w:tcW w:w="2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35"/>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ind w:right="68"/>
              <w:spacing w:after="0" w:line="203" w:lineRule="exact"/>
              <w:rPr>
                <w:sz w:val="20"/>
                <w:szCs w:val="20"/>
                <w:color w:val="auto"/>
              </w:rPr>
            </w:pPr>
            <w:r>
              <w:rPr>
                <w:rFonts w:ascii="Arial" w:cs="Arial" w:eastAsia="Arial" w:hAnsi="Arial"/>
                <w:sz w:val="18"/>
                <w:szCs w:val="18"/>
                <w:color w:val="auto"/>
              </w:rPr>
              <w:t>103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60" w:type="dxa"/>
            <w:vAlign w:val="bottom"/>
            <w:gridSpan w:val="3"/>
            <w:shd w:val="clear" w:color="auto" w:fill="CFF0FC"/>
          </w:tcPr>
          <w:p>
            <w:pPr>
              <w:jc w:val="right"/>
              <w:ind w:right="26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Partners' capital, June 30, 2018</w:t>
            </w: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35"/>
              <w:spacing w:after="0"/>
              <w:rPr>
                <w:sz w:val="20"/>
                <w:szCs w:val="20"/>
                <w:color w:val="auto"/>
              </w:rPr>
            </w:pPr>
            <w:r>
              <w:rPr>
                <w:rFonts w:ascii="Arial" w:cs="Arial" w:eastAsia="Arial" w:hAnsi="Arial"/>
                <w:sz w:val="18"/>
                <w:szCs w:val="18"/>
                <w:color w:val="auto"/>
              </w:rPr>
              <w:t>293,616</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4"/>
            <w:shd w:val="clear" w:color="auto" w:fill="CFF0FC"/>
          </w:tcPr>
          <w:p>
            <w:pPr>
              <w:jc w:val="right"/>
              <w:ind w:right="68"/>
              <w:spacing w:after="0"/>
              <w:rPr>
                <w:sz w:val="20"/>
                <w:szCs w:val="20"/>
                <w:color w:val="auto"/>
              </w:rPr>
            </w:pPr>
            <w:r>
              <w:rPr>
                <w:rFonts w:ascii="Arial" w:cs="Arial" w:eastAsia="Arial" w:hAnsi="Arial"/>
                <w:sz w:val="18"/>
                <w:szCs w:val="18"/>
                <w:color w:val="auto"/>
              </w:rPr>
              <w:t>907,099</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FF0FC"/>
          </w:tcPr>
          <w:p>
            <w:pPr>
              <w:jc w:val="right"/>
              <w:ind w:right="48"/>
              <w:spacing w:after="0"/>
              <w:rPr>
                <w:sz w:val="20"/>
                <w:szCs w:val="20"/>
                <w:color w:val="auto"/>
              </w:rPr>
            </w:pPr>
            <w:r>
              <w:rPr>
                <w:rFonts w:ascii="Arial" w:cs="Arial" w:eastAsia="Arial" w:hAnsi="Arial"/>
                <w:sz w:val="18"/>
                <w:szCs w:val="18"/>
                <w:color w:val="auto"/>
              </w:rPr>
              <w:t>25,137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10,956</w:t>
            </w:r>
          </w:p>
        </w:tc>
        <w:tc>
          <w:tcPr>
            <w:tcW w:w="44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1,236,808</w:t>
            </w:r>
          </w:p>
        </w:tc>
        <w:tc>
          <w:tcPr>
            <w:tcW w:w="0" w:type="dxa"/>
            <w:vAlign w:val="bottom"/>
          </w:tcPr>
          <w:p>
            <w:pPr>
              <w:spacing w:after="0"/>
              <w:rPr>
                <w:sz w:val="1"/>
                <w:szCs w:val="1"/>
                <w:color w:val="auto"/>
              </w:rPr>
            </w:pPr>
          </w:p>
        </w:tc>
      </w:tr>
      <w:tr>
        <w:trPr>
          <w:trHeight w:val="20"/>
        </w:trPr>
        <w:tc>
          <w:tcPr>
            <w:tcW w:w="4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 CONDENSED CONSOLIDATED STATEMENTS OF CASH FLOWS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center"/>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r>
      <w:tr>
        <w:trPr>
          <w:trHeight w:val="169"/>
        </w:trPr>
        <w:tc>
          <w:tcPr>
            <w:tcW w:w="50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center"/>
              <w:ind w:left="632"/>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Net loss</w:t>
            </w:r>
          </w:p>
        </w:tc>
        <w:tc>
          <w:tcPr>
            <w:tcW w:w="3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(32,105)</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(53,758)</w:t>
            </w:r>
          </w:p>
        </w:tc>
      </w:tr>
      <w:tr>
        <w:trPr>
          <w:trHeight w:val="193"/>
        </w:trPr>
        <w:tc>
          <w:tcPr>
            <w:tcW w:w="502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Adjustments to reconcile net loss to net</w:t>
            </w:r>
          </w:p>
        </w:tc>
        <w:tc>
          <w:tcPr>
            <w:tcW w:w="282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25"/>
        </w:trPr>
        <w:tc>
          <w:tcPr>
            <w:tcW w:w="50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cash provided by operating activities:</w:t>
            </w:r>
          </w:p>
        </w:tc>
        <w:tc>
          <w:tcPr>
            <w:tcW w:w="2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55,279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53,160</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Noncash lease expense</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1,530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Amortization of debt issuance costs</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2,175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2,086</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Deferred Purchase Price Obligation</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8,139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90,963</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Unit-based and noncash compensation</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4,079</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4,223</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Loss from equity method investees</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2,534</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Distributions from equity method investees</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18,217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17,124</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asset sales, net</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020" w:type="dxa"/>
            <w:vAlign w:val="bottom"/>
          </w:tcPr>
          <w:p>
            <w:pPr>
              <w:ind w:left="140"/>
              <w:spacing w:after="0"/>
              <w:rPr>
                <w:sz w:val="20"/>
                <w:szCs w:val="20"/>
                <w:color w:val="auto"/>
              </w:rPr>
            </w:pPr>
            <w:r>
              <w:rPr>
                <w:rFonts w:ascii="Arial" w:cs="Arial" w:eastAsia="Arial" w:hAnsi="Arial"/>
                <w:sz w:val="18"/>
                <w:szCs w:val="18"/>
                <w:color w:val="auto"/>
              </w:rPr>
              <w:t>Long-lived asset impairment</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45,021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587</w:t>
            </w:r>
          </w:p>
        </w:tc>
      </w:tr>
      <w:tr>
        <w:trPr>
          <w:trHeight w:val="216"/>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Changes in operating assets and liabilities:</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13,237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(6,265)</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 accounts payable</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(12,537)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6,934</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Due from (to) affiliate</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Deferred revenue, net</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2,007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3,281</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 valorem taxes payable</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(3,265)</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(1,825)</w:t>
            </w:r>
          </w:p>
        </w:tc>
      </w:tr>
      <w:tr>
        <w:trPr>
          <w:trHeight w:val="216"/>
        </w:trPr>
        <w:tc>
          <w:tcPr>
            <w:tcW w:w="5020" w:type="dxa"/>
            <w:vAlign w:val="bottom"/>
          </w:tcPr>
          <w:p>
            <w:pPr>
              <w:ind w:left="260"/>
              <w:spacing w:after="0"/>
              <w:rPr>
                <w:sz w:val="20"/>
                <w:szCs w:val="20"/>
                <w:color w:val="auto"/>
              </w:rPr>
            </w:pPr>
            <w:r>
              <w:rPr>
                <w:rFonts w:ascii="Arial" w:cs="Arial" w:eastAsia="Arial" w:hAnsi="Arial"/>
                <w:sz w:val="18"/>
                <w:szCs w:val="18"/>
                <w:color w:val="auto"/>
              </w:rPr>
              <w:t>Accrued interest</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0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environmental remediation, net</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50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net</w:t>
            </w:r>
          </w:p>
        </w:tc>
        <w:tc>
          <w:tcPr>
            <w:tcW w:w="282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(2,581)</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(2,647)</w:t>
            </w:r>
          </w:p>
        </w:tc>
      </w:tr>
      <w:tr>
        <w:trPr>
          <w:trHeight w:val="210"/>
        </w:trPr>
        <w:tc>
          <w:tcPr>
            <w:tcW w:w="50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96,246</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110,049</w:t>
            </w:r>
          </w:p>
        </w:tc>
      </w:tr>
      <w:tr>
        <w:trPr>
          <w:trHeight w:val="210"/>
        </w:trPr>
        <w:tc>
          <w:tcPr>
            <w:tcW w:w="50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(111,092)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(90,394)</w:t>
            </w:r>
          </w:p>
        </w:tc>
      </w:tr>
      <w:tr>
        <w:trPr>
          <w:trHeight w:val="215"/>
        </w:trPr>
        <w:tc>
          <w:tcPr>
            <w:tcW w:w="5020" w:type="dxa"/>
            <w:vAlign w:val="bottom"/>
          </w:tcPr>
          <w:p>
            <w:pPr>
              <w:spacing w:after="0"/>
              <w:rPr>
                <w:sz w:val="20"/>
                <w:szCs w:val="20"/>
                <w:color w:val="auto"/>
              </w:rPr>
            </w:pPr>
            <w:r>
              <w:rPr>
                <w:rFonts w:ascii="Arial" w:cs="Arial" w:eastAsia="Arial" w:hAnsi="Arial"/>
                <w:sz w:val="18"/>
                <w:szCs w:val="18"/>
                <w:color w:val="auto"/>
              </w:rPr>
              <w:t>Proceeds from asset sale (net of cash of $1,475 for the</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3"/>
        </w:trPr>
        <w:tc>
          <w:tcPr>
            <w:tcW w:w="5020" w:type="dxa"/>
            <w:vAlign w:val="bottom"/>
          </w:tcPr>
          <w:p>
            <w:pPr>
              <w:ind w:left="200"/>
              <w:spacing w:after="0" w:line="203" w:lineRule="exact"/>
              <w:rPr>
                <w:sz w:val="20"/>
                <w:szCs w:val="20"/>
                <w:color w:val="auto"/>
              </w:rPr>
            </w:pPr>
            <w:r>
              <w:rPr>
                <w:rFonts w:ascii="Arial" w:cs="Arial" w:eastAsia="Arial" w:hAnsi="Arial"/>
                <w:sz w:val="18"/>
                <w:szCs w:val="18"/>
                <w:color w:val="auto"/>
              </w:rPr>
              <w:t>six months ended June 30, 2019)</w:t>
            </w:r>
          </w:p>
        </w:tc>
        <w:tc>
          <w:tcPr>
            <w:tcW w:w="2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89,761</w:t>
            </w: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496</w:t>
            </w: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Distribution from equity method investment</w:t>
            </w:r>
          </w:p>
        </w:tc>
        <w:tc>
          <w:tcPr>
            <w:tcW w:w="2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7,252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Investment in equity method investee</w:t>
            </w:r>
          </w:p>
        </w:tc>
        <w:tc>
          <w:tcPr>
            <w:tcW w:w="2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(5,921)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16"/>
        </w:trPr>
        <w:tc>
          <w:tcPr>
            <w:tcW w:w="5020" w:type="dxa"/>
            <w:vAlign w:val="bottom"/>
            <w:shd w:val="clear" w:color="auto" w:fill="CFF0FC"/>
          </w:tcPr>
          <w:p>
            <w:pPr>
              <w:spacing w:after="0"/>
              <w:rPr>
                <w:sz w:val="20"/>
                <w:szCs w:val="20"/>
                <w:color w:val="auto"/>
              </w:rPr>
            </w:pPr>
            <w:r>
              <w:rPr>
                <w:rFonts w:ascii="Arial" w:cs="Arial" w:eastAsia="Arial" w:hAnsi="Arial"/>
                <w:sz w:val="18"/>
                <w:szCs w:val="18"/>
                <w:color w:val="auto"/>
              </w:rPr>
              <w:t>Other, net</w:t>
            </w:r>
          </w:p>
        </w:tc>
        <w:tc>
          <w:tcPr>
            <w:tcW w:w="282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w:t>
            </w:r>
          </w:p>
        </w:tc>
      </w:tr>
      <w:tr>
        <w:trPr>
          <w:trHeight w:val="210"/>
        </w:trPr>
        <w:tc>
          <w:tcPr>
            <w:tcW w:w="5020" w:type="dxa"/>
            <w:vAlign w:val="bottom"/>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(20,160)</w:t>
            </w:r>
          </w:p>
        </w:tc>
        <w:tc>
          <w:tcPr>
            <w:tcW w:w="1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(90,204)</w:t>
            </w:r>
          </w:p>
        </w:tc>
      </w:tr>
      <w:tr>
        <w:trPr>
          <w:trHeight w:val="426"/>
        </w:trPr>
        <w:tc>
          <w:tcPr>
            <w:tcW w:w="5020" w:type="dxa"/>
            <w:vAlign w:val="bottom"/>
          </w:tcPr>
          <w:p>
            <w:pPr>
              <w:spacing w:after="0"/>
              <w:rPr>
                <w:sz w:val="24"/>
                <w:szCs w:val="24"/>
                <w:color w:val="auto"/>
              </w:rPr>
            </w:pPr>
          </w:p>
        </w:tc>
        <w:tc>
          <w:tcPr>
            <w:tcW w:w="2820" w:type="dxa"/>
            <w:vAlign w:val="bottom"/>
          </w:tcPr>
          <w:p>
            <w:pPr>
              <w:jc w:val="right"/>
              <w:ind w:right="1990"/>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2"/>
        </w:trPr>
        <w:tc>
          <w:tcPr>
            <w:tcW w:w="502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spacing w:after="0" w:line="241" w:lineRule="auto"/>
        <w:rPr>
          <w:sz w:val="20"/>
          <w:szCs w:val="20"/>
          <w:color w:val="auto"/>
        </w:rPr>
      </w:pPr>
      <w:r>
        <w:rPr>
          <w:rFonts w:ascii="Arial" w:cs="Arial" w:eastAsia="Arial" w:hAnsi="Arial"/>
          <w:sz w:val="20"/>
          <w:szCs w:val="20"/>
          <w:b w:val="1"/>
          <w:bCs w:val="1"/>
          <w:color w:val="auto"/>
        </w:rPr>
        <w:t>SUMMIT MIDSTREAM PARTNERS, LP AND SUBSIDIARIES UNAUDITED CONDENSED CONSOLIDATED STATEMENTS OF CASH FLOWS (continued)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5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Distributions to unitholders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(69,056)</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Series A Preferred unitholders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Borrowings under Revolving Credit Facility</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233,000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148,000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Repayments under Revolving Credit Facility</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(126,000)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(53,000)</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Repayment of Deferred Purchase Price Obligation</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Debt issuance costs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(3,534)</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(79,896)</w:t>
            </w:r>
          </w:p>
        </w:tc>
        <w:tc>
          <w:tcPr>
            <w:tcW w:w="180" w:type="dxa"/>
            <w:vAlign w:val="bottom"/>
            <w:tcBorders>
              <w:top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(3,810)</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128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4,345</w:t>
            </w:r>
          </w:p>
        </w:tc>
        <w:tc>
          <w:tcPr>
            <w:tcW w:w="180" w:type="dxa"/>
            <w:vAlign w:val="bottom"/>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50"/>
        </w:trPr>
        <w:tc>
          <w:tcPr>
            <w:tcW w:w="65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16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535</w:t>
            </w:r>
          </w:p>
        </w:tc>
        <w:tc>
          <w:tcPr>
            <w:tcW w:w="18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8,212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220" w:type="dxa"/>
            <w:vAlign w:val="bottom"/>
            <w:tcBorders>
              <w:top w:val="single" w:sz="8" w:color="auto"/>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b w:val="1"/>
                <w:bCs w:val="1"/>
                <w:color w:val="auto"/>
              </w:rPr>
              <w:t>Supplemental cash flow disclosures:</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interest paid</w:t>
            </w:r>
          </w:p>
        </w:tc>
        <w:tc>
          <w:tcPr>
            <w:tcW w:w="1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37,506</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30,962</w:t>
            </w:r>
          </w:p>
        </w:tc>
        <w:tc>
          <w:tcPr>
            <w:tcW w:w="0" w:type="dxa"/>
            <w:vAlign w:val="bottom"/>
          </w:tcPr>
          <w:p>
            <w:pPr>
              <w:spacing w:after="0"/>
              <w:rPr>
                <w:sz w:val="1"/>
                <w:szCs w:val="1"/>
                <w:color w:val="auto"/>
              </w:rPr>
            </w:pPr>
          </w:p>
        </w:tc>
      </w:tr>
      <w:tr>
        <w:trPr>
          <w:trHeight w:val="216"/>
        </w:trPr>
        <w:tc>
          <w:tcPr>
            <w:tcW w:w="6560" w:type="dxa"/>
            <w:vAlign w:val="bottom"/>
            <w:gridSpan w:val="2"/>
          </w:tcPr>
          <w:p>
            <w:pPr>
              <w:spacing w:after="0"/>
              <w:rPr>
                <w:sz w:val="20"/>
                <w:szCs w:val="20"/>
                <w:color w:val="auto"/>
              </w:rPr>
            </w:pPr>
            <w:r>
              <w:rPr>
                <w:rFonts w:ascii="Arial" w:cs="Arial" w:eastAsia="Arial" w:hAnsi="Arial"/>
                <w:sz w:val="18"/>
                <w:szCs w:val="18"/>
                <w:color w:val="auto"/>
              </w:rPr>
              <w:t>Less capitalized interest</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2"/>
              <w:spacing w:after="0"/>
              <w:rPr>
                <w:sz w:val="20"/>
                <w:szCs w:val="20"/>
                <w:color w:val="auto"/>
              </w:rPr>
            </w:pPr>
            <w:r>
              <w:rPr>
                <w:rFonts w:ascii="Arial" w:cs="Arial" w:eastAsia="Arial" w:hAnsi="Arial"/>
                <w:sz w:val="18"/>
                <w:szCs w:val="18"/>
                <w:color w:val="auto"/>
              </w:rPr>
              <w:t>4,361</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1"/>
              <w:spacing w:after="0"/>
              <w:rPr>
                <w:sz w:val="20"/>
                <w:szCs w:val="20"/>
                <w:color w:val="auto"/>
              </w:rPr>
            </w:pPr>
            <w:r>
              <w:rPr>
                <w:rFonts w:ascii="Arial" w:cs="Arial" w:eastAsia="Arial" w:hAnsi="Arial"/>
                <w:sz w:val="18"/>
                <w:szCs w:val="18"/>
                <w:color w:val="auto"/>
              </w:rPr>
              <w:t>3,085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Interest paid (net of capitalized interest)</w:t>
            </w:r>
          </w:p>
        </w:tc>
        <w:tc>
          <w:tcPr>
            <w:tcW w:w="1280" w:type="dxa"/>
            <w:vAlign w:val="bottom"/>
            <w:tcBorders>
              <w:top w:val="single" w:sz="8" w:color="CFF0FC"/>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33,145</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27,877</w:t>
            </w:r>
          </w:p>
        </w:tc>
        <w:tc>
          <w:tcPr>
            <w:tcW w:w="0" w:type="dxa"/>
            <w:vAlign w:val="bottom"/>
          </w:tcPr>
          <w:p>
            <w:pPr>
              <w:spacing w:after="0"/>
              <w:rPr>
                <w:sz w:val="1"/>
                <w:szCs w:val="1"/>
                <w:color w:val="auto"/>
              </w:rPr>
            </w:pPr>
          </w:p>
        </w:tc>
      </w:tr>
      <w:tr>
        <w:trPr>
          <w:trHeight w:val="20"/>
        </w:trPr>
        <w:tc>
          <w:tcPr>
            <w:tcW w:w="65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taxes</w:t>
            </w:r>
          </w:p>
        </w:tc>
        <w:tc>
          <w:tcPr>
            <w:tcW w:w="16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2"/>
          </w:tcPr>
          <w:p>
            <w:pPr>
              <w:spacing w:after="0"/>
              <w:rPr>
                <w:sz w:val="20"/>
                <w:szCs w:val="20"/>
                <w:color w:val="auto"/>
              </w:rPr>
            </w:pPr>
            <w:r>
              <w:rPr>
                <w:rFonts w:ascii="Arial" w:cs="Arial" w:eastAsia="Arial" w:hAnsi="Arial"/>
                <w:sz w:val="18"/>
                <w:szCs w:val="18"/>
                <w:color w:val="auto"/>
              </w:rPr>
              <w:t>Capital expenditures in trade accounts payable (period-end</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80"/>
              <w:spacing w:after="0" w:line="203" w:lineRule="exact"/>
              <w:rPr>
                <w:sz w:val="20"/>
                <w:szCs w:val="20"/>
                <w:color w:val="auto"/>
              </w:rPr>
            </w:pPr>
            <w:r>
              <w:rPr>
                <w:rFonts w:ascii="Arial" w:cs="Arial" w:eastAsia="Arial" w:hAnsi="Arial"/>
                <w:sz w:val="18"/>
                <w:szCs w:val="18"/>
                <w:color w:val="auto"/>
              </w:rPr>
              <w:t>accruals)</w:t>
            </w:r>
          </w:p>
        </w:tc>
        <w:tc>
          <w:tcPr>
            <w:tcW w:w="1640" w:type="dxa"/>
            <w:vAlign w:val="bottom"/>
            <w:gridSpan w:val="2"/>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3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22,051</w:t>
            </w:r>
          </w:p>
        </w:tc>
        <w:tc>
          <w:tcPr>
            <w:tcW w:w="180" w:type="dxa"/>
            <w:vAlign w:val="bottom"/>
          </w:tcPr>
          <w:p>
            <w:pPr>
              <w:spacing w:after="0"/>
              <w:rPr>
                <w:sz w:val="17"/>
                <w:szCs w:val="17"/>
                <w:color w:val="auto"/>
              </w:rPr>
            </w:pPr>
          </w:p>
        </w:tc>
        <w:tc>
          <w:tcPr>
            <w:tcW w:w="500" w:type="dxa"/>
            <w:vAlign w:val="bottom"/>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20,598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Asset contribution to an equity method investment</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23,643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560" w:type="dxa"/>
            <w:vAlign w:val="bottom"/>
            <w:gridSpan w:val="2"/>
          </w:tcPr>
          <w:p>
            <w:pPr>
              <w:spacing w:after="0"/>
              <w:rPr>
                <w:sz w:val="20"/>
                <w:szCs w:val="20"/>
                <w:color w:val="auto"/>
              </w:rPr>
            </w:pPr>
            <w:r>
              <w:rPr>
                <w:rFonts w:ascii="Arial" w:cs="Arial" w:eastAsia="Arial" w:hAnsi="Arial"/>
                <w:sz w:val="18"/>
                <w:szCs w:val="18"/>
                <w:color w:val="auto"/>
              </w:rPr>
              <w:t>Capital expenditures relating to contributions in aid of construction</w:t>
            </w:r>
          </w:p>
        </w:tc>
        <w:tc>
          <w:tcPr>
            <w:tcW w:w="1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40" w:type="dxa"/>
            <w:vAlign w:val="bottom"/>
          </w:tcPr>
          <w:p>
            <w:pPr>
              <w:ind w:left="180"/>
              <w:spacing w:after="0" w:line="203" w:lineRule="exact"/>
              <w:rPr>
                <w:sz w:val="20"/>
                <w:szCs w:val="20"/>
                <w:color w:val="auto"/>
              </w:rPr>
            </w:pPr>
            <w:r>
              <w:rPr>
                <w:rFonts w:ascii="Arial" w:cs="Arial" w:eastAsia="Arial" w:hAnsi="Arial"/>
                <w:sz w:val="18"/>
                <w:szCs w:val="18"/>
                <w:color w:val="auto"/>
              </w:rPr>
              <w:t>for Topic 606 day 1 adoption</w:t>
            </w:r>
          </w:p>
        </w:tc>
        <w:tc>
          <w:tcPr>
            <w:tcW w:w="1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00" w:type="dxa"/>
            <w:vAlign w:val="bottom"/>
            <w:gridSpan w:val="2"/>
          </w:tcPr>
          <w:p>
            <w:pPr>
              <w:jc w:val="right"/>
              <w:ind w:right="300"/>
              <w:spacing w:after="0" w:line="203"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20" w:type="dxa"/>
            <w:vAlign w:val="bottom"/>
          </w:tcPr>
          <w:p>
            <w:pPr>
              <w:jc w:val="right"/>
              <w:ind w:right="51"/>
              <w:spacing w:after="0" w:line="203" w:lineRule="exact"/>
              <w:rPr>
                <w:sz w:val="20"/>
                <w:szCs w:val="20"/>
                <w:color w:val="auto"/>
              </w:rPr>
            </w:pPr>
            <w:r>
              <w:rPr>
                <w:rFonts w:ascii="Arial" w:cs="Arial" w:eastAsia="Arial" w:hAnsi="Arial"/>
                <w:sz w:val="18"/>
                <w:szCs w:val="18"/>
                <w:color w:val="auto"/>
              </w:rPr>
              <w:t>33,123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FF0FC"/>
          </w:tcPr>
          <w:p>
            <w:pPr>
              <w:spacing w:after="0"/>
              <w:rPr>
                <w:sz w:val="20"/>
                <w:szCs w:val="20"/>
                <w:color w:val="auto"/>
              </w:rPr>
            </w:pPr>
            <w:r>
              <w:rPr>
                <w:rFonts w:ascii="Arial" w:cs="Arial" w:eastAsia="Arial" w:hAnsi="Arial"/>
                <w:sz w:val="18"/>
                <w:szCs w:val="18"/>
                <w:color w:val="auto"/>
              </w:rPr>
              <w:t>Right-of-use assets relating to Topic 842</w:t>
            </w:r>
          </w:p>
        </w:tc>
        <w:tc>
          <w:tcPr>
            <w:tcW w:w="1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5,448</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ind w:right="-79"/>
        <w:spacing w:after="0"/>
        <w:rPr>
          <w:sz w:val="20"/>
          <w:szCs w:val="20"/>
          <w:color w:val="auto"/>
        </w:rPr>
      </w:pPr>
      <w:r>
        <w:rPr>
          <w:rFonts w:ascii="Arial" w:cs="Arial" w:eastAsia="Arial" w:hAnsi="Arial"/>
          <w:sz w:val="20"/>
          <w:szCs w:val="20"/>
          <w:b w:val="1"/>
          <w:bCs w:val="1"/>
          <w:color w:val="auto"/>
        </w:rPr>
        <w:t>SUMMIT MIDSTREAM PARTNERS, LP AND SUBSIDIARIES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NOTES TO UNAUDITED CONDENSED CONSOLIDATED FINANCIAL STATEMENTS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BUSINESS OPERATIONS AND PRESENTATION AND CONSOLIDATION</w:t>
      </w:r>
    </w:p>
    <w:p>
      <w:pPr>
        <w:spacing w:after="0" w:line="104" w:lineRule="exact"/>
        <w:rPr>
          <w:sz w:val="20"/>
          <w:szCs w:val="20"/>
          <w:color w:val="auto"/>
        </w:rPr>
      </w:pPr>
    </w:p>
    <w:p>
      <w:pPr>
        <w:ind w:right="40"/>
        <w:spacing w:after="0" w:line="245" w:lineRule="auto"/>
        <w:rPr>
          <w:sz w:val="20"/>
          <w:szCs w:val="20"/>
          <w:color w:val="auto"/>
        </w:rPr>
      </w:pPr>
      <w:r>
        <w:rPr>
          <w:rFonts w:ascii="Arial" w:cs="Arial" w:eastAsia="Arial" w:hAnsi="Arial"/>
          <w:sz w:val="18"/>
          <w:szCs w:val="18"/>
          <w:b w:val="1"/>
          <w:bCs w:val="1"/>
          <w:i w:val="1"/>
          <w:iCs w:val="1"/>
          <w:color w:val="auto"/>
        </w:rPr>
        <w:t xml:space="preserve">Organization. </w:t>
      </w:r>
      <w:r>
        <w:rPr>
          <w:rFonts w:ascii="Arial" w:cs="Arial" w:eastAsia="Arial" w:hAnsi="Arial"/>
          <w:sz w:val="18"/>
          <w:szCs w:val="18"/>
          <w:color w:val="auto"/>
        </w:rPr>
        <w:t>SMLP, a Delaware limited partnership, was formed in May 2012 and began operations in October 2012. SMLP is a growth-oriented limited partnership focused on developing, owning and operating midstream energy infrastructure assets that are strategically located in the core producing areas of unconventional resource basins, primarily shale formations, in the continental United States. Our business activities are conducted through various operating subsidiaries, each of which is owned or controlled by our wholly owned subsidiary holding company, Summit Holdings, a Delaware limited liability company. References to the "Partnership," "we," or "our" refer collectively to SMLP and its subsidiaries.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color w:val="auto"/>
        </w:rPr>
        <w:t>The General Partner, a Delaware limited liability company, manages our operations and activities. Summit Investments, a Delaware limited liability company, is the ultimate owner of our General Partner and has the right to appoint the entire Board of Directors. Summit Investments is controlled by Energy Capital Partners.</w:t>
      </w:r>
    </w:p>
    <w:p>
      <w:pPr>
        <w:spacing w:after="0" w:line="95" w:lineRule="exact"/>
        <w:rPr>
          <w:sz w:val="20"/>
          <w:szCs w:val="20"/>
          <w:color w:val="auto"/>
        </w:rPr>
      </w:pPr>
    </w:p>
    <w:p>
      <w:pPr>
        <w:ind w:right="160"/>
        <w:spacing w:after="0" w:line="243" w:lineRule="auto"/>
        <w:rPr>
          <w:sz w:val="20"/>
          <w:szCs w:val="20"/>
          <w:color w:val="auto"/>
        </w:rPr>
      </w:pPr>
      <w:r>
        <w:rPr>
          <w:rFonts w:ascii="Arial" w:cs="Arial" w:eastAsia="Arial" w:hAnsi="Arial"/>
          <w:sz w:val="18"/>
          <w:szCs w:val="18"/>
          <w:color w:val="auto"/>
        </w:rPr>
        <w:t>Summit Investments owned an approximate 2% general partner interest in SMLP (including the IDRs) until March 22, 2019. On March 22, 2019, we executed an equity restructuring agreement with the General Partner and SMP Holdings pursuant to which the IDRs and the 2% general partner interest were converted into a non-economic general partner interest in exchange for 8,750,000 common units which were issued to SMP Holdings (the “Equity Restructuring”). As of June 30, 2019, SMP Holdings, a wholly owned subsidiary of Summit Investments, beneficially owned 34,604,581 SMLP common units and a subsidiary of Energy Capital Partners directly owned 5,915,827 SMLP common units.</w:t>
      </w:r>
    </w:p>
    <w:p>
      <w:pPr>
        <w:spacing w:after="0" w:line="93"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Neither SMLP nor its subsidiaries have any employees. All of the personnel that conduct our business are employed by Summit Investments, but these individuals are sometimes referred to as our employees.</w:t>
      </w:r>
    </w:p>
    <w:p>
      <w:pPr>
        <w:spacing w:after="0" w:line="6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 xml:space="preserve">Business Operations. </w:t>
      </w:r>
      <w:r>
        <w:rPr>
          <w:rFonts w:ascii="Arial" w:cs="Arial" w:eastAsia="Arial" w:hAnsi="Arial"/>
          <w:sz w:val="18"/>
          <w:szCs w:val="18"/>
          <w:color w:val="auto"/>
        </w:rPr>
        <w:t>We provide natural gas gathering, compression, treating and processing services as well as crude oil and produced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water gathering services pursuant to primarily long-term, fee-based agreements with our customers. Our results are primarily driven by the volumes of natural gas that we gather, compress, treat and/or process as well as by the volumes of crude oil and produced water that we gather. We are the owner-operator of, or have significant ownership interests in, the following gathering systems:</w:t>
      </w:r>
    </w:p>
    <w:p>
      <w:pPr>
        <w:spacing w:after="0" w:line="85" w:lineRule="exact"/>
        <w:rPr>
          <w:sz w:val="20"/>
          <w:szCs w:val="20"/>
          <w:color w:val="auto"/>
        </w:rPr>
      </w:pPr>
    </w:p>
    <w:p>
      <w:pPr>
        <w:ind w:left="800" w:right="4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38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10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6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26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southern Wyoming;</w:t>
      </w:r>
    </w:p>
    <w:p>
      <w:pPr>
        <w:spacing w:after="0" w:line="88" w:lineRule="exact"/>
        <w:rPr>
          <w:rFonts w:ascii="Arial" w:cs="Arial" w:eastAsia="Arial" w:hAnsi="Arial"/>
          <w:sz w:val="18"/>
          <w:szCs w:val="18"/>
          <w:color w:val="auto"/>
        </w:rPr>
      </w:pPr>
    </w:p>
    <w:p>
      <w:pPr>
        <w:ind w:left="800" w:right="52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8" w:lineRule="exact"/>
        <w:rPr>
          <w:rFonts w:ascii="Arial" w:cs="Arial" w:eastAsia="Arial" w:hAnsi="Arial"/>
          <w:sz w:val="18"/>
          <w:szCs w:val="18"/>
          <w:color w:val="auto"/>
        </w:rPr>
      </w:pPr>
    </w:p>
    <w:p>
      <w:pPr>
        <w:ind w:left="800" w:right="68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88" w:lineRule="exact"/>
        <w:rPr>
          <w:rFonts w:ascii="Arial" w:cs="Arial" w:eastAsia="Arial" w:hAnsi="Arial"/>
          <w:sz w:val="18"/>
          <w:szCs w:val="18"/>
          <w:color w:val="auto"/>
        </w:rPr>
      </w:pPr>
    </w:p>
    <w:p>
      <w:pPr>
        <w:ind w:left="800" w:right="320" w:hanging="400"/>
        <w:spacing w:after="0" w:line="246"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 w:name="page11"/>
    <w:bookmarkEnd w:id="10"/>
    <w:p>
      <w:pPr>
        <w:ind w:left="800" w:right="420" w:hanging="400"/>
        <w:spacing w:after="0" w:line="246"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for details on the sale of Tioga Midstream.</w:t>
      </w:r>
    </w:p>
    <w:p>
      <w:pPr>
        <w:spacing w:after="0" w:line="95"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June 2019, in conjunction with the Project, Summit Permian Transmission entered into a definitive joint venture agreement (the “Agreement”) with an affiliate of Double E’s foundation shipper (the “JV Partner”) to fund the capital expenditures associated with the Project. Refer to Note 8 for additional details.</w:t>
      </w:r>
    </w:p>
    <w:p>
      <w:pPr>
        <w:spacing w:after="0" w:line="95"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Other than our investments in Double E and Ohio Gathering, all of our business activities are conducted through wholly owned operating subsidiaries.</w:t>
      </w:r>
    </w:p>
    <w:p>
      <w:pPr>
        <w:spacing w:after="0" w:line="6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b w:val="1"/>
          <w:bCs w:val="1"/>
          <w:i w:val="1"/>
          <w:iCs w:val="1"/>
          <w:color w:val="auto"/>
        </w:rPr>
        <w:t xml:space="preserve">Presentation and Consolidation. </w:t>
      </w:r>
      <w:r>
        <w:rPr>
          <w:rFonts w:ascii="Arial" w:cs="Arial" w:eastAsia="Arial" w:hAnsi="Arial"/>
          <w:sz w:val="18"/>
          <w:szCs w:val="18"/>
          <w:color w:val="auto"/>
        </w:rPr>
        <w:t>We prepare our unaudited condensed consolidated financial statements in accordance with GAAP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established by the FASB. We make estimates and assumptions that affect the reported amounts of assets and liabilities at the balance sheet dates, including fair value measurements, the reported amounts of revenue and expense and the disclosure of contingencies. Although management believes these estimates are reasonable, actual results could differ from its estimates.</w:t>
      </w:r>
    </w:p>
    <w:p>
      <w:pPr>
        <w:spacing w:after="0" w:line="8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These unaudited condensed consolidated financial statements have been prepared pursuant to the rules and the regulations of the SEC. Certain information and note disclosures normally included in the annual financial statements prepared in accordance with GAAP have been condensed or omitted pursuant to those rules and regulations. We believe that the disclosures made are adequate to make the information not misleading. In the opinion of management, the unaudited condensed consolidated financial statements contain all adjustments which are necessary to fairly present the unaudited condensed consolidated balance sheet as of June 30, 2019, the unaudited condensed consolidated statements of operations and statements of partners’ capital for the three and six months ended June 30, 2019 and 2018 and the unaudited condensed consolidated statements of cash flows for the six months ended June 30, 2019 and 2018. The balance sheet at December 31, 2018 included herein was derived from our audited financial statements, but does not include all disclosures required by GAAP. See Note 2 for the impact relating to the adoption of the new lease standard. These unaudited condensed consolidated financial statements should be read in conjunction with the consolidated financial statements and notes thereto that are included in our annual report on Form 10-K for the year ended December 31, 2018, as filed with the SEC on February 26, 2019 (the "2018 Annual Report"). The results of operations for an interim period are not necessarily indicative of results expected for a full year.</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Except for the changes below, there have been no changes to our significant accounting policies since December 31, 2018.</w:t>
      </w:r>
    </w:p>
    <w:p>
      <w:pPr>
        <w:spacing w:after="0" w:line="8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Accounting standard setters frequently issue new or revised accounting rules. We review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to determine the impact, if any, on our financial statements. Accounting standards that have or could possibly have a material effect on our financial statements are discussed below.</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Adopted Accounting Pronouncements</w:t>
      </w:r>
      <w:r>
        <w:rPr>
          <w:rFonts w:ascii="Arial" w:cs="Arial" w:eastAsia="Arial" w:hAnsi="Arial"/>
          <w:sz w:val="18"/>
          <w:szCs w:val="18"/>
          <w:color w:val="auto"/>
        </w:rPr>
        <w:t>. We have recently adopted the following accounting pronouncement:</w:t>
      </w:r>
    </w:p>
    <w:p>
      <w:pPr>
        <w:spacing w:after="0" w:line="212" w:lineRule="exact"/>
        <w:rPr>
          <w:sz w:val="20"/>
          <w:szCs w:val="20"/>
          <w:color w:val="auto"/>
        </w:rPr>
      </w:pPr>
    </w:p>
    <w:p>
      <w:pPr>
        <w:ind w:left="800" w:right="120" w:hanging="400"/>
        <w:spacing w:after="0" w:line="237"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ASU No. 2016-02 Leases (“Topic 842"). We adopted Topic 842 with a date of initial application of January 1, 2019. We applied Topic 842 by recognizing (i) a $5.4 million right-of-use (“ROU”) asset which represents the right to use, or to control the use of, specified assets for a lease term. The ROU asset is included in the Property, plant and equipment, net caption on the unaudited condensed consolidated balance sheet; and (ii) a $5.4 million lease liability for the obligation to make lease payments arising from the leases. The lease liability is included in the Other current liabilities and Other noncurrent liabilities captions on the unaudited condensed consolidated balance sheet. The comparative information has not been adjusted and is reported under the accounting standards in effect for those periods.</w:t>
      </w:r>
    </w:p>
    <w:p>
      <w:pPr>
        <w:spacing w:after="0" w:line="95"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Refer to Note 16 for additional information.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Accounting Pronouncements Pending Adoption</w:t>
      </w:r>
      <w:r>
        <w:rPr>
          <w:rFonts w:ascii="Arial" w:cs="Arial" w:eastAsia="Arial" w:hAnsi="Arial"/>
          <w:sz w:val="18"/>
          <w:szCs w:val="18"/>
          <w:color w:val="auto"/>
        </w:rPr>
        <w:t>. We have not yet adopted the following accounting pronouncement as of June 30, 2019:</w:t>
      </w:r>
    </w:p>
    <w:p>
      <w:pPr>
        <w:spacing w:after="0" w:line="104" w:lineRule="exact"/>
        <w:rPr>
          <w:sz w:val="20"/>
          <w:szCs w:val="20"/>
          <w:color w:val="auto"/>
        </w:rPr>
      </w:pPr>
    </w:p>
    <w:p>
      <w:pPr>
        <w:ind w:left="800" w:right="40" w:hanging="400"/>
        <w:spacing w:after="0" w:line="236" w:lineRule="auto"/>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ASU No. 2018-13 Fair Value Measurement (“ASU 2018-13”). ASU 2018-13 updates the disclosure requirements on fair value measurements including new disclosures for the changes in unrealized gains and losses for the period included in other comprehensive income for recurring Level 3 fair value measurements held at the end of the reporting period and the range and weighted average of significant unobservable inputs used to develop Level 3 fair value measurements. ASU 2018-13 modifies existing disclosures including clarifying the measurement uncertainty disclosure. ASU 2018-13 removes certain existing disclosure requirements including the amount and reasons for transfers between Level 1 and Level 2 fair value measurements and the policy for the timing of transfer between levels. We are currently evaluating the provisions of ASU 2018-13 to determine its impact on our financial statements and related disclosures and will adopt its provisions effective January 1, 2020.</w:t>
      </w:r>
    </w:p>
    <w:p>
      <w:pPr>
        <w:spacing w:after="0" w:line="78" w:lineRule="exact"/>
        <w:rPr>
          <w:rFonts w:ascii="Arial" w:cs="Arial" w:eastAsia="Arial" w:hAnsi="Arial"/>
          <w:sz w:val="18"/>
          <w:szCs w:val="18"/>
          <w:color w:val="auto"/>
        </w:rPr>
      </w:pPr>
    </w:p>
    <w:p>
      <w:pPr>
        <w:ind w:left="200" w:hanging="192"/>
        <w:spacing w:after="0"/>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REVENUE</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majority of our revenue is derived from long-term, fee-based contracts with our customers, which include original terms of up to 25 years. We recognize revenue earned from fee-based gathering, compression, treating and processing services in gathering services and related fees. We also earn revenue in the Williston Basin and Permian Basin reporting segments from the sale of physical natural gas purchased from our customers under certain percent-of-proceeds arrangements. Under ASC Topic 606, these gathering contracts are presented net within cost of natural gas and NGLs. We sell natural gas that we retain from certain customers in the Barnett Shale reporting segment to offset the power expenses of the electric-driven compression on the DFW Midstream system. We also sell condensate retained from certain of our gathering services in the Piceance Basin reporting segment. Revenues from the sale of natural gas and condensate are recognized in natural gas, NGLs and condensate sales; the associated expense is included in operation and maintenance expense. Certain customers reimburse us for costs we incur on their behalf. We record costs incurred and reimbursed by our customers on a gross basis, with the revenue component recognized in Other revenues.</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transaction price in our contracts is primarily based on the volume of natural gas, crude oil or produced water transferred by our gathering systems to the customer’s agreed upon delivery point multiplied by the contractual rate. For contracts that include MVCs, variable consideration up to the MVC will be included in the transaction price. For contracts that do not include MVCs, we do not estimate variable consideration because the performance obligations are completed and settled on a daily basis. For contracts containing noncash consideration such as fuel received in-kind, we measure the transaction price at the point of sale when the volume, mix and market price of the commodities are known.</w:t>
      </w:r>
    </w:p>
    <w:p>
      <w:pPr>
        <w:spacing w:after="0" w:line="95"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We have contracts with MVCs that are variable and constrained. Contracts with greater than monthly MVCs are reviewed on a quarterly basis and adjustments to those estimates are made during each respective reporting period, if necessary.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2" w:name="page13"/>
    <w:bookmarkEnd w:id="12"/>
    <w:p>
      <w:pPr>
        <w:ind w:right="460"/>
        <w:spacing w:after="0" w:line="246" w:lineRule="auto"/>
        <w:rPr>
          <w:sz w:val="20"/>
          <w:szCs w:val="20"/>
          <w:color w:val="auto"/>
        </w:rPr>
      </w:pPr>
      <w:r>
        <w:rPr>
          <w:rFonts w:ascii="Arial" w:cs="Arial" w:eastAsia="Arial" w:hAnsi="Arial"/>
          <w:sz w:val="18"/>
          <w:szCs w:val="18"/>
          <w:color w:val="auto"/>
        </w:rPr>
        <w:t>The transaction price is allocated if the contract contains more than one performance obligation such as contracts that include MVCs. The transaction price allocated is based on the MVC for the applicable measurement period.</w:t>
      </w:r>
    </w:p>
    <w:p>
      <w:pPr>
        <w:spacing w:after="0" w:line="67"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b w:val="1"/>
          <w:bCs w:val="1"/>
          <w:i w:val="1"/>
          <w:iCs w:val="1"/>
          <w:color w:val="auto"/>
        </w:rPr>
        <w:t xml:space="preserve">Performance obligations. </w:t>
      </w:r>
      <w:r>
        <w:rPr>
          <w:rFonts w:ascii="Arial" w:cs="Arial" w:eastAsia="Arial" w:hAnsi="Arial"/>
          <w:sz w:val="18"/>
          <w:szCs w:val="18"/>
          <w:color w:val="auto"/>
        </w:rPr>
        <w:t>The majority of our contracts have a single performance obligation which is either to provide gathering services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integrated service) or sell natural gas, NGLs and condensate, which are both satisfied when the related natural gas, crude oil and produced water are received and transferred to an agreed upon delivery point. We also have certain contracts with multiple performance obligations. They include an option for the customer to acquire additional services such as contracts containing MVCs. These performance obligations would also be satisfied when the related natural gas, crude oil and produced water are received and transferred to an agreed upon delivery point. In these instances, we allocate the contract’s transaction price to each performance obligation using our best estimate of the standalone selling price of each service in the contract.</w:t>
      </w:r>
    </w:p>
    <w:p>
      <w:pPr>
        <w:spacing w:after="0" w:line="9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Performance obligations for gathering services are generally satisfied over time. We utilize either an output method (i.e., measure of progress) for guaranteed, stand-ready service contracts or an asset/system delivery time estimate for non-guaranteed, as-available service contracts.</w:t>
      </w:r>
    </w:p>
    <w:p>
      <w:pPr>
        <w:spacing w:after="0" w:line="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Performance obligations for the sale of natural gas, NGLs and condensate are satisfied at a point in time. There are no significant judgments for these transactions because the customer obtains control based on an agreed upon delivery point.</w:t>
      </w:r>
    </w:p>
    <w:p>
      <w:pPr>
        <w:spacing w:after="0" w:line="8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Certain of our gathering and/or processing agreements provide for monthly, annual or multi-year MVCs. Under these MVCs, our customers agree to ship and/or process a minimum volume of production on our gathering systems or to pay a minimum monetary amount over certain periods during the term of the MVC. A customer must make a shortfall payment to us at the end of the contracted measurement period if its actual throughput volumes are less than its contractual MVC for that period. Certain customers are entitled to utilize shortfall payments to offset gathering fees in one or more subsequent contracted measurement periods to the extent that such customer's throughput volumes in a subsequent contracted measurement period exceed its MVC for that contracted measurement period.</w:t>
      </w:r>
    </w:p>
    <w:p>
      <w:pPr>
        <w:spacing w:after="0" w:line="9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94"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Our services are typically billed on a monthly basis and we do not offer extended payment terms. We do not have contracts with financing components.</w:t>
      </w:r>
    </w:p>
    <w:p>
      <w:pPr>
        <w:spacing w:after="0" w:line="89"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The following table presents estimated revenue expected to be recognized during the remainder of 2019 and over the remaining contract period related to performance obligations that are unsatisfied and are comprised of estimated MVC shortfall payments.</w:t>
      </w:r>
    </w:p>
    <w:p>
      <w:pPr>
        <w:spacing w:after="0" w:line="89"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We applied the practical expedient in paragraph 606-10-50-14 of Topic 606 for certain arrangements that we consider optional purchases (i.e., there is no enforceable obligation for the customer to make purchases) and those amounts are excluded from the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Thereafter</w:t>
            </w:r>
          </w:p>
        </w:tc>
      </w:tr>
      <w:tr>
        <w:trPr>
          <w:trHeight w:val="169"/>
        </w:trPr>
        <w:tc>
          <w:tcPr>
            <w:tcW w:w="3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216"/>
        </w:trPr>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Gathering services and related fees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60,217</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120,941</w:t>
            </w:r>
          </w:p>
        </w:tc>
        <w:tc>
          <w:tcPr>
            <w:tcW w:w="3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100,117</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83,673</w:t>
            </w:r>
          </w:p>
        </w:tc>
        <w:tc>
          <w:tcPr>
            <w:tcW w:w="3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70,971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  114,043</w:t>
            </w:r>
          </w:p>
        </w:tc>
      </w:tr>
      <w:tr>
        <w:trPr>
          <w:trHeight w:val="554"/>
        </w:trPr>
        <w:tc>
          <w:tcPr>
            <w:tcW w:w="3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ind w:left="18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02"/>
        </w:trPr>
        <w:tc>
          <w:tcPr>
            <w:tcW w:w="39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3" w:name="page14"/>
    <w:bookmarkEnd w:id="13"/>
    <w:p>
      <w:pPr>
        <w:ind w:right="100"/>
        <w:spacing w:after="0" w:line="271" w:lineRule="auto"/>
        <w:rPr>
          <w:sz w:val="20"/>
          <w:szCs w:val="20"/>
          <w:color w:val="auto"/>
        </w:rPr>
      </w:pPr>
      <w:r>
        <w:rPr>
          <w:rFonts w:ascii="Arial" w:cs="Arial" w:eastAsia="Arial" w:hAnsi="Arial"/>
          <w:sz w:val="18"/>
          <w:szCs w:val="18"/>
          <w:b w:val="1"/>
          <w:bCs w:val="1"/>
          <w:i w:val="1"/>
          <w:iCs w:val="1"/>
          <w:color w:val="auto"/>
        </w:rPr>
        <w:t xml:space="preserve">Revenue by Category. </w:t>
      </w:r>
      <w:r>
        <w:rPr>
          <w:rFonts w:ascii="Arial" w:cs="Arial" w:eastAsia="Arial" w:hAnsi="Arial"/>
          <w:sz w:val="18"/>
          <w:szCs w:val="18"/>
          <w:color w:val="auto"/>
        </w:rPr>
        <w:t>In the following table, revenue is disaggregated by geographic area and major products and services. Ohio Gathering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 excluded from the tables below due to equity method accounting. For more detailed information about reportable segments, see Note 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40" w:type="dxa"/>
            <w:vAlign w:val="bottom"/>
            <w:tcBorders>
              <w:bottom w:val="single" w:sz="8" w:color="auto"/>
            </w:tcBorders>
            <w:gridSpan w:val="20"/>
          </w:tcPr>
          <w:p>
            <w:pPr>
              <w:jc w:val="center"/>
              <w:ind w:right="280"/>
              <w:spacing w:after="0"/>
              <w:rPr>
                <w:sz w:val="20"/>
                <w:szCs w:val="20"/>
                <w:color w:val="auto"/>
              </w:rPr>
            </w:pPr>
            <w:r>
              <w:rPr>
                <w:rFonts w:ascii="Arial" w:cs="Arial" w:eastAsia="Arial" w:hAnsi="Arial"/>
                <w:sz w:val="16"/>
                <w:szCs w:val="16"/>
                <w:b w:val="1"/>
                <w:bCs w:val="1"/>
                <w:color w:val="auto"/>
              </w:rPr>
              <w:t>Three months ended June 30, 2019</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8"/>
        </w:trPr>
        <w:tc>
          <w:tcPr>
            <w:tcW w:w="11420" w:type="dxa"/>
            <w:vAlign w:val="bottom"/>
            <w:gridSpan w:val="58"/>
          </w:tcPr>
          <w:p>
            <w:pPr>
              <w:spacing w:after="0"/>
              <w:rPr>
                <w:sz w:val="20"/>
                <w:szCs w:val="20"/>
                <w:color w:val="auto"/>
              </w:rPr>
            </w:pPr>
            <w:r>
              <w:rPr>
                <w:rFonts w:ascii="Arial" w:cs="Arial" w:eastAsia="Arial" w:hAnsi="Arial"/>
                <w:sz w:val="16"/>
                <w:szCs w:val="16"/>
                <w:b w:val="1"/>
                <w:bCs w:val="1"/>
                <w:color w:val="auto"/>
              </w:rPr>
              <w:t>Total</w:t>
            </w: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ind w:left="60"/>
              <w:spacing w:after="0"/>
              <w:rPr>
                <w:sz w:val="20"/>
                <w:szCs w:val="20"/>
                <w:color w:val="auto"/>
              </w:rPr>
            </w:pPr>
            <w:r>
              <w:rPr>
                <w:rFonts w:ascii="Arial" w:cs="Arial" w:eastAsia="Arial" w:hAnsi="Arial"/>
                <w:sz w:val="16"/>
                <w:szCs w:val="16"/>
                <w:b w:val="1"/>
                <w:bCs w:val="1"/>
                <w:color w:val="auto"/>
              </w:rPr>
              <w:t>Utica</w:t>
            </w:r>
          </w:p>
        </w:tc>
        <w:tc>
          <w:tcPr>
            <w:tcW w:w="20" w:type="dxa"/>
            <w:vAlign w:val="bottom"/>
          </w:tcPr>
          <w:p>
            <w:pPr>
              <w:spacing w:after="0"/>
              <w:rPr>
                <w:sz w:val="16"/>
                <w:szCs w:val="16"/>
                <w:color w:val="auto"/>
              </w:rPr>
            </w:pPr>
          </w:p>
        </w:tc>
        <w:tc>
          <w:tcPr>
            <w:tcW w:w="720" w:type="dxa"/>
            <w:vAlign w:val="bottom"/>
            <w:gridSpan w:val="5"/>
          </w:tcPr>
          <w:p>
            <w:pPr>
              <w:ind w:left="20"/>
              <w:spacing w:after="0"/>
              <w:rPr>
                <w:sz w:val="20"/>
                <w:szCs w:val="20"/>
                <w:color w:val="auto"/>
              </w:rPr>
            </w:pPr>
            <w:r>
              <w:rPr>
                <w:rFonts w:ascii="Arial" w:cs="Arial" w:eastAsia="Arial" w:hAnsi="Arial"/>
                <w:sz w:val="16"/>
                <w:szCs w:val="16"/>
                <w:b w:val="1"/>
                <w:bCs w:val="1"/>
                <w:color w:val="auto"/>
              </w:rPr>
              <w:t>Williston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Permian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5"/>
          </w:tcPr>
          <w:p>
            <w:pPr>
              <w:spacing w:after="0"/>
              <w:rPr>
                <w:sz w:val="20"/>
                <w:szCs w:val="20"/>
                <w:color w:val="auto"/>
              </w:rPr>
            </w:pPr>
            <w:r>
              <w:rPr>
                <w:rFonts w:ascii="Arial" w:cs="Arial" w:eastAsia="Arial" w:hAnsi="Arial"/>
                <w:sz w:val="16"/>
                <w:szCs w:val="16"/>
                <w:b w:val="1"/>
                <w:bCs w:val="1"/>
                <w:color w:val="auto"/>
              </w:rPr>
              <w:t>Piceance</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Barnett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reportable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All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DJ Basin</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Shale</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Shale</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9"/>
          </w:tcPr>
          <w:p>
            <w:pPr>
              <w:jc w:val="center"/>
              <w:ind w:left="9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r>
      <w:tr>
        <w:trPr>
          <w:trHeight w:val="207"/>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r>
      <w:tr>
        <w:trPr>
          <w:trHeight w:val="204"/>
        </w:trPr>
        <w:tc>
          <w:tcPr>
            <w:tcW w:w="11420" w:type="dxa"/>
            <w:vAlign w:val="bottom"/>
            <w:gridSpan w:val="58"/>
          </w:tcPr>
          <w:p>
            <w:pPr>
              <w:spacing w:after="0"/>
              <w:rPr>
                <w:sz w:val="20"/>
                <w:szCs w:val="20"/>
                <w:color w:val="auto"/>
              </w:rPr>
            </w:pPr>
            <w:r>
              <w:rPr>
                <w:rFonts w:ascii="Arial" w:cs="Arial" w:eastAsia="Arial" w:hAnsi="Arial"/>
                <w:sz w:val="16"/>
                <w:szCs w:val="16"/>
                <w:color w:val="auto"/>
              </w:rPr>
              <w:t>Gathering services</w:t>
            </w:r>
          </w:p>
        </w:tc>
      </w:tr>
      <w:tr>
        <w:trPr>
          <w:trHeight w:val="18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39"/>
              <w:spacing w:after="0"/>
              <w:rPr>
                <w:sz w:val="20"/>
                <w:szCs w:val="20"/>
                <w:color w:val="auto"/>
              </w:rPr>
            </w:pPr>
            <w:r>
              <w:rPr>
                <w:rFonts w:ascii="Arial" w:cs="Arial" w:eastAsia="Arial" w:hAnsi="Arial"/>
                <w:sz w:val="16"/>
                <w:szCs w:val="16"/>
                <w:color w:val="auto"/>
              </w:rPr>
              <w:t>7,591</w:t>
            </w:r>
          </w:p>
        </w:tc>
        <w:tc>
          <w:tcPr>
            <w:tcW w:w="40" w:type="dxa"/>
            <w:vAlign w:val="bottom"/>
          </w:tcPr>
          <w:p>
            <w:pPr>
              <w:spacing w:after="0"/>
              <w:rPr>
                <w:sz w:val="16"/>
                <w:szCs w:val="16"/>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15,685</w:t>
            </w:r>
          </w:p>
        </w:tc>
        <w:tc>
          <w:tcPr>
            <w:tcW w:w="44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4,021</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586</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30,555</w:t>
            </w:r>
          </w:p>
        </w:tc>
        <w:tc>
          <w:tcPr>
            <w:tcW w:w="280" w:type="dxa"/>
            <w:vAlign w:val="bottom"/>
            <w:gridSpan w:val="3"/>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42"/>
              <w:spacing w:after="0"/>
              <w:rPr>
                <w:sz w:val="20"/>
                <w:szCs w:val="20"/>
                <w:color w:val="auto"/>
              </w:rPr>
            </w:pPr>
            <w:r>
              <w:rPr>
                <w:rFonts w:ascii="Arial" w:cs="Arial" w:eastAsia="Arial" w:hAnsi="Arial"/>
                <w:sz w:val="16"/>
                <w:szCs w:val="16"/>
                <w:color w:val="auto"/>
              </w:rPr>
              <w:t>11,428</w:t>
            </w:r>
          </w:p>
        </w:tc>
        <w:tc>
          <w:tcPr>
            <w:tcW w:w="4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5,897</w:t>
            </w:r>
          </w:p>
        </w:tc>
        <w:tc>
          <w:tcPr>
            <w:tcW w:w="2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75,763</w:t>
            </w:r>
          </w:p>
        </w:tc>
        <w:tc>
          <w:tcPr>
            <w:tcW w:w="30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(656)</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75,107</w:t>
            </w:r>
          </w:p>
        </w:tc>
      </w:tr>
      <w:tr>
        <w:trPr>
          <w:trHeight w:val="20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color w:val="auto"/>
              </w:rPr>
              <w:t>Natural gas, NGLs</w:t>
            </w:r>
          </w:p>
        </w:tc>
      </w:tr>
      <w:tr>
        <w:trPr>
          <w:trHeight w:val="189"/>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color w:val="auto"/>
              </w:rPr>
              <w:t>and condensate</w:t>
            </w:r>
          </w:p>
        </w:tc>
      </w:tr>
      <w:tr>
        <w:trPr>
          <w:trHeight w:val="18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3,768</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2,406</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2,104</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6,273</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14,652</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3,639</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18,291</w:t>
            </w:r>
          </w:p>
        </w:tc>
      </w:tr>
      <w:tr>
        <w:trPr>
          <w:trHeight w:val="203"/>
        </w:trPr>
        <w:tc>
          <w:tcPr>
            <w:tcW w:w="2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1,034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49</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7"/>
              </w:rPr>
              <w:t>945</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6"/>
                <w:szCs w:val="16"/>
                <w:color w:val="auto"/>
              </w:rPr>
              <w:t>1,646</w:t>
            </w:r>
          </w:p>
        </w:tc>
        <w:tc>
          <w:tcPr>
            <w:tcW w:w="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6,344</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(56)</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6,288</w:t>
            </w:r>
          </w:p>
        </w:tc>
      </w:tr>
      <w:tr>
        <w:trPr>
          <w:trHeight w:val="196"/>
        </w:trPr>
        <w:tc>
          <w:tcPr>
            <w:tcW w:w="2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7,591</w:t>
            </w:r>
          </w:p>
        </w:tc>
        <w:tc>
          <w:tcPr>
            <w:tcW w:w="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22,123</w:t>
            </w:r>
          </w:p>
        </w:tc>
        <w:tc>
          <w:tcPr>
            <w:tcW w:w="44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5,156</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3,041</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33,604</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19,347</w:t>
            </w:r>
          </w:p>
        </w:tc>
        <w:tc>
          <w:tcPr>
            <w:tcW w:w="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5,897</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96,759</w:t>
            </w:r>
          </w:p>
        </w:tc>
        <w:tc>
          <w:tcPr>
            <w:tcW w:w="30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2,927</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99,686</w:t>
            </w:r>
          </w:p>
        </w:tc>
      </w:tr>
      <w:tr>
        <w:trPr>
          <w:trHeight w:val="365"/>
        </w:trPr>
        <w:tc>
          <w:tcPr>
            <w:tcW w:w="2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19"/>
          </w:tcPr>
          <w:p>
            <w:pPr>
              <w:jc w:val="center"/>
              <w:ind w:right="340"/>
              <w:spacing w:after="0"/>
              <w:rPr>
                <w:sz w:val="20"/>
                <w:szCs w:val="20"/>
                <w:color w:val="auto"/>
              </w:rPr>
            </w:pPr>
            <w:r>
              <w:rPr>
                <w:rFonts w:ascii="Arial" w:cs="Arial" w:eastAsia="Arial" w:hAnsi="Arial"/>
                <w:sz w:val="16"/>
                <w:szCs w:val="16"/>
                <w:b w:val="1"/>
                <w:bCs w:val="1"/>
                <w:color w:val="auto"/>
              </w:rPr>
              <w:t>Six months ended June 30, 2019</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8"/>
        </w:trPr>
        <w:tc>
          <w:tcPr>
            <w:tcW w:w="11420" w:type="dxa"/>
            <w:vAlign w:val="bottom"/>
            <w:gridSpan w:val="58"/>
          </w:tcPr>
          <w:p>
            <w:pPr>
              <w:spacing w:after="0"/>
              <w:rPr>
                <w:sz w:val="20"/>
                <w:szCs w:val="20"/>
                <w:color w:val="auto"/>
              </w:rPr>
            </w:pPr>
            <w:r>
              <w:rPr>
                <w:rFonts w:ascii="Arial" w:cs="Arial" w:eastAsia="Arial" w:hAnsi="Arial"/>
                <w:sz w:val="16"/>
                <w:szCs w:val="16"/>
                <w:b w:val="1"/>
                <w:bCs w:val="1"/>
                <w:color w:val="auto"/>
              </w:rPr>
              <w:t>Total</w:t>
            </w: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ind w:left="60"/>
              <w:spacing w:after="0"/>
              <w:rPr>
                <w:sz w:val="20"/>
                <w:szCs w:val="20"/>
                <w:color w:val="auto"/>
              </w:rPr>
            </w:pPr>
            <w:r>
              <w:rPr>
                <w:rFonts w:ascii="Arial" w:cs="Arial" w:eastAsia="Arial" w:hAnsi="Arial"/>
                <w:sz w:val="16"/>
                <w:szCs w:val="16"/>
                <w:b w:val="1"/>
                <w:bCs w:val="1"/>
                <w:color w:val="auto"/>
              </w:rPr>
              <w:t>Utica</w:t>
            </w:r>
          </w:p>
        </w:tc>
        <w:tc>
          <w:tcPr>
            <w:tcW w:w="20" w:type="dxa"/>
            <w:vAlign w:val="bottom"/>
          </w:tcPr>
          <w:p>
            <w:pPr>
              <w:spacing w:after="0"/>
              <w:rPr>
                <w:sz w:val="16"/>
                <w:szCs w:val="16"/>
                <w:color w:val="auto"/>
              </w:rPr>
            </w:pPr>
          </w:p>
        </w:tc>
        <w:tc>
          <w:tcPr>
            <w:tcW w:w="720" w:type="dxa"/>
            <w:vAlign w:val="bottom"/>
            <w:gridSpan w:val="5"/>
          </w:tcPr>
          <w:p>
            <w:pPr>
              <w:ind w:left="20"/>
              <w:spacing w:after="0"/>
              <w:rPr>
                <w:sz w:val="20"/>
                <w:szCs w:val="20"/>
                <w:color w:val="auto"/>
              </w:rPr>
            </w:pPr>
            <w:r>
              <w:rPr>
                <w:rFonts w:ascii="Arial" w:cs="Arial" w:eastAsia="Arial" w:hAnsi="Arial"/>
                <w:sz w:val="16"/>
                <w:szCs w:val="16"/>
                <w:b w:val="1"/>
                <w:bCs w:val="1"/>
                <w:color w:val="auto"/>
              </w:rPr>
              <w:t>Williston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5"/>
          </w:tcPr>
          <w:p>
            <w:pPr>
              <w:jc w:val="center"/>
              <w:spacing w:after="0"/>
              <w:rPr>
                <w:sz w:val="20"/>
                <w:szCs w:val="20"/>
                <w:color w:val="auto"/>
              </w:rPr>
            </w:pPr>
            <w:r>
              <w:rPr>
                <w:rFonts w:ascii="Arial" w:cs="Arial" w:eastAsia="Arial" w:hAnsi="Arial"/>
                <w:sz w:val="16"/>
                <w:szCs w:val="16"/>
                <w:b w:val="1"/>
                <w:bCs w:val="1"/>
                <w:color w:val="auto"/>
              </w:rPr>
              <w:t>Permian</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5"/>
          </w:tcPr>
          <w:p>
            <w:pPr>
              <w:spacing w:after="0"/>
              <w:rPr>
                <w:sz w:val="20"/>
                <w:szCs w:val="20"/>
                <w:color w:val="auto"/>
              </w:rPr>
            </w:pPr>
            <w:r>
              <w:rPr>
                <w:rFonts w:ascii="Arial" w:cs="Arial" w:eastAsia="Arial" w:hAnsi="Arial"/>
                <w:sz w:val="16"/>
                <w:szCs w:val="16"/>
                <w:b w:val="1"/>
                <w:bCs w:val="1"/>
                <w:color w:val="auto"/>
              </w:rPr>
              <w:t>Piceance</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9"/>
              </w:rPr>
              <w:t>Barnett</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gridSpan w:val="3"/>
          </w:tcPr>
          <w:p>
            <w:pPr>
              <w:spacing w:after="0"/>
              <w:rPr>
                <w:sz w:val="20"/>
                <w:szCs w:val="20"/>
                <w:color w:val="auto"/>
              </w:rPr>
            </w:pPr>
            <w:r>
              <w:rPr>
                <w:rFonts w:ascii="Arial" w:cs="Arial" w:eastAsia="Arial" w:hAnsi="Arial"/>
                <w:sz w:val="16"/>
                <w:szCs w:val="16"/>
                <w:b w:val="1"/>
                <w:bCs w:val="1"/>
                <w:color w:val="auto"/>
              </w:rPr>
              <w:t>Marcellus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3"/>
          </w:tcPr>
          <w:p>
            <w:pPr>
              <w:spacing w:after="0"/>
              <w:rPr>
                <w:sz w:val="20"/>
                <w:szCs w:val="20"/>
                <w:color w:val="auto"/>
              </w:rPr>
            </w:pPr>
            <w:r>
              <w:rPr>
                <w:rFonts w:ascii="Arial" w:cs="Arial" w:eastAsia="Arial" w:hAnsi="Arial"/>
                <w:sz w:val="16"/>
                <w:szCs w:val="16"/>
                <w:b w:val="1"/>
                <w:bCs w:val="1"/>
                <w:color w:val="auto"/>
              </w:rPr>
              <w:t>reportable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All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4"/>
          </w:tcPr>
          <w:p>
            <w:pPr>
              <w:jc w:val="center"/>
              <w:ind w:left="39"/>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DJ Basin</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4"/>
          </w:tcPr>
          <w:p>
            <w:pPr>
              <w:jc w:val="center"/>
              <w:ind w:right="7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Basin</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Shale</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Shale</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segments</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00" w:type="dxa"/>
            <w:vAlign w:val="bottom"/>
            <w:gridSpan w:val="9"/>
          </w:tcPr>
          <w:p>
            <w:pPr>
              <w:jc w:val="center"/>
              <w:ind w:left="99"/>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r>
      <w:tr>
        <w:trPr>
          <w:trHeight w:val="207"/>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r>
      <w:tr>
        <w:trPr>
          <w:trHeight w:val="204"/>
        </w:trPr>
        <w:tc>
          <w:tcPr>
            <w:tcW w:w="11420" w:type="dxa"/>
            <w:vAlign w:val="bottom"/>
            <w:gridSpan w:val="58"/>
          </w:tcPr>
          <w:p>
            <w:pPr>
              <w:spacing w:after="0"/>
              <w:rPr>
                <w:sz w:val="20"/>
                <w:szCs w:val="20"/>
                <w:color w:val="auto"/>
              </w:rPr>
            </w:pPr>
            <w:r>
              <w:rPr>
                <w:rFonts w:ascii="Arial" w:cs="Arial" w:eastAsia="Arial" w:hAnsi="Arial"/>
                <w:sz w:val="16"/>
                <w:szCs w:val="16"/>
                <w:color w:val="auto"/>
              </w:rPr>
              <w:t>Gathering services</w:t>
            </w:r>
          </w:p>
        </w:tc>
      </w:tr>
      <w:tr>
        <w:trPr>
          <w:trHeight w:val="18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ind w:right="39"/>
              <w:spacing w:after="0"/>
              <w:rPr>
                <w:sz w:val="20"/>
                <w:szCs w:val="20"/>
                <w:color w:val="auto"/>
              </w:rPr>
            </w:pPr>
            <w:r>
              <w:rPr>
                <w:rFonts w:ascii="Arial" w:cs="Arial" w:eastAsia="Arial" w:hAnsi="Arial"/>
                <w:sz w:val="16"/>
                <w:szCs w:val="16"/>
                <w:color w:val="auto"/>
              </w:rPr>
              <w:t>15,086</w:t>
            </w:r>
          </w:p>
        </w:tc>
        <w:tc>
          <w:tcPr>
            <w:tcW w:w="40" w:type="dxa"/>
            <w:vAlign w:val="bottom"/>
          </w:tcPr>
          <w:p>
            <w:pPr>
              <w:spacing w:after="0"/>
              <w:rPr>
                <w:sz w:val="16"/>
                <w:szCs w:val="16"/>
                <w:color w:val="auto"/>
              </w:rPr>
            </w:pPr>
          </w:p>
        </w:tc>
        <w:tc>
          <w:tcPr>
            <w:tcW w:w="20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4"/>
          </w:tcPr>
          <w:p>
            <w:pPr>
              <w:jc w:val="right"/>
              <w:spacing w:after="0"/>
              <w:rPr>
                <w:sz w:val="20"/>
                <w:szCs w:val="20"/>
                <w:color w:val="auto"/>
              </w:rPr>
            </w:pPr>
            <w:r>
              <w:rPr>
                <w:rFonts w:ascii="Arial" w:cs="Arial" w:eastAsia="Arial" w:hAnsi="Arial"/>
                <w:sz w:val="16"/>
                <w:szCs w:val="16"/>
                <w:color w:val="auto"/>
              </w:rPr>
              <w:t>41,391</w:t>
            </w:r>
          </w:p>
        </w:tc>
        <w:tc>
          <w:tcPr>
            <w:tcW w:w="440" w:type="dxa"/>
            <w:vAlign w:val="bottom"/>
            <w:gridSpan w:val="3"/>
          </w:tcPr>
          <w:p>
            <w:pPr>
              <w:ind w:left="180"/>
              <w:spacing w:after="0"/>
              <w:rPr>
                <w:sz w:val="20"/>
                <w:szCs w:val="20"/>
                <w:color w:val="auto"/>
              </w:rPr>
            </w:pPr>
            <w:r>
              <w:rPr>
                <w:rFonts w:ascii="Arial" w:cs="Arial" w:eastAsia="Arial" w:hAnsi="Arial"/>
                <w:sz w:val="16"/>
                <w:szCs w:val="16"/>
                <w:color w:val="auto"/>
              </w:rPr>
              <w:t>$</w:t>
            </w: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7,745</w:t>
            </w: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380" w:type="dxa"/>
            <w:vAlign w:val="bottom"/>
            <w:gridSpan w:val="3"/>
          </w:tcPr>
          <w:p>
            <w:pPr>
              <w:jc w:val="right"/>
              <w:spacing w:after="0"/>
              <w:rPr>
                <w:sz w:val="20"/>
                <w:szCs w:val="20"/>
                <w:color w:val="auto"/>
              </w:rPr>
            </w:pPr>
            <w:r>
              <w:rPr>
                <w:rFonts w:ascii="Arial" w:cs="Arial" w:eastAsia="Arial" w:hAnsi="Arial"/>
                <w:sz w:val="16"/>
                <w:szCs w:val="16"/>
                <w:color w:val="auto"/>
              </w:rPr>
              <w:t>952</w:t>
            </w:r>
          </w:p>
        </w:tc>
        <w:tc>
          <w:tcPr>
            <w:tcW w:w="240" w:type="dxa"/>
            <w:vAlign w:val="bottom"/>
            <w:gridSpan w:val="3"/>
          </w:tcPr>
          <w:p>
            <w:pPr>
              <w:ind w:left="140"/>
              <w:spacing w:after="0"/>
              <w:rPr>
                <w:sz w:val="20"/>
                <w:szCs w:val="20"/>
                <w:color w:val="auto"/>
              </w:rPr>
            </w:pPr>
            <w:r>
              <w:rPr>
                <w:rFonts w:ascii="Arial" w:cs="Arial" w:eastAsia="Arial" w:hAnsi="Arial"/>
                <w:sz w:val="16"/>
                <w:szCs w:val="16"/>
                <w:color w:val="auto"/>
                <w:w w:val="89"/>
              </w:rPr>
              <w:t>$</w:t>
            </w:r>
          </w:p>
        </w:tc>
        <w:tc>
          <w:tcPr>
            <w:tcW w:w="620" w:type="dxa"/>
            <w:vAlign w:val="bottom"/>
            <w:gridSpan w:val="4"/>
          </w:tcPr>
          <w:p>
            <w:pPr>
              <w:jc w:val="right"/>
              <w:spacing w:after="0"/>
              <w:rPr>
                <w:sz w:val="20"/>
                <w:szCs w:val="20"/>
                <w:color w:val="auto"/>
              </w:rPr>
            </w:pPr>
            <w:r>
              <w:rPr>
                <w:rFonts w:ascii="Arial" w:cs="Arial" w:eastAsia="Arial" w:hAnsi="Arial"/>
                <w:sz w:val="16"/>
                <w:szCs w:val="16"/>
                <w:color w:val="auto"/>
              </w:rPr>
              <w:t>62,395</w:t>
            </w:r>
          </w:p>
        </w:tc>
        <w:tc>
          <w:tcPr>
            <w:tcW w:w="280" w:type="dxa"/>
            <w:vAlign w:val="bottom"/>
            <w:gridSpan w:val="3"/>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gridSpan w:val="3"/>
          </w:tcPr>
          <w:p>
            <w:pPr>
              <w:jc w:val="right"/>
              <w:ind w:right="42"/>
              <w:spacing w:after="0"/>
              <w:rPr>
                <w:sz w:val="20"/>
                <w:szCs w:val="20"/>
                <w:color w:val="auto"/>
              </w:rPr>
            </w:pPr>
            <w:r>
              <w:rPr>
                <w:rFonts w:ascii="Arial" w:cs="Arial" w:eastAsia="Arial" w:hAnsi="Arial"/>
                <w:sz w:val="16"/>
                <w:szCs w:val="16"/>
                <w:color w:val="auto"/>
              </w:rPr>
              <w:t>24,453</w:t>
            </w:r>
          </w:p>
        </w:tc>
        <w:tc>
          <w:tcPr>
            <w:tcW w:w="40" w:type="dxa"/>
            <w:vAlign w:val="bottom"/>
          </w:tcPr>
          <w:p>
            <w:pPr>
              <w:spacing w:after="0"/>
              <w:rPr>
                <w:sz w:val="16"/>
                <w:szCs w:val="16"/>
                <w:color w:val="auto"/>
              </w:rPr>
            </w:pPr>
          </w:p>
        </w:tc>
        <w:tc>
          <w:tcPr>
            <w:tcW w:w="1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6"/>
                <w:szCs w:val="16"/>
                <w:color w:val="auto"/>
              </w:rPr>
              <w:t>12,094</w:t>
            </w:r>
          </w:p>
        </w:tc>
        <w:tc>
          <w:tcPr>
            <w:tcW w:w="280" w:type="dxa"/>
            <w:vAlign w:val="bottom"/>
            <w:gridSpan w:val="3"/>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6"/>
                <w:szCs w:val="16"/>
                <w:color w:val="auto"/>
              </w:rPr>
              <w:t>164,116</w:t>
            </w:r>
          </w:p>
        </w:tc>
        <w:tc>
          <w:tcPr>
            <w:tcW w:w="300" w:type="dxa"/>
            <w:vAlign w:val="bottom"/>
            <w:gridSpan w:val="4"/>
          </w:tcPr>
          <w:p>
            <w:pPr>
              <w:ind w:left="160"/>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(2,045)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162,071</w:t>
            </w:r>
          </w:p>
        </w:tc>
      </w:tr>
      <w:tr>
        <w:trPr>
          <w:trHeight w:val="20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color w:val="auto"/>
              </w:rPr>
              <w:t>Natural gas, NGLs</w:t>
            </w:r>
          </w:p>
        </w:tc>
      </w:tr>
      <w:tr>
        <w:trPr>
          <w:trHeight w:val="189"/>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color w:val="auto"/>
              </w:rPr>
              <w:t>and condensate</w:t>
            </w:r>
          </w:p>
        </w:tc>
      </w:tr>
      <w:tr>
        <w:trPr>
          <w:trHeight w:val="18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9,353</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6,627</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4,406</w:t>
            </w: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6,877</w:t>
            </w: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27,449</w:t>
            </w: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28,770</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56,219</w:t>
            </w:r>
          </w:p>
        </w:tc>
      </w:tr>
      <w:tr>
        <w:trPr>
          <w:trHeight w:val="203"/>
        </w:trPr>
        <w:tc>
          <w:tcPr>
            <w:tcW w:w="2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5,578</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2,041</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81</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2,083</w:t>
            </w: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6"/>
                <w:szCs w:val="16"/>
                <w:color w:val="auto"/>
              </w:rPr>
              <w:t>3,302</w:t>
            </w:r>
          </w:p>
        </w:tc>
        <w:tc>
          <w:tcPr>
            <w:tcW w:w="4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13,085</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(281)</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12,804</w:t>
            </w:r>
          </w:p>
        </w:tc>
      </w:tr>
      <w:tr>
        <w:trPr>
          <w:trHeight w:val="196"/>
        </w:trPr>
        <w:tc>
          <w:tcPr>
            <w:tcW w:w="2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shd w:val="clear" w:color="auto" w:fill="CFF0FC"/>
          </w:tcPr>
          <w:p>
            <w:pPr>
              <w:jc w:val="right"/>
              <w:ind w:right="39"/>
              <w:spacing w:after="0"/>
              <w:rPr>
                <w:sz w:val="20"/>
                <w:szCs w:val="20"/>
                <w:color w:val="auto"/>
              </w:rPr>
            </w:pPr>
            <w:r>
              <w:rPr>
                <w:rFonts w:ascii="Arial" w:cs="Arial" w:eastAsia="Arial" w:hAnsi="Arial"/>
                <w:sz w:val="16"/>
                <w:szCs w:val="16"/>
                <w:color w:val="auto"/>
              </w:rPr>
              <w:t>15,086</w:t>
            </w:r>
          </w:p>
        </w:tc>
        <w:tc>
          <w:tcPr>
            <w:tcW w:w="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5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56,322</w:t>
            </w:r>
          </w:p>
        </w:tc>
        <w:tc>
          <w:tcPr>
            <w:tcW w:w="44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rPr>
              <w:t>$</w:t>
            </w:r>
          </w:p>
        </w:tc>
        <w:tc>
          <w:tcPr>
            <w:tcW w:w="50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9,972</w:t>
            </w:r>
          </w:p>
        </w:tc>
        <w:tc>
          <w:tcPr>
            <w:tcW w:w="2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7,660</w:t>
            </w:r>
          </w:p>
        </w:tc>
        <w:tc>
          <w:tcPr>
            <w:tcW w:w="240" w:type="dxa"/>
            <w:vAlign w:val="bottom"/>
            <w:gridSpan w:val="3"/>
            <w:shd w:val="clear" w:color="auto" w:fill="CFF0FC"/>
          </w:tcPr>
          <w:p>
            <w:pPr>
              <w:ind w:left="140"/>
              <w:spacing w:after="0"/>
              <w:rPr>
                <w:sz w:val="20"/>
                <w:szCs w:val="20"/>
                <w:color w:val="auto"/>
              </w:rPr>
            </w:pPr>
            <w:r>
              <w:rPr>
                <w:rFonts w:ascii="Arial" w:cs="Arial" w:eastAsia="Arial" w:hAnsi="Arial"/>
                <w:sz w:val="16"/>
                <w:szCs w:val="16"/>
                <w:color w:val="auto"/>
                <w:w w:val="89"/>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68,884</w:t>
            </w:r>
          </w:p>
        </w:tc>
        <w:tc>
          <w:tcPr>
            <w:tcW w:w="280" w:type="dxa"/>
            <w:vAlign w:val="bottom"/>
            <w:gridSpan w:val="3"/>
            <w:shd w:val="clear" w:color="auto" w:fill="CFF0FC"/>
          </w:tcPr>
          <w:p>
            <w:pPr>
              <w:ind w:left="180"/>
              <w:spacing w:after="0"/>
              <w:rPr>
                <w:sz w:val="20"/>
                <w:szCs w:val="20"/>
                <w:color w:val="auto"/>
              </w:rPr>
            </w:pPr>
            <w:r>
              <w:rPr>
                <w:rFonts w:ascii="Arial" w:cs="Arial" w:eastAsia="Arial" w:hAnsi="Arial"/>
                <w:sz w:val="16"/>
                <w:szCs w:val="16"/>
                <w:color w:val="auto"/>
                <w:w w:val="89"/>
              </w:rPr>
              <w:t>$</w:t>
            </w:r>
          </w:p>
        </w:tc>
        <w:tc>
          <w:tcPr>
            <w:tcW w:w="740" w:type="dxa"/>
            <w:vAlign w:val="bottom"/>
            <w:gridSpan w:val="3"/>
            <w:shd w:val="clear" w:color="auto" w:fill="CFF0FC"/>
          </w:tcPr>
          <w:p>
            <w:pPr>
              <w:jc w:val="right"/>
              <w:ind w:right="42"/>
              <w:spacing w:after="0"/>
              <w:rPr>
                <w:sz w:val="20"/>
                <w:szCs w:val="20"/>
                <w:color w:val="auto"/>
              </w:rPr>
            </w:pPr>
            <w:r>
              <w:rPr>
                <w:rFonts w:ascii="Arial" w:cs="Arial" w:eastAsia="Arial" w:hAnsi="Arial"/>
                <w:sz w:val="16"/>
                <w:szCs w:val="16"/>
                <w:color w:val="auto"/>
              </w:rPr>
              <w:t>34,632</w:t>
            </w:r>
          </w:p>
        </w:tc>
        <w:tc>
          <w:tcPr>
            <w:tcW w:w="40" w:type="dxa"/>
            <w:vAlign w:val="bottom"/>
            <w:shd w:val="clear" w:color="auto" w:fill="CFF0FC"/>
          </w:tcPr>
          <w:p>
            <w:pPr>
              <w:spacing w:after="0"/>
              <w:rPr>
                <w:sz w:val="17"/>
                <w:szCs w:val="17"/>
                <w:color w:val="auto"/>
              </w:rPr>
            </w:pPr>
          </w:p>
        </w:tc>
        <w:tc>
          <w:tcPr>
            <w:tcW w:w="160" w:type="dxa"/>
            <w:vAlign w:val="bottom"/>
            <w:gridSpan w:val="2"/>
            <w:shd w:val="clear" w:color="auto" w:fill="CFF0FC"/>
          </w:tcPr>
          <w:p>
            <w:pPr>
              <w:ind w:left="4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12,094</w:t>
            </w:r>
          </w:p>
        </w:tc>
        <w:tc>
          <w:tcPr>
            <w:tcW w:w="28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204,650</w:t>
            </w:r>
          </w:p>
        </w:tc>
        <w:tc>
          <w:tcPr>
            <w:tcW w:w="300" w:type="dxa"/>
            <w:vAlign w:val="bottom"/>
            <w:gridSpan w:val="4"/>
            <w:shd w:val="clear" w:color="auto" w:fill="CFF0FC"/>
          </w:tcPr>
          <w:p>
            <w:pPr>
              <w:ind w:left="160"/>
              <w:spacing w:after="0"/>
              <w:rPr>
                <w:sz w:val="20"/>
                <w:szCs w:val="20"/>
                <w:color w:val="auto"/>
              </w:rPr>
            </w:pPr>
            <w:r>
              <w:rPr>
                <w:rFonts w:ascii="Arial" w:cs="Arial" w:eastAsia="Arial" w:hAnsi="Arial"/>
                <w:sz w:val="16"/>
                <w:szCs w:val="16"/>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26,444</w:t>
            </w:r>
          </w:p>
        </w:tc>
        <w:tc>
          <w:tcPr>
            <w:tcW w:w="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231,094</w:t>
            </w:r>
          </w:p>
        </w:tc>
      </w:tr>
      <w:tr>
        <w:trPr>
          <w:trHeight w:val="365"/>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13"/>
          </w:tcPr>
          <w:p>
            <w:pPr>
              <w:jc w:val="center"/>
              <w:spacing w:after="0"/>
              <w:rPr>
                <w:sz w:val="20"/>
                <w:szCs w:val="20"/>
                <w:color w:val="auto"/>
              </w:rPr>
            </w:pPr>
            <w:r>
              <w:rPr>
                <w:rFonts w:ascii="Arial" w:cs="Arial" w:eastAsia="Arial" w:hAnsi="Arial"/>
                <w:sz w:val="16"/>
                <w:szCs w:val="16"/>
                <w:b w:val="1"/>
                <w:bCs w:val="1"/>
                <w:color w:val="auto"/>
              </w:rPr>
              <w:t>Reportable Segments</w:t>
            </w: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gridSpan w:val="19"/>
          </w:tcPr>
          <w:p>
            <w:pPr>
              <w:jc w:val="right"/>
              <w:ind w:right="200"/>
              <w:spacing w:after="0"/>
              <w:rPr>
                <w:sz w:val="20"/>
                <w:szCs w:val="20"/>
                <w:color w:val="auto"/>
              </w:rPr>
            </w:pPr>
            <w:r>
              <w:rPr>
                <w:rFonts w:ascii="Arial" w:cs="Arial" w:eastAsia="Arial" w:hAnsi="Arial"/>
                <w:sz w:val="16"/>
                <w:szCs w:val="16"/>
                <w:b w:val="1"/>
                <w:bCs w:val="1"/>
                <w:color w:val="auto"/>
              </w:rPr>
              <w:t>Three months ended June 30, 2018</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78"/>
        </w:trPr>
        <w:tc>
          <w:tcPr>
            <w:tcW w:w="11420" w:type="dxa"/>
            <w:vAlign w:val="bottom"/>
            <w:gridSpan w:val="58"/>
          </w:tcPr>
          <w:p>
            <w:pPr>
              <w:spacing w:after="0"/>
              <w:rPr>
                <w:sz w:val="20"/>
                <w:szCs w:val="20"/>
                <w:color w:val="auto"/>
              </w:rPr>
            </w:pPr>
            <w:r>
              <w:rPr>
                <w:rFonts w:ascii="Arial" w:cs="Arial" w:eastAsia="Arial" w:hAnsi="Arial"/>
                <w:sz w:val="16"/>
                <w:szCs w:val="16"/>
                <w:b w:val="1"/>
                <w:bCs w:val="1"/>
                <w:color w:val="auto"/>
              </w:rPr>
              <w:t>Total</w:t>
            </w:r>
          </w:p>
        </w:tc>
      </w:tr>
      <w:tr>
        <w:trPr>
          <w:trHeight w:val="189"/>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gridSpan w:val="2"/>
          </w:tcPr>
          <w:p>
            <w:pPr>
              <w:ind w:left="60"/>
              <w:spacing w:after="0"/>
              <w:rPr>
                <w:sz w:val="20"/>
                <w:szCs w:val="20"/>
                <w:color w:val="auto"/>
              </w:rPr>
            </w:pPr>
            <w:r>
              <w:rPr>
                <w:rFonts w:ascii="Arial" w:cs="Arial" w:eastAsia="Arial" w:hAnsi="Arial"/>
                <w:sz w:val="16"/>
                <w:szCs w:val="16"/>
                <w:b w:val="1"/>
                <w:bCs w:val="1"/>
                <w:color w:val="auto"/>
              </w:rPr>
              <w:t>Utica</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5"/>
          </w:tcPr>
          <w:p>
            <w:pPr>
              <w:jc w:val="right"/>
              <w:ind w:right="19"/>
              <w:spacing w:after="0"/>
              <w:rPr>
                <w:sz w:val="20"/>
                <w:szCs w:val="20"/>
                <w:color w:val="auto"/>
              </w:rPr>
            </w:pPr>
            <w:r>
              <w:rPr>
                <w:rFonts w:ascii="Arial" w:cs="Arial" w:eastAsia="Arial" w:hAnsi="Arial"/>
                <w:sz w:val="16"/>
                <w:szCs w:val="16"/>
                <w:b w:val="1"/>
                <w:bCs w:val="1"/>
                <w:color w:val="auto"/>
              </w:rPr>
              <w:t>Williston</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20" w:type="dxa"/>
            <w:vAlign w:val="bottom"/>
            <w:gridSpan w:val="5"/>
          </w:tcPr>
          <w:p>
            <w:pPr>
              <w:jc w:val="right"/>
              <w:spacing w:after="0"/>
              <w:rPr>
                <w:sz w:val="20"/>
                <w:szCs w:val="20"/>
                <w:color w:val="auto"/>
              </w:rPr>
            </w:pPr>
            <w:r>
              <w:rPr>
                <w:rFonts w:ascii="Arial" w:cs="Arial" w:eastAsia="Arial" w:hAnsi="Arial"/>
                <w:sz w:val="16"/>
                <w:szCs w:val="16"/>
                <w:b w:val="1"/>
                <w:bCs w:val="1"/>
                <w:color w:val="auto"/>
              </w:rPr>
              <w:t>Piceance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Barnett</w:t>
            </w:r>
          </w:p>
        </w:tc>
        <w:tc>
          <w:tcPr>
            <w:tcW w:w="1000" w:type="dxa"/>
            <w:vAlign w:val="bottom"/>
            <w:gridSpan w:val="6"/>
          </w:tcPr>
          <w:p>
            <w:pPr>
              <w:jc w:val="right"/>
              <w:ind w:right="220"/>
              <w:spacing w:after="0"/>
              <w:rPr>
                <w:sz w:val="20"/>
                <w:szCs w:val="20"/>
                <w:color w:val="auto"/>
              </w:rPr>
            </w:pPr>
            <w:r>
              <w:rPr>
                <w:rFonts w:ascii="Arial" w:cs="Arial" w:eastAsia="Arial" w:hAnsi="Arial"/>
                <w:sz w:val="16"/>
                <w:szCs w:val="16"/>
                <w:b w:val="1"/>
                <w:bCs w:val="1"/>
                <w:color w:val="auto"/>
              </w:rPr>
              <w:t>Marcellus</w:t>
            </w:r>
          </w:p>
        </w:tc>
        <w:tc>
          <w:tcPr>
            <w:tcW w:w="980" w:type="dxa"/>
            <w:vAlign w:val="bottom"/>
            <w:gridSpan w:val="5"/>
          </w:tcPr>
          <w:p>
            <w:pPr>
              <w:spacing w:after="0"/>
              <w:rPr>
                <w:sz w:val="20"/>
                <w:szCs w:val="20"/>
                <w:color w:val="auto"/>
              </w:rPr>
            </w:pPr>
            <w:r>
              <w:rPr>
                <w:rFonts w:ascii="Arial" w:cs="Arial" w:eastAsia="Arial" w:hAnsi="Arial"/>
                <w:sz w:val="16"/>
                <w:szCs w:val="16"/>
                <w:b w:val="1"/>
                <w:bCs w:val="1"/>
                <w:color w:val="auto"/>
              </w:rPr>
              <w:t>reportable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jc w:val="right"/>
              <w:ind w:right="260"/>
              <w:spacing w:after="0"/>
              <w:rPr>
                <w:sz w:val="20"/>
                <w:szCs w:val="20"/>
                <w:color w:val="auto"/>
              </w:rPr>
            </w:pPr>
            <w:r>
              <w:rPr>
                <w:rFonts w:ascii="Arial" w:cs="Arial" w:eastAsia="Arial" w:hAnsi="Arial"/>
                <w:sz w:val="16"/>
                <w:szCs w:val="16"/>
                <w:b w:val="1"/>
                <w:bCs w:val="1"/>
                <w:color w:val="auto"/>
                <w:w w:val="98"/>
              </w:rPr>
              <w:t>All other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7"/>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6"/>
                <w:szCs w:val="16"/>
                <w:b w:val="1"/>
                <w:bCs w:val="1"/>
                <w:color w:val="auto"/>
              </w:rPr>
              <w:t>DJ Basin</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5"/>
          </w:tcPr>
          <w:p>
            <w:pPr>
              <w:jc w:val="right"/>
              <w:ind w:right="119"/>
              <w:spacing w:after="0"/>
              <w:rPr>
                <w:sz w:val="20"/>
                <w:szCs w:val="20"/>
                <w:color w:val="auto"/>
              </w:rPr>
            </w:pPr>
            <w:r>
              <w:rPr>
                <w:rFonts w:ascii="Arial" w:cs="Arial" w:eastAsia="Arial" w:hAnsi="Arial"/>
                <w:sz w:val="16"/>
                <w:szCs w:val="16"/>
                <w:b w:val="1"/>
                <w:bCs w:val="1"/>
                <w:color w:val="auto"/>
              </w:rPr>
              <w:t>Basin</w:t>
            </w: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8"/>
              </w:rPr>
              <w:t>Shale</w:t>
            </w: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6"/>
                <w:szCs w:val="16"/>
                <w:b w:val="1"/>
                <w:bCs w:val="1"/>
                <w:color w:val="auto"/>
                <w:w w:val="98"/>
              </w:rPr>
              <w:t>Shale</w:t>
            </w:r>
          </w:p>
        </w:tc>
        <w:tc>
          <w:tcPr>
            <w:tcW w:w="98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segments</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5"/>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w w:val="99"/>
              </w:rPr>
              <w:t>Total</w:t>
            </w:r>
          </w:p>
        </w:tc>
      </w:tr>
      <w:tr>
        <w:trPr>
          <w:trHeight w:val="196"/>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10"/>
          </w:tcPr>
          <w:p>
            <w:pPr>
              <w:jc w:val="center"/>
              <w:ind w:right="100"/>
              <w:spacing w:after="0"/>
              <w:rPr>
                <w:sz w:val="20"/>
                <w:szCs w:val="20"/>
                <w:color w:val="auto"/>
              </w:rPr>
            </w:pPr>
            <w:r>
              <w:rPr>
                <w:rFonts w:ascii="Arial" w:cs="Arial" w:eastAsia="Arial" w:hAnsi="Arial"/>
                <w:sz w:val="16"/>
                <w:szCs w:val="16"/>
                <w:b w:val="1"/>
                <w:bCs w:val="1"/>
                <w:color w:val="auto"/>
              </w:rPr>
              <w:t>(In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8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r>
      <w:tr>
        <w:trPr>
          <w:trHeight w:val="207"/>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r>
      <w:tr>
        <w:trPr>
          <w:trHeight w:val="204"/>
        </w:trPr>
        <w:tc>
          <w:tcPr>
            <w:tcW w:w="11420" w:type="dxa"/>
            <w:vAlign w:val="bottom"/>
            <w:gridSpan w:val="58"/>
          </w:tcPr>
          <w:p>
            <w:pPr>
              <w:spacing w:after="0"/>
              <w:rPr>
                <w:sz w:val="20"/>
                <w:szCs w:val="20"/>
                <w:color w:val="auto"/>
              </w:rPr>
            </w:pPr>
            <w:r>
              <w:rPr>
                <w:rFonts w:ascii="Arial" w:cs="Arial" w:eastAsia="Arial" w:hAnsi="Arial"/>
                <w:sz w:val="16"/>
                <w:szCs w:val="16"/>
                <w:color w:val="auto"/>
              </w:rPr>
              <w:t>Gathering services</w:t>
            </w:r>
          </w:p>
        </w:tc>
      </w:tr>
      <w:tr>
        <w:trPr>
          <w:trHeight w:val="187"/>
        </w:trPr>
        <w:tc>
          <w:tcPr>
            <w:tcW w:w="228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00" w:type="dxa"/>
            <w:vAlign w:val="bottom"/>
          </w:tcPr>
          <w:p>
            <w:pPr>
              <w:spacing w:after="0"/>
              <w:rPr>
                <w:sz w:val="16"/>
                <w:szCs w:val="16"/>
                <w:color w:val="auto"/>
              </w:rPr>
            </w:pPr>
          </w:p>
        </w:tc>
        <w:tc>
          <w:tcPr>
            <w:tcW w:w="26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700" w:type="dxa"/>
            <w:vAlign w:val="bottom"/>
            <w:gridSpan w:val="4"/>
          </w:tcPr>
          <w:p>
            <w:pPr>
              <w:jc w:val="right"/>
              <w:spacing w:after="0"/>
              <w:rPr>
                <w:sz w:val="20"/>
                <w:szCs w:val="20"/>
                <w:color w:val="auto"/>
              </w:rPr>
            </w:pPr>
            <w:r>
              <w:rPr>
                <w:rFonts w:ascii="Arial" w:cs="Arial" w:eastAsia="Arial" w:hAnsi="Arial"/>
                <w:sz w:val="16"/>
                <w:szCs w:val="16"/>
                <w:color w:val="auto"/>
              </w:rPr>
              <w:t>10,422</w:t>
            </w:r>
          </w:p>
        </w:tc>
        <w:tc>
          <w:tcPr>
            <w:tcW w:w="420" w:type="dxa"/>
            <w:vAlign w:val="bottom"/>
            <w:gridSpan w:val="3"/>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23,106</w:t>
            </w:r>
          </w:p>
        </w:tc>
        <w:tc>
          <w:tcPr>
            <w:tcW w:w="500" w:type="dxa"/>
            <w:vAlign w:val="bottom"/>
            <w:gridSpan w:val="3"/>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gridSpan w:val="4"/>
          </w:tcPr>
          <w:p>
            <w:pPr>
              <w:jc w:val="right"/>
              <w:spacing w:after="0"/>
              <w:rPr>
                <w:sz w:val="20"/>
                <w:szCs w:val="20"/>
                <w:color w:val="auto"/>
              </w:rPr>
            </w:pPr>
            <w:r>
              <w:rPr>
                <w:rFonts w:ascii="Arial" w:cs="Arial" w:eastAsia="Arial" w:hAnsi="Arial"/>
                <w:sz w:val="16"/>
                <w:szCs w:val="16"/>
                <w:color w:val="auto"/>
              </w:rPr>
              <w:t>2,509</w:t>
            </w:r>
          </w:p>
        </w:tc>
        <w:tc>
          <w:tcPr>
            <w:tcW w:w="380" w:type="dxa"/>
            <w:vAlign w:val="bottom"/>
            <w:gridSpan w:val="3"/>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gridSpan w:val="4"/>
          </w:tcPr>
          <w:p>
            <w:pPr>
              <w:jc w:val="right"/>
              <w:spacing w:after="0"/>
              <w:rPr>
                <w:sz w:val="20"/>
                <w:szCs w:val="20"/>
                <w:color w:val="auto"/>
              </w:rPr>
            </w:pPr>
            <w:r>
              <w:rPr>
                <w:rFonts w:ascii="Arial" w:cs="Arial" w:eastAsia="Arial" w:hAnsi="Arial"/>
                <w:sz w:val="16"/>
                <w:szCs w:val="16"/>
                <w:color w:val="auto"/>
              </w:rPr>
              <w:t>33,661</w:t>
            </w:r>
          </w:p>
        </w:tc>
        <w:tc>
          <w:tcPr>
            <w:tcW w:w="28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4"/>
          </w:tcPr>
          <w:p>
            <w:pPr>
              <w:ind w:left="200"/>
              <w:spacing w:after="0"/>
              <w:rPr>
                <w:sz w:val="20"/>
                <w:szCs w:val="20"/>
                <w:color w:val="auto"/>
              </w:rPr>
            </w:pPr>
            <w:r>
              <w:rPr>
                <w:rFonts w:ascii="Arial" w:cs="Arial" w:eastAsia="Arial" w:hAnsi="Arial"/>
                <w:sz w:val="16"/>
                <w:szCs w:val="16"/>
                <w:color w:val="auto"/>
              </w:rPr>
              <w:t>14,080</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jc w:val="right"/>
              <w:ind w:right="39"/>
              <w:spacing w:after="0"/>
              <w:rPr>
                <w:sz w:val="20"/>
                <w:szCs w:val="20"/>
                <w:color w:val="auto"/>
              </w:rPr>
            </w:pPr>
            <w:r>
              <w:rPr>
                <w:rFonts w:ascii="Arial" w:cs="Arial" w:eastAsia="Arial" w:hAnsi="Arial"/>
                <w:sz w:val="16"/>
                <w:szCs w:val="16"/>
                <w:color w:val="auto"/>
              </w:rPr>
              <w:t>8,050</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39"/>
              <w:spacing w:after="0"/>
              <w:rPr>
                <w:sz w:val="20"/>
                <w:szCs w:val="20"/>
                <w:color w:val="auto"/>
              </w:rPr>
            </w:pPr>
            <w:r>
              <w:rPr>
                <w:rFonts w:ascii="Arial" w:cs="Arial" w:eastAsia="Arial" w:hAnsi="Arial"/>
                <w:sz w:val="16"/>
                <w:szCs w:val="16"/>
                <w:color w:val="auto"/>
              </w:rPr>
              <w:t>91,828</w:t>
            </w:r>
          </w:p>
        </w:tc>
        <w:tc>
          <w:tcPr>
            <w:tcW w:w="60" w:type="dxa"/>
            <w:vAlign w:val="bottom"/>
          </w:tcPr>
          <w:p>
            <w:pPr>
              <w:spacing w:after="0"/>
              <w:rPr>
                <w:sz w:val="16"/>
                <w:szCs w:val="16"/>
                <w:color w:val="auto"/>
              </w:rPr>
            </w:pPr>
          </w:p>
        </w:tc>
        <w:tc>
          <w:tcPr>
            <w:tcW w:w="160" w:type="dxa"/>
            <w:vAlign w:val="bottom"/>
            <w:gridSpan w:val="3"/>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(2,243)</w:t>
            </w:r>
          </w:p>
        </w:tc>
        <w:tc>
          <w:tcPr>
            <w:tcW w:w="60" w:type="dxa"/>
            <w:vAlign w:val="bottom"/>
          </w:tcPr>
          <w:p>
            <w:pPr>
              <w:spacing w:after="0"/>
              <w:rPr>
                <w:sz w:val="16"/>
                <w:szCs w:val="16"/>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tcPr>
          <w:p>
            <w:pPr>
              <w:spacing w:after="0"/>
              <w:rPr>
                <w:sz w:val="16"/>
                <w:szCs w:val="16"/>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89,585</w:t>
            </w:r>
          </w:p>
        </w:tc>
      </w:tr>
      <w:tr>
        <w:trPr>
          <w:trHeight w:val="204"/>
        </w:trPr>
        <w:tc>
          <w:tcPr>
            <w:tcW w:w="11420" w:type="dxa"/>
            <w:vAlign w:val="bottom"/>
            <w:gridSpan w:val="58"/>
            <w:shd w:val="clear" w:color="auto" w:fill="CFF0FC"/>
          </w:tcPr>
          <w:p>
            <w:pPr>
              <w:spacing w:after="0"/>
              <w:rPr>
                <w:sz w:val="20"/>
                <w:szCs w:val="20"/>
                <w:color w:val="auto"/>
              </w:rPr>
            </w:pPr>
            <w:r>
              <w:rPr>
                <w:rFonts w:ascii="Arial" w:cs="Arial" w:eastAsia="Arial" w:hAnsi="Arial"/>
                <w:sz w:val="16"/>
                <w:szCs w:val="16"/>
                <w:color w:val="auto"/>
              </w:rPr>
              <w:t>Natural gas, NGLs</w:t>
            </w:r>
          </w:p>
        </w:tc>
      </w:tr>
      <w:tr>
        <w:trPr>
          <w:trHeight w:val="189"/>
        </w:trPr>
        <w:tc>
          <w:tcPr>
            <w:tcW w:w="11420" w:type="dxa"/>
            <w:vAlign w:val="bottom"/>
            <w:gridSpan w:val="58"/>
            <w:shd w:val="clear" w:color="auto" w:fill="CFF0FC"/>
          </w:tcPr>
          <w:p>
            <w:pPr>
              <w:ind w:left="180"/>
              <w:spacing w:after="0"/>
              <w:rPr>
                <w:sz w:val="20"/>
                <w:szCs w:val="20"/>
                <w:color w:val="auto"/>
              </w:rPr>
            </w:pPr>
            <w:r>
              <w:rPr>
                <w:rFonts w:ascii="Arial" w:cs="Arial" w:eastAsia="Arial" w:hAnsi="Arial"/>
                <w:sz w:val="16"/>
                <w:szCs w:val="16"/>
                <w:color w:val="auto"/>
              </w:rPr>
              <w:t>and condensate</w:t>
            </w:r>
          </w:p>
        </w:tc>
      </w:tr>
      <w:tr>
        <w:trPr>
          <w:trHeight w:val="187"/>
        </w:trPr>
        <w:tc>
          <w:tcPr>
            <w:tcW w:w="2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94"/>
              </w:rPr>
              <w:t>7,350</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4,596</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381</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12,406</w:t>
            </w:r>
          </w:p>
        </w:tc>
        <w:tc>
          <w:tcPr>
            <w:tcW w:w="6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19,485</w:t>
            </w:r>
          </w:p>
        </w:tc>
        <w:tc>
          <w:tcPr>
            <w:tcW w:w="6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31,891</w:t>
            </w:r>
          </w:p>
        </w:tc>
      </w:tr>
      <w:tr>
        <w:trPr>
          <w:trHeight w:val="203"/>
        </w:trPr>
        <w:tc>
          <w:tcPr>
            <w:tcW w:w="2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7"/>
              </w:rPr>
              <w:t>—</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2,960</w:t>
            </w: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969</w:t>
            </w: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color w:val="auto"/>
              </w:rPr>
              <w:t>1,178</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1,694</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6,801</w:t>
            </w:r>
          </w:p>
        </w:tc>
        <w:tc>
          <w:tcPr>
            <w:tcW w:w="6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60" w:type="dxa"/>
            <w:vAlign w:val="bottom"/>
            <w:tcBorders>
              <w:bottom w:val="single" w:sz="8" w:color="CFF0FC"/>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6,707</w:t>
            </w:r>
          </w:p>
        </w:tc>
      </w:tr>
      <w:tr>
        <w:trPr>
          <w:trHeight w:val="196"/>
        </w:trPr>
        <w:tc>
          <w:tcPr>
            <w:tcW w:w="22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00" w:type="dxa"/>
            <w:vAlign w:val="bottom"/>
            <w:shd w:val="clear" w:color="auto" w:fill="CFF0FC"/>
          </w:tcPr>
          <w:p>
            <w:pPr>
              <w:spacing w:after="0"/>
              <w:rPr>
                <w:sz w:val="17"/>
                <w:szCs w:val="17"/>
                <w:color w:val="auto"/>
              </w:rPr>
            </w:pPr>
          </w:p>
        </w:tc>
        <w:tc>
          <w:tcPr>
            <w:tcW w:w="260" w:type="dxa"/>
            <w:vAlign w:val="bottom"/>
            <w:gridSpan w:val="2"/>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7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10,422</w:t>
            </w:r>
          </w:p>
        </w:tc>
        <w:tc>
          <w:tcPr>
            <w:tcW w:w="420" w:type="dxa"/>
            <w:vAlign w:val="bottom"/>
            <w:gridSpan w:val="3"/>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56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33,416</w:t>
            </w:r>
          </w:p>
        </w:tc>
        <w:tc>
          <w:tcPr>
            <w:tcW w:w="500" w:type="dxa"/>
            <w:vAlign w:val="bottom"/>
            <w:gridSpan w:val="3"/>
            <w:shd w:val="clear" w:color="auto" w:fill="CFF0FC"/>
          </w:tcPr>
          <w:p>
            <w:pPr>
              <w:jc w:val="right"/>
              <w:ind w:right="179"/>
              <w:spacing w:after="0"/>
              <w:rPr>
                <w:sz w:val="20"/>
                <w:szCs w:val="20"/>
                <w:color w:val="auto"/>
              </w:rPr>
            </w:pPr>
            <w:r>
              <w:rPr>
                <w:rFonts w:ascii="Arial" w:cs="Arial" w:eastAsia="Arial" w:hAnsi="Arial"/>
                <w:sz w:val="16"/>
                <w:szCs w:val="16"/>
                <w:color w:val="auto"/>
              </w:rPr>
              <w:t>$</w:t>
            </w:r>
          </w:p>
        </w:tc>
        <w:tc>
          <w:tcPr>
            <w:tcW w:w="50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3,557</w:t>
            </w:r>
          </w:p>
        </w:tc>
        <w:tc>
          <w:tcPr>
            <w:tcW w:w="380" w:type="dxa"/>
            <w:vAlign w:val="bottom"/>
            <w:gridSpan w:val="3"/>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gridSpan w:val="4"/>
            <w:shd w:val="clear" w:color="auto" w:fill="CFF0FC"/>
          </w:tcPr>
          <w:p>
            <w:pPr>
              <w:jc w:val="right"/>
              <w:spacing w:after="0"/>
              <w:rPr>
                <w:sz w:val="20"/>
                <w:szCs w:val="20"/>
                <w:color w:val="auto"/>
              </w:rPr>
            </w:pPr>
            <w:r>
              <w:rPr>
                <w:rFonts w:ascii="Arial" w:cs="Arial" w:eastAsia="Arial" w:hAnsi="Arial"/>
                <w:sz w:val="16"/>
                <w:szCs w:val="16"/>
                <w:color w:val="auto"/>
              </w:rPr>
              <w:t>39,435</w:t>
            </w:r>
          </w:p>
        </w:tc>
        <w:tc>
          <w:tcPr>
            <w:tcW w:w="28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gridSpan w:val="4"/>
            <w:shd w:val="clear" w:color="auto" w:fill="CFF0FC"/>
          </w:tcPr>
          <w:p>
            <w:pPr>
              <w:ind w:left="200"/>
              <w:spacing w:after="0"/>
              <w:rPr>
                <w:sz w:val="20"/>
                <w:szCs w:val="20"/>
                <w:color w:val="auto"/>
              </w:rPr>
            </w:pPr>
            <w:r>
              <w:rPr>
                <w:rFonts w:ascii="Arial" w:cs="Arial" w:eastAsia="Arial" w:hAnsi="Arial"/>
                <w:sz w:val="16"/>
                <w:szCs w:val="16"/>
                <w:color w:val="auto"/>
              </w:rPr>
              <w:t>16,155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8,050</w:t>
            </w:r>
          </w:p>
        </w:tc>
        <w:tc>
          <w:tcPr>
            <w:tcW w:w="80" w:type="dxa"/>
            <w:vAlign w:val="bottom"/>
            <w:shd w:val="clear" w:color="auto" w:fill="CFF0FC"/>
          </w:tcPr>
          <w:p>
            <w:pPr>
              <w:spacing w:after="0"/>
              <w:rPr>
                <w:sz w:val="17"/>
                <w:szCs w:val="17"/>
                <w:color w:val="auto"/>
              </w:rPr>
            </w:pPr>
          </w:p>
        </w:tc>
        <w:tc>
          <w:tcPr>
            <w:tcW w:w="920" w:type="dxa"/>
            <w:vAlign w:val="bottom"/>
            <w:gridSpan w:val="4"/>
            <w:shd w:val="clear" w:color="auto" w:fill="CFF0FC"/>
          </w:tcPr>
          <w:p>
            <w:pPr>
              <w:jc w:val="right"/>
              <w:ind w:right="39"/>
              <w:spacing w:after="0"/>
              <w:rPr>
                <w:sz w:val="20"/>
                <w:szCs w:val="20"/>
                <w:color w:val="auto"/>
              </w:rPr>
            </w:pPr>
            <w:r>
              <w:rPr>
                <w:rFonts w:ascii="Arial" w:cs="Arial" w:eastAsia="Arial" w:hAnsi="Arial"/>
                <w:sz w:val="16"/>
                <w:szCs w:val="16"/>
                <w:color w:val="auto"/>
              </w:rPr>
              <w:t>$  111,035</w:t>
            </w:r>
          </w:p>
        </w:tc>
        <w:tc>
          <w:tcPr>
            <w:tcW w:w="60" w:type="dxa"/>
            <w:vAlign w:val="bottom"/>
            <w:shd w:val="clear" w:color="auto" w:fill="CFF0FC"/>
          </w:tcPr>
          <w:p>
            <w:pPr>
              <w:spacing w:after="0"/>
              <w:rPr>
                <w:sz w:val="17"/>
                <w:szCs w:val="17"/>
                <w:color w:val="auto"/>
              </w:rPr>
            </w:pPr>
          </w:p>
        </w:tc>
        <w:tc>
          <w:tcPr>
            <w:tcW w:w="1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17,148</w:t>
            </w:r>
          </w:p>
        </w:tc>
        <w:tc>
          <w:tcPr>
            <w:tcW w:w="60" w:type="dxa"/>
            <w:vAlign w:val="bottom"/>
            <w:shd w:val="clear" w:color="auto" w:fill="CFF0FC"/>
          </w:tcPr>
          <w:p>
            <w:pPr>
              <w:spacing w:after="0"/>
              <w:rPr>
                <w:sz w:val="17"/>
                <w:szCs w:val="17"/>
                <w:color w:val="auto"/>
              </w:rPr>
            </w:pPr>
          </w:p>
        </w:tc>
        <w:tc>
          <w:tcPr>
            <w:tcW w:w="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128,183</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Reportable Segments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96"/>
        </w:trPr>
        <w:tc>
          <w:tcPr>
            <w:tcW w:w="25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9"/>
          </w:tcPr>
          <w:p>
            <w:pPr>
              <w:jc w:val="center"/>
              <w:ind w:right="260"/>
              <w:spacing w:after="0"/>
              <w:rPr>
                <w:sz w:val="20"/>
                <w:szCs w:val="20"/>
                <w:color w:val="auto"/>
              </w:rPr>
            </w:pPr>
            <w:r>
              <w:rPr>
                <w:rFonts w:ascii="Arial" w:cs="Arial" w:eastAsia="Arial" w:hAnsi="Arial"/>
                <w:sz w:val="16"/>
                <w:szCs w:val="16"/>
                <w:b w:val="1"/>
                <w:bCs w:val="1"/>
                <w:color w:val="auto"/>
              </w:rPr>
              <w:t>Six months ended June 30, 2018</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78"/>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59"/>
              <w:spacing w:after="0" w:line="178" w:lineRule="exact"/>
              <w:rPr>
                <w:sz w:val="20"/>
                <w:szCs w:val="20"/>
                <w:color w:val="auto"/>
              </w:rPr>
            </w:pPr>
            <w:r>
              <w:rPr>
                <w:rFonts w:ascii="Arial" w:cs="Arial" w:eastAsia="Arial" w:hAnsi="Arial"/>
                <w:sz w:val="16"/>
                <w:szCs w:val="16"/>
                <w:b w:val="1"/>
                <w:bCs w:val="1"/>
                <w:color w:val="auto"/>
              </w:rPr>
              <w:t>Total</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9"/>
        </w:trPr>
        <w:tc>
          <w:tcPr>
            <w:tcW w:w="2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6"/>
                <w:szCs w:val="16"/>
                <w:b w:val="1"/>
                <w:bCs w:val="1"/>
                <w:color w:val="auto"/>
              </w:rPr>
              <w:t>Utica</w:t>
            </w:r>
          </w:p>
        </w:tc>
        <w:tc>
          <w:tcPr>
            <w:tcW w:w="92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Williston</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Arial" w:cs="Arial" w:eastAsia="Arial" w:hAnsi="Arial"/>
                <w:sz w:val="16"/>
                <w:szCs w:val="16"/>
                <w:b w:val="1"/>
                <w:bCs w:val="1"/>
                <w:color w:val="auto"/>
              </w:rPr>
              <w:t>Piceance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Barnett</w:t>
            </w:r>
          </w:p>
        </w:tc>
        <w:tc>
          <w:tcPr>
            <w:tcW w:w="10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Marcellus</w:t>
            </w:r>
          </w:p>
        </w:tc>
        <w:tc>
          <w:tcPr>
            <w:tcW w:w="920" w:type="dxa"/>
            <w:vAlign w:val="bottom"/>
            <w:gridSpan w:val="2"/>
          </w:tcPr>
          <w:p>
            <w:pPr>
              <w:spacing w:after="0"/>
              <w:rPr>
                <w:sz w:val="20"/>
                <w:szCs w:val="20"/>
                <w:color w:val="auto"/>
              </w:rPr>
            </w:pPr>
            <w:r>
              <w:rPr>
                <w:rFonts w:ascii="Arial" w:cs="Arial" w:eastAsia="Arial" w:hAnsi="Arial"/>
                <w:sz w:val="16"/>
                <w:szCs w:val="16"/>
                <w:b w:val="1"/>
                <w:bCs w:val="1"/>
                <w:color w:val="auto"/>
              </w:rPr>
              <w:t>reportable</w:t>
            </w:r>
          </w:p>
        </w:tc>
        <w:tc>
          <w:tcPr>
            <w:tcW w:w="8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rPr>
              <w:t>All other</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7"/>
        </w:trPr>
        <w:tc>
          <w:tcPr>
            <w:tcW w:w="2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Shale</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Basin</w:t>
            </w: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DJ Basin</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Basin</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98"/>
              </w:rPr>
              <w:t>Shale</w:t>
            </w: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rPr>
              <w:t>Shale</w:t>
            </w: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segments</w:t>
            </w: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6"/>
                <w:szCs w:val="16"/>
                <w:b w:val="1"/>
                <w:bCs w:val="1"/>
                <w:color w:val="auto"/>
              </w:rPr>
              <w:t>segments</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Total</w:t>
            </w:r>
          </w:p>
        </w:tc>
      </w:tr>
      <w:tr>
        <w:trPr>
          <w:trHeight w:val="196"/>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80" w:type="dxa"/>
            <w:vAlign w:val="bottom"/>
            <w:gridSpan w:val="6"/>
          </w:tcPr>
          <w:p>
            <w:pPr>
              <w:jc w:val="center"/>
              <w:ind w:right="2"/>
              <w:spacing w:after="0"/>
              <w:rPr>
                <w:sz w:val="20"/>
                <w:szCs w:val="20"/>
                <w:color w:val="auto"/>
              </w:rPr>
            </w:pPr>
            <w:r>
              <w:rPr>
                <w:rFonts w:ascii="Arial" w:cs="Arial" w:eastAsia="Arial" w:hAnsi="Arial"/>
                <w:sz w:val="16"/>
                <w:szCs w:val="16"/>
                <w:b w:val="1"/>
                <w:bCs w:val="1"/>
                <w:color w:val="auto"/>
              </w:rPr>
              <w:t>(In thousands)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4"/>
        </w:trPr>
        <w:tc>
          <w:tcPr>
            <w:tcW w:w="2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Major products /</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207"/>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b w:val="1"/>
                <w:bCs w:val="1"/>
                <w:color w:val="auto"/>
              </w:rPr>
              <w:t>services lines</w:t>
            </w: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r>
      <w:tr>
        <w:trPr>
          <w:trHeight w:val="204"/>
        </w:trPr>
        <w:tc>
          <w:tcPr>
            <w:tcW w:w="2500" w:type="dxa"/>
            <w:vAlign w:val="bottom"/>
          </w:tcPr>
          <w:p>
            <w:pPr>
              <w:spacing w:after="0"/>
              <w:rPr>
                <w:sz w:val="20"/>
                <w:szCs w:val="20"/>
                <w:color w:val="auto"/>
              </w:rPr>
            </w:pPr>
            <w:r>
              <w:rPr>
                <w:rFonts w:ascii="Arial" w:cs="Arial" w:eastAsia="Arial" w:hAnsi="Arial"/>
                <w:sz w:val="16"/>
                <w:szCs w:val="16"/>
                <w:color w:val="auto"/>
              </w:rPr>
              <w:t>Gathering services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187"/>
        </w:trPr>
        <w:tc>
          <w:tcPr>
            <w:tcW w:w="2500" w:type="dxa"/>
            <w:vAlign w:val="bottom"/>
          </w:tcPr>
          <w:p>
            <w:pPr>
              <w:ind w:left="180"/>
              <w:spacing w:after="0"/>
              <w:rPr>
                <w:sz w:val="20"/>
                <w:szCs w:val="20"/>
                <w:color w:val="auto"/>
              </w:rPr>
            </w:pPr>
            <w:r>
              <w:rPr>
                <w:rFonts w:ascii="Arial" w:cs="Arial" w:eastAsia="Arial" w:hAnsi="Arial"/>
                <w:sz w:val="16"/>
                <w:szCs w:val="16"/>
                <w:color w:val="auto"/>
              </w:rPr>
              <w:t>and related fees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20,463</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59"/>
              <w:spacing w:after="0"/>
              <w:rPr>
                <w:sz w:val="20"/>
                <w:szCs w:val="20"/>
                <w:color w:val="auto"/>
              </w:rPr>
            </w:pPr>
            <w:r>
              <w:rPr>
                <w:rFonts w:ascii="Arial" w:cs="Arial" w:eastAsia="Arial" w:hAnsi="Arial"/>
                <w:sz w:val="16"/>
                <w:szCs w:val="16"/>
                <w:color w:val="auto"/>
              </w:rPr>
              <w:t>40,772</w:t>
            </w:r>
          </w:p>
        </w:tc>
        <w:tc>
          <w:tcPr>
            <w:tcW w:w="300" w:type="dxa"/>
            <w:vAlign w:val="bottom"/>
            <w:gridSpan w:val="2"/>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4,688</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66,776</w:t>
            </w:r>
          </w:p>
        </w:tc>
        <w:tc>
          <w:tcPr>
            <w:tcW w:w="26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39"/>
              <w:spacing w:after="0"/>
              <w:rPr>
                <w:sz w:val="20"/>
                <w:szCs w:val="20"/>
                <w:color w:val="auto"/>
              </w:rPr>
            </w:pPr>
            <w:r>
              <w:rPr>
                <w:rFonts w:ascii="Arial" w:cs="Arial" w:eastAsia="Arial" w:hAnsi="Arial"/>
                <w:sz w:val="16"/>
                <w:szCs w:val="16"/>
                <w:color w:val="auto"/>
              </w:rPr>
              <w:t>27,717</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15,875</w:t>
            </w:r>
          </w:p>
        </w:tc>
        <w:tc>
          <w:tcPr>
            <w:tcW w:w="80" w:type="dxa"/>
            <w:vAlign w:val="bottom"/>
          </w:tcPr>
          <w:p>
            <w:pPr>
              <w:spacing w:after="0"/>
              <w:rPr>
                <w:sz w:val="16"/>
                <w:szCs w:val="16"/>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176,291</w:t>
            </w:r>
          </w:p>
        </w:tc>
        <w:tc>
          <w:tcPr>
            <w:tcW w:w="28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(2,345)</w:t>
            </w:r>
          </w:p>
        </w:tc>
        <w:tc>
          <w:tcPr>
            <w:tcW w:w="6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173,946</w:t>
            </w:r>
          </w:p>
        </w:tc>
      </w:tr>
      <w:tr>
        <w:trPr>
          <w:trHeight w:val="204"/>
        </w:trPr>
        <w:tc>
          <w:tcPr>
            <w:tcW w:w="2500" w:type="dxa"/>
            <w:vAlign w:val="bottom"/>
            <w:shd w:val="clear" w:color="auto" w:fill="CFF0FC"/>
          </w:tcPr>
          <w:p>
            <w:pPr>
              <w:spacing w:after="0"/>
              <w:rPr>
                <w:sz w:val="20"/>
                <w:szCs w:val="20"/>
                <w:color w:val="auto"/>
              </w:rPr>
            </w:pPr>
            <w:r>
              <w:rPr>
                <w:rFonts w:ascii="Arial" w:cs="Arial" w:eastAsia="Arial" w:hAnsi="Arial"/>
                <w:sz w:val="16"/>
                <w:szCs w:val="16"/>
                <w:color w:val="auto"/>
              </w:rPr>
              <w:t>Natural gas, NGLs</w:t>
            </w: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r>
      <w:tr>
        <w:trPr>
          <w:trHeight w:val="189"/>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and condensate</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r>
      <w:tr>
        <w:trPr>
          <w:trHeight w:val="187"/>
        </w:trPr>
        <w:tc>
          <w:tcPr>
            <w:tcW w:w="25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sales</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15,196</w:t>
            </w:r>
          </w:p>
        </w:tc>
        <w:tc>
          <w:tcPr>
            <w:tcW w:w="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159</w:t>
            </w:r>
          </w:p>
        </w:tc>
        <w:tc>
          <w:tcPr>
            <w:tcW w:w="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8,841</w:t>
            </w: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926</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25,122</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32,886</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58,008</w:t>
            </w:r>
          </w:p>
        </w:tc>
      </w:tr>
      <w:tr>
        <w:trPr>
          <w:trHeight w:val="203"/>
        </w:trPr>
        <w:tc>
          <w:tcPr>
            <w:tcW w:w="25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5,872</w:t>
            </w:r>
          </w:p>
        </w:tc>
        <w:tc>
          <w:tcPr>
            <w:tcW w:w="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1,726</w:t>
            </w:r>
          </w:p>
        </w:tc>
        <w:tc>
          <w:tcPr>
            <w:tcW w:w="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w:t>
            </w: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3,682</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13,669</w:t>
            </w:r>
          </w:p>
        </w:tc>
        <w:tc>
          <w:tcPr>
            <w:tcW w:w="8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6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13,549</w:t>
            </w:r>
          </w:p>
        </w:tc>
      </w:tr>
      <w:tr>
        <w:trPr>
          <w:trHeight w:val="196"/>
        </w:trPr>
        <w:tc>
          <w:tcPr>
            <w:tcW w:w="2500" w:type="dxa"/>
            <w:vAlign w:val="bottom"/>
            <w:shd w:val="clear" w:color="auto" w:fill="CFF0FC"/>
          </w:tcPr>
          <w:p>
            <w:pPr>
              <w:ind w:left="140"/>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20,463</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61,840</w:t>
            </w:r>
          </w:p>
        </w:tc>
        <w:tc>
          <w:tcPr>
            <w:tcW w:w="300" w:type="dxa"/>
            <w:vAlign w:val="bottom"/>
            <w:gridSpan w:val="2"/>
            <w:shd w:val="clear" w:color="auto" w:fill="CFF0FC"/>
          </w:tcPr>
          <w:p>
            <w:pPr>
              <w:jc w:val="right"/>
              <w:ind w:right="79"/>
              <w:spacing w:after="0"/>
              <w:rPr>
                <w:sz w:val="20"/>
                <w:szCs w:val="20"/>
                <w:color w:val="auto"/>
              </w:rPr>
            </w:pPr>
            <w:r>
              <w:rPr>
                <w:rFonts w:ascii="Arial" w:cs="Arial" w:eastAsia="Arial" w:hAnsi="Arial"/>
                <w:sz w:val="16"/>
                <w:szCs w:val="16"/>
                <w:color w:val="auto"/>
              </w:rPr>
              <w:t>$</w:t>
            </w:r>
          </w:p>
        </w:tc>
        <w:tc>
          <w:tcPr>
            <w:tcW w:w="6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6,573</w:t>
            </w:r>
          </w:p>
        </w:tc>
        <w:tc>
          <w:tcPr>
            <w:tcW w:w="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78,006</w:t>
            </w:r>
          </w:p>
        </w:tc>
        <w:tc>
          <w:tcPr>
            <w:tcW w:w="2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32,325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15,875</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215,082</w:t>
            </w:r>
          </w:p>
        </w:tc>
        <w:tc>
          <w:tcPr>
            <w:tcW w:w="28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30,421</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245,503</w:t>
            </w:r>
          </w:p>
        </w:tc>
      </w:tr>
    </w:tbl>
    <w:p>
      <w:pPr>
        <w:spacing w:after="0" w:line="99" w:lineRule="exact"/>
        <w:rPr>
          <w:sz w:val="20"/>
          <w:szCs w:val="20"/>
          <w:color w:val="auto"/>
        </w:rPr>
      </w:pPr>
    </w:p>
    <w:p>
      <w:pPr>
        <w:ind w:right="160"/>
        <w:spacing w:after="0" w:line="247" w:lineRule="auto"/>
        <w:rPr>
          <w:sz w:val="20"/>
          <w:szCs w:val="20"/>
          <w:color w:val="auto"/>
        </w:rPr>
      </w:pPr>
      <w:r>
        <w:rPr>
          <w:rFonts w:ascii="Arial" w:cs="Arial" w:eastAsia="Arial" w:hAnsi="Arial"/>
          <w:sz w:val="18"/>
          <w:szCs w:val="18"/>
          <w:b w:val="1"/>
          <w:bCs w:val="1"/>
          <w:i w:val="1"/>
          <w:iCs w:val="1"/>
          <w:color w:val="auto"/>
        </w:rPr>
        <w:t xml:space="preserve">Contract balances. </w:t>
      </w:r>
      <w:r>
        <w:rPr>
          <w:rFonts w:ascii="Arial" w:cs="Arial" w:eastAsia="Arial" w:hAnsi="Arial"/>
          <w:sz w:val="18"/>
          <w:szCs w:val="18"/>
          <w:color w:val="auto"/>
        </w:rPr>
        <w:t>Contract assets relate to our rights to consideration for work completed but not billed at the reporting date and consist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estimated MVC shortfall payments expected from our customers and unbilled activity associated with contributions in aid of construction. Contract assets are transferred to trade receivables when the rights become unconditional. The following table provides information about contract assets from contracts with customers: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60" w:type="dxa"/>
            <w:vAlign w:val="bottom"/>
            <w:gridSpan w:val="4"/>
          </w:tcPr>
          <w:p>
            <w:pPr>
              <w:jc w:val="right"/>
              <w:ind w:right="131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Contract assets, beginning of period</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8,755</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r>
      <w:tr>
        <w:trPr>
          <w:trHeight w:val="216"/>
        </w:trPr>
        <w:tc>
          <w:tcPr>
            <w:tcW w:w="77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220" w:type="dxa"/>
            <w:vAlign w:val="bottom"/>
          </w:tcPr>
          <w:p>
            <w:pPr>
              <w:spacing w:after="0"/>
              <w:rPr>
                <w:sz w:val="18"/>
                <w:szCs w:val="18"/>
                <w:color w:val="auto"/>
              </w:rPr>
            </w:pP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14,602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26,403</w:t>
            </w:r>
          </w:p>
        </w:tc>
      </w:tr>
      <w:tr>
        <w:trPr>
          <w:trHeight w:val="216"/>
        </w:trPr>
        <w:tc>
          <w:tcPr>
            <w:tcW w:w="7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Transfers out</w:t>
            </w:r>
          </w:p>
        </w:tc>
        <w:tc>
          <w:tcPr>
            <w:tcW w:w="2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2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(17,648)</w:t>
            </w:r>
          </w:p>
        </w:tc>
      </w:tr>
      <w:tr>
        <w:trPr>
          <w:trHeight w:val="223"/>
        </w:trPr>
        <w:tc>
          <w:tcPr>
            <w:tcW w:w="7740" w:type="dxa"/>
            <w:vAlign w:val="bottom"/>
          </w:tcPr>
          <w:p>
            <w:pPr>
              <w:spacing w:after="0"/>
              <w:rPr>
                <w:sz w:val="20"/>
                <w:szCs w:val="20"/>
                <w:color w:val="auto"/>
              </w:rPr>
            </w:pPr>
            <w:r>
              <w:rPr>
                <w:rFonts w:ascii="Arial" w:cs="Arial" w:eastAsia="Arial" w:hAnsi="Arial"/>
                <w:sz w:val="18"/>
                <w:szCs w:val="18"/>
                <w:b w:val="1"/>
                <w:bCs w:val="1"/>
                <w:color w:val="auto"/>
              </w:rPr>
              <w:t>Contract assets,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6"/>
              <w:spacing w:after="0"/>
              <w:rPr>
                <w:sz w:val="20"/>
                <w:szCs w:val="20"/>
                <w:color w:val="auto"/>
              </w:rPr>
            </w:pPr>
            <w:r>
              <w:rPr>
                <w:rFonts w:ascii="Arial" w:cs="Arial" w:eastAsia="Arial" w:hAnsi="Arial"/>
                <w:sz w:val="18"/>
                <w:szCs w:val="18"/>
                <w:color w:val="auto"/>
              </w:rPr>
              <w:t>17,807</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34"/>
              <w:spacing w:after="0"/>
              <w:rPr>
                <w:sz w:val="20"/>
                <w:szCs w:val="20"/>
                <w:color w:val="auto"/>
              </w:rPr>
            </w:pPr>
            <w:r>
              <w:rPr>
                <w:rFonts w:ascii="Arial" w:cs="Arial" w:eastAsia="Arial" w:hAnsi="Arial"/>
                <w:sz w:val="18"/>
                <w:szCs w:val="18"/>
                <w:color w:val="auto"/>
              </w:rPr>
              <w:t>8,755</w:t>
            </w:r>
          </w:p>
        </w:tc>
      </w:tr>
    </w:tbl>
    <w:p>
      <w:pPr>
        <w:spacing w:after="0" w:line="10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As of June 30, 2019, receivables with customers totaled $ 59.0 million and contract assets totaled $17.8 million which were included in the Accounts receivable caption on the unaudited condensed consolidated balance sheet.</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As of December 31, 2018, receivables with customers totaled $82.9 million and contract assets totaled $8.8 million which were included in the Accounts receivable caption on the unaudited condensed consolidated balance sheet.</w:t>
      </w:r>
    </w:p>
    <w:p>
      <w:pPr>
        <w:spacing w:after="0" w:line="8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Contract liabilities (deferred revenue) relate to the advance consideration received from customers primarily for contributions in aid of construction. We recognize contract liabilities under these arrangements in revenue over the contract period. For the three months ended June 30, 2019 and 2018, we recognized $2.7 million and $ 3.9 million of gathering services and related fees which was included in the contract liability balance as of the beginning of the period. For the six months ended June 30, 2019 and 2018, we recognized $5.4 million and $ 5.0 million of gathering services and related fees which was included in the contract liability balance as of the beginning of the period. See Note 9 for additional details.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2019, our reportable segments are:</w:t>
      </w:r>
    </w:p>
    <w:p>
      <w:pPr>
        <w:spacing w:after="0" w:line="104" w:lineRule="exact"/>
        <w:rPr>
          <w:sz w:val="20"/>
          <w:szCs w:val="20"/>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527" w:right="239" w:bottom="1440" w:gutter="0" w:footer="0" w:header="0"/>
        </w:sectPr>
      </w:pPr>
    </w:p>
    <w:bookmarkStart w:id="15" w:name="page16"/>
    <w:bookmarkEnd w:id="15"/>
    <w:p>
      <w:pPr>
        <w:ind w:right="180"/>
        <w:spacing w:after="0"/>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to the unaudited condensed consolidated financial statements for details on the sale of Tioga Midstream.</w:t>
      </w:r>
    </w:p>
    <w:p>
      <w:pPr>
        <w:spacing w:after="0" w:line="95"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w:t>
      </w:r>
    </w:p>
    <w:p>
      <w:pPr>
        <w:spacing w:after="0" w:line="8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 Ohio Gathering reportable segment includes our investment in OGC and OCC. Income or loss from equity method investees, as reflected on the statements of operations, relates to Ohio Gathering and is recognized and disclosed on a one-month lag (see Note 8).</w:t>
      </w:r>
    </w:p>
    <w:p>
      <w:pPr>
        <w:spacing w:after="0" w:line="89" w:lineRule="exact"/>
        <w:rPr>
          <w:sz w:val="20"/>
          <w:szCs w:val="20"/>
          <w:color w:val="auto"/>
        </w:rPr>
      </w:pPr>
    </w:p>
    <w:p>
      <w:pPr>
        <w:ind w:right="320"/>
        <w:spacing w:after="0"/>
        <w:rPr>
          <w:sz w:val="20"/>
          <w:szCs w:val="20"/>
          <w:color w:val="auto"/>
        </w:rPr>
      </w:pPr>
      <w:r>
        <w:rPr>
          <w:rFonts w:ascii="Arial" w:cs="Arial" w:eastAsia="Arial" w:hAnsi="Arial"/>
          <w:sz w:val="18"/>
          <w:szCs w:val="18"/>
          <w:color w:val="auto"/>
        </w:rPr>
        <w:t>For the three and six months ended June 30, 2019, other than the investment activity described in Note 8 below, Double E did not have any results of operations given that the Project is currently under development. The Project is expected to be operational in the third quarter of 2021.</w:t>
      </w:r>
    </w:p>
    <w:p>
      <w:pPr>
        <w:spacing w:after="0" w:line="95"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Corporate and Other represents those results that are: (i) not specifically attributable to a reportable segment; (ii) not individually reportable (such as Double E); or (iii) that have not been allocated to our reportable segments for the purpose of evaluating their performance, including certain general and administrative expense items, natural gas and crude oil marketing services and transaction costs.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Assets by reportable segment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June 30,2019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2018</w:t>
            </w:r>
          </w:p>
        </w:tc>
      </w:tr>
      <w:tr>
        <w:trPr>
          <w:trHeight w:val="169"/>
        </w:trPr>
        <w:tc>
          <w:tcPr>
            <w:tcW w:w="7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60" w:type="dxa"/>
            <w:vAlign w:val="bottom"/>
            <w:gridSpan w:val="4"/>
          </w:tcPr>
          <w:p>
            <w:pPr>
              <w:jc w:val="right"/>
              <w:ind w:right="1371"/>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 (1):</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Utica Shale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206,911</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207,357</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630,513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649,250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Williston Basin</w:t>
            </w: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439,026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526,819</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167,329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166,580</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Permian Basin</w:t>
            </w: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174,964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145,702</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672,664</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699,638</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Barnett Shale</w:t>
            </w: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358,997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376,564</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24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204,252</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208,790</w:t>
            </w:r>
          </w:p>
        </w:tc>
      </w:tr>
      <w:tr>
        <w:trPr>
          <w:trHeight w:val="210"/>
        </w:trPr>
        <w:tc>
          <w:tcPr>
            <w:tcW w:w="7620" w:type="dxa"/>
            <w:vAlign w:val="bottom"/>
          </w:tcPr>
          <w:p>
            <w:pPr>
              <w:ind w:left="140"/>
              <w:spacing w:after="0"/>
              <w:rPr>
                <w:sz w:val="20"/>
                <w:szCs w:val="20"/>
                <w:color w:val="auto"/>
              </w:rPr>
            </w:pPr>
            <w:r>
              <w:rPr>
                <w:rFonts w:ascii="Arial" w:cs="Arial" w:eastAsia="Arial" w:hAnsi="Arial"/>
                <w:sz w:val="18"/>
                <w:szCs w:val="18"/>
                <w:color w:val="auto"/>
              </w:rPr>
              <w:t>Total reportable segment assets</w:t>
            </w:r>
          </w:p>
        </w:tc>
        <w:tc>
          <w:tcPr>
            <w:tcW w:w="240" w:type="dxa"/>
            <w:vAlign w:val="bottom"/>
          </w:tcPr>
          <w:p>
            <w:pPr>
              <w:spacing w:after="0"/>
              <w:rPr>
                <w:sz w:val="18"/>
                <w:szCs w:val="18"/>
                <w:color w:val="auto"/>
              </w:rPr>
            </w:pP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2,854,656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1"/>
              <w:spacing w:after="0"/>
              <w:rPr>
                <w:sz w:val="20"/>
                <w:szCs w:val="20"/>
                <w:color w:val="auto"/>
              </w:rPr>
            </w:pPr>
            <w:r>
              <w:rPr>
                <w:rFonts w:ascii="Arial" w:cs="Arial" w:eastAsia="Arial" w:hAnsi="Arial"/>
                <w:sz w:val="18"/>
                <w:szCs w:val="18"/>
                <w:color w:val="auto"/>
              </w:rPr>
              <w:t>2,980,700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Corporate and Other</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43,046</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44,181</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Eliminations</w:t>
            </w:r>
          </w:p>
        </w:tc>
        <w:tc>
          <w:tcPr>
            <w:tcW w:w="240" w:type="dxa"/>
            <w:vAlign w:val="bottom"/>
          </w:tcPr>
          <w:p>
            <w:pPr>
              <w:spacing w:after="0"/>
              <w:rPr>
                <w:sz w:val="18"/>
                <w:szCs w:val="18"/>
                <w:color w:val="auto"/>
              </w:rPr>
            </w:pPr>
          </w:p>
        </w:tc>
        <w:tc>
          <w:tcPr>
            <w:tcW w:w="1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(4,319)</w:t>
            </w:r>
          </w:p>
        </w:tc>
      </w:tr>
      <w:tr>
        <w:trPr>
          <w:trHeight w:val="210"/>
        </w:trPr>
        <w:tc>
          <w:tcPr>
            <w:tcW w:w="7620" w:type="dxa"/>
            <w:vAlign w:val="bottom"/>
            <w:tcBorders>
              <w:top w:val="single" w:sz="8" w:color="CFF0FC"/>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2,897,702</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3,020,562</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ind w:right="80" w:firstLine="8"/>
        <w:spacing w:after="0" w:line="253" w:lineRule="auto"/>
        <w:tabs>
          <w:tab w:leader="none" w:pos="243" w:val="left"/>
        </w:tabs>
        <w:numPr>
          <w:ilvl w:val="0"/>
          <w:numId w:val="9"/>
        </w:numPr>
        <w:rPr>
          <w:rFonts w:ascii="Arial" w:cs="Arial" w:eastAsia="Arial" w:hAnsi="Arial"/>
          <w:sz w:val="16"/>
          <w:szCs w:val="16"/>
          <w:color w:val="auto"/>
        </w:rPr>
      </w:pPr>
      <w:r>
        <w:rPr>
          <w:rFonts w:ascii="Arial" w:cs="Arial" w:eastAsia="Arial" w:hAnsi="Arial"/>
          <w:sz w:val="16"/>
          <w:szCs w:val="16"/>
          <w:color w:val="auto"/>
        </w:rPr>
        <w:t>At June 30, 2019, Corporate and Other included $23.3 million relating to our investment in Double E (included in the Investment in equity method investees caption of the unaudited condensed consolidated balance sheet). At December 31, 2018, Corporate and Other included $9.6 million of capital expenditures relating to our investment in Double 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Revenues by reportable segment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6"/>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69"/>
        </w:trPr>
        <w:tc>
          <w:tcPr>
            <w:tcW w:w="84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20" w:type="dxa"/>
            <w:vAlign w:val="bottom"/>
            <w:gridSpan w:val="9"/>
          </w:tcPr>
          <w:p>
            <w:pPr>
              <w:ind w:left="60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Revenues (1):</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Utica Shale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7,591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10,422</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15,086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20,463</w:t>
            </w: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22,123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33,416</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56,322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61,840</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DJ Basin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5,156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3,557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9,972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6,573</w:t>
            </w: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3,041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7,660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Piceance Basin</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33,604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39,435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68,884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78,006</w:t>
            </w: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Barnett Shale</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19,347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16,155</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34,632</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32,325</w:t>
            </w:r>
          </w:p>
        </w:tc>
      </w:tr>
      <w:tr>
        <w:trPr>
          <w:trHeight w:val="216"/>
        </w:trPr>
        <w:tc>
          <w:tcPr>
            <w:tcW w:w="5920" w:type="dxa"/>
            <w:vAlign w:val="bottom"/>
            <w:tcBorders>
              <w:bottom w:val="single" w:sz="8" w:color="CFF0FC"/>
            </w:tcBorders>
            <w:gridSpan w:val="3"/>
          </w:tcPr>
          <w:p>
            <w:pPr>
              <w:spacing w:after="0"/>
              <w:rPr>
                <w:sz w:val="20"/>
                <w:szCs w:val="20"/>
                <w:color w:val="auto"/>
              </w:rPr>
            </w:pPr>
            <w:r>
              <w:rPr>
                <w:rFonts w:ascii="Arial" w:cs="Arial" w:eastAsia="Arial" w:hAnsi="Arial"/>
                <w:sz w:val="18"/>
                <w:szCs w:val="18"/>
                <w:color w:val="auto"/>
              </w:rPr>
              <w:t>Marcellus Shale</w:t>
            </w: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5,897</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8,050</w:t>
            </w: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12,094</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15,875</w:t>
            </w:r>
          </w:p>
        </w:tc>
      </w:tr>
      <w:tr>
        <w:trPr>
          <w:trHeight w:val="210"/>
        </w:trPr>
        <w:tc>
          <w:tcPr>
            <w:tcW w:w="592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Total reportable segments revenue</w:t>
            </w: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96,759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111,035</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204,650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215,082</w:t>
            </w: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Corporate and Other</w:t>
            </w:r>
          </w:p>
        </w:tc>
        <w:tc>
          <w:tcPr>
            <w:tcW w:w="1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3,824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30,662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33,598</w:t>
            </w: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Eliminations</w:t>
            </w:r>
          </w:p>
        </w:tc>
        <w:tc>
          <w:tcPr>
            <w:tcW w:w="1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(897)</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(2,274)</w:t>
            </w: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(4,218)</w:t>
            </w:r>
          </w:p>
        </w:tc>
        <w:tc>
          <w:tcPr>
            <w:tcW w:w="2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(3,177)</w:t>
            </w:r>
          </w:p>
        </w:tc>
      </w:tr>
      <w:tr>
        <w:trPr>
          <w:trHeight w:val="210"/>
        </w:trPr>
        <w:tc>
          <w:tcPr>
            <w:tcW w:w="5920" w:type="dxa"/>
            <w:vAlign w:val="bottom"/>
            <w:gridSpan w:val="3"/>
          </w:tcPr>
          <w:p>
            <w:pPr>
              <w:ind w:left="140"/>
              <w:spacing w:after="0"/>
              <w:rPr>
                <w:sz w:val="20"/>
                <w:szCs w:val="20"/>
                <w:color w:val="auto"/>
              </w:rPr>
            </w:pPr>
            <w:r>
              <w:rPr>
                <w:rFonts w:ascii="Arial" w:cs="Arial" w:eastAsia="Arial" w:hAnsi="Arial"/>
                <w:sz w:val="18"/>
                <w:szCs w:val="18"/>
                <w:color w:val="auto"/>
              </w:rPr>
              <w:t>Total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99,686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128,183</w:t>
            </w:r>
          </w:p>
        </w:tc>
        <w:tc>
          <w:tcPr>
            <w:tcW w:w="80" w:type="dxa"/>
            <w:vAlign w:val="bottom"/>
          </w:tcPr>
          <w:p>
            <w:pPr>
              <w:spacing w:after="0"/>
              <w:rPr>
                <w:sz w:val="18"/>
                <w:szCs w:val="18"/>
                <w:color w:val="auto"/>
              </w:rPr>
            </w:pPr>
          </w:p>
        </w:tc>
        <w:tc>
          <w:tcPr>
            <w:tcW w:w="32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231,094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245,503</w:t>
            </w:r>
          </w:p>
        </w:tc>
      </w:tr>
      <w:tr>
        <w:trPr>
          <w:trHeight w:val="20"/>
        </w:trPr>
        <w:tc>
          <w:tcPr>
            <w:tcW w:w="84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4900" w:type="dxa"/>
            <w:vAlign w:val="bottom"/>
          </w:tcPr>
          <w:p>
            <w:pPr>
              <w:spacing w:after="0"/>
              <w:rPr>
                <w:sz w:val="10"/>
                <w:szCs w:val="10"/>
                <w:color w:val="auto"/>
              </w:rPr>
            </w:pPr>
          </w:p>
        </w:tc>
        <w:tc>
          <w:tcPr>
            <w:tcW w:w="28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r>
      <w:tr>
        <w:trPr>
          <w:trHeight w:val="190"/>
        </w:trPr>
        <w:tc>
          <w:tcPr>
            <w:tcW w:w="6020" w:type="dxa"/>
            <w:vAlign w:val="bottom"/>
            <w:gridSpan w:val="4"/>
          </w:tcPr>
          <w:p>
            <w:pPr>
              <w:spacing w:after="0"/>
              <w:rPr>
                <w:sz w:val="20"/>
                <w:szCs w:val="20"/>
                <w:color w:val="auto"/>
              </w:rPr>
            </w:pPr>
            <w:r>
              <w:rPr>
                <w:rFonts w:ascii="Arial" w:cs="Arial" w:eastAsia="Arial" w:hAnsi="Arial"/>
                <w:sz w:val="16"/>
                <w:szCs w:val="16"/>
                <w:color w:val="auto"/>
              </w:rPr>
              <w:t>(1) Excludes revenues earned by Ohio Gathering due to equity method accounting.</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30"/>
        </w:trPr>
        <w:tc>
          <w:tcPr>
            <w:tcW w:w="7200" w:type="dxa"/>
            <w:vAlign w:val="bottom"/>
            <w:gridSpan w:val="6"/>
          </w:tcPr>
          <w:p>
            <w:pPr>
              <w:spacing w:after="0"/>
              <w:rPr>
                <w:sz w:val="20"/>
                <w:szCs w:val="20"/>
                <w:color w:val="auto"/>
              </w:rPr>
            </w:pPr>
            <w:r>
              <w:rPr>
                <w:rFonts w:ascii="Arial" w:cs="Arial" w:eastAsia="Arial" w:hAnsi="Arial"/>
                <w:sz w:val="18"/>
                <w:szCs w:val="18"/>
                <w:color w:val="auto"/>
              </w:rPr>
              <w:t>Counterparties accounting for more than 10% of total revenues were as follows: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51"/>
        </w:trPr>
        <w:tc>
          <w:tcPr>
            <w:tcW w:w="84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00" w:type="dxa"/>
            <w:vAlign w:val="bottom"/>
            <w:gridSpan w:val="6"/>
          </w:tcPr>
          <w:p>
            <w:pPr>
              <w:jc w:val="right"/>
              <w:ind w:right="452"/>
              <w:spacing w:after="0"/>
              <w:rPr>
                <w:sz w:val="20"/>
                <w:szCs w:val="20"/>
                <w:color w:val="auto"/>
              </w:rPr>
            </w:pPr>
            <w:r>
              <w:rPr>
                <w:rFonts w:ascii="Arial" w:cs="Arial" w:eastAsia="Arial" w:hAnsi="Arial"/>
                <w:sz w:val="14"/>
                <w:szCs w:val="14"/>
                <w:b w:val="1"/>
                <w:bCs w:val="1"/>
                <w:color w:val="auto"/>
              </w:rPr>
              <w:t>Six months ended June 30,</w:t>
            </w:r>
          </w:p>
        </w:tc>
      </w:tr>
      <w:tr>
        <w:trPr>
          <w:trHeight w:val="210"/>
        </w:trPr>
        <w:tc>
          <w:tcPr>
            <w:tcW w:w="840" w:type="dxa"/>
            <w:vAlign w:val="bottom"/>
            <w:tcBorders>
              <w:bottom w:val="single" w:sz="8" w:color="CFF0FC"/>
            </w:tcBorders>
          </w:tcPr>
          <w:p>
            <w:pPr>
              <w:spacing w:after="0"/>
              <w:rPr>
                <w:sz w:val="18"/>
                <w:szCs w:val="18"/>
                <w:color w:val="auto"/>
              </w:rPr>
            </w:pPr>
          </w:p>
        </w:tc>
        <w:tc>
          <w:tcPr>
            <w:tcW w:w="49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FF0FC"/>
            </w:tcBorders>
          </w:tcPr>
          <w:p>
            <w:pPr>
              <w:spacing w:after="0"/>
              <w:rPr>
                <w:sz w:val="18"/>
                <w:szCs w:val="18"/>
                <w:color w:val="auto"/>
              </w:rPr>
            </w:pPr>
          </w:p>
        </w:tc>
        <w:tc>
          <w:tcPr>
            <w:tcW w:w="60" w:type="dxa"/>
            <w:vAlign w:val="bottom"/>
            <w:tcBorders>
              <w:bottom w:val="single" w:sz="8" w:color="CFF0FC"/>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CFF0FC"/>
            </w:tcBorders>
          </w:tcPr>
          <w:p>
            <w:pPr>
              <w:spacing w:after="0"/>
              <w:rPr>
                <w:sz w:val="18"/>
                <w:szCs w:val="18"/>
                <w:color w:val="auto"/>
              </w:rPr>
            </w:pPr>
          </w:p>
        </w:tc>
        <w:tc>
          <w:tcPr>
            <w:tcW w:w="100" w:type="dxa"/>
            <w:vAlign w:val="bottom"/>
            <w:tcBorders>
              <w:top w:val="single" w:sz="8" w:color="auto"/>
              <w:bottom w:val="single" w:sz="8" w:color="CFF0F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r>
      <w:tr>
        <w:trPr>
          <w:trHeight w:val="210"/>
        </w:trPr>
        <w:tc>
          <w:tcPr>
            <w:tcW w:w="574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Percentage of total revenues (1):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r>
      <w:tr>
        <w:trPr>
          <w:trHeight w:val="216"/>
        </w:trPr>
        <w:tc>
          <w:tcPr>
            <w:tcW w:w="5920" w:type="dxa"/>
            <w:vAlign w:val="bottom"/>
            <w:gridSpan w:val="3"/>
          </w:tcPr>
          <w:p>
            <w:pPr>
              <w:spacing w:after="0"/>
              <w:rPr>
                <w:sz w:val="20"/>
                <w:szCs w:val="20"/>
                <w:color w:val="auto"/>
              </w:rPr>
            </w:pPr>
            <w:r>
              <w:rPr>
                <w:rFonts w:ascii="Arial" w:cs="Arial" w:eastAsia="Arial" w:hAnsi="Arial"/>
                <w:sz w:val="18"/>
                <w:szCs w:val="18"/>
                <w:color w:val="auto"/>
              </w:rPr>
              <w:t>Counterparty A - Piceance Basin</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2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Counterparty B - Williston Basin</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w:t>
            </w:r>
          </w:p>
        </w:tc>
      </w:tr>
      <w:tr>
        <w:trPr>
          <w:trHeight w:val="230"/>
        </w:trPr>
        <w:tc>
          <w:tcPr>
            <w:tcW w:w="5920" w:type="dxa"/>
            <w:vAlign w:val="bottom"/>
            <w:gridSpan w:val="3"/>
          </w:tcPr>
          <w:p>
            <w:pPr>
              <w:spacing w:after="0"/>
              <w:rPr>
                <w:sz w:val="20"/>
                <w:szCs w:val="20"/>
                <w:color w:val="auto"/>
              </w:rPr>
            </w:pPr>
            <w:r>
              <w:rPr>
                <w:rFonts w:ascii="Arial" w:cs="Arial" w:eastAsia="Arial" w:hAnsi="Arial"/>
                <w:sz w:val="18"/>
                <w:szCs w:val="18"/>
                <w:color w:val="auto"/>
              </w:rPr>
              <w:t>Counterparty C - Barnett Shale</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ind w:right="5460" w:firstLine="8"/>
        <w:spacing w:after="0" w:line="260" w:lineRule="auto"/>
        <w:tabs>
          <w:tab w:leader="none" w:pos="243"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Excludes revenues earned by Ohio Gathering due to equity method accounting. * Less than 10%</w:t>
      </w:r>
    </w:p>
    <w:p>
      <w:pPr>
        <w:spacing w:after="0" w:line="98"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color w:val="auto"/>
        </w:rPr>
        <w:t>Depreciation and amortization, including the amortization expense associated with our favorable and unfavorable (for 2018) gas gathering contracts as reported in other revenues, by reportable segment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169"/>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(1):</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Utica Shale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1,923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2,033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3,831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3,886</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5,622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10,170</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11,231</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DJ Basin</w:t>
            </w: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784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1,263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1,565</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1,163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2,235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Piceance Basin</w:t>
            </w: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11,666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23,440</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4,167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3,759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8,497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7,516</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2,286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2,274</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4,569</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4,546</w:t>
            </w: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depreciation and amortization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26,547</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26,138</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54,166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52,184</w:t>
            </w:r>
          </w:p>
        </w:tc>
      </w:tr>
      <w:tr>
        <w:trPr>
          <w:trHeight w:val="216"/>
        </w:trPr>
        <w:tc>
          <w:tcPr>
            <w:tcW w:w="59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496</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1,113</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976</w:t>
            </w:r>
          </w:p>
        </w:tc>
      </w:tr>
      <w:tr>
        <w:trPr>
          <w:trHeight w:val="210"/>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depreciation and amortization</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27,163</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26,634</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55,279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53,160</w:t>
            </w:r>
          </w:p>
        </w:tc>
      </w:tr>
      <w:tr>
        <w:trPr>
          <w:trHeight w:val="20"/>
        </w:trPr>
        <w:tc>
          <w:tcPr>
            <w:tcW w:w="59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Excludes depreciation and amortization recognized by Ohio Gathering due to equity method accounting.</w:t>
      </w:r>
    </w:p>
    <w:p>
      <w:pPr>
        <w:spacing w:after="0" w:line="10" w:lineRule="exact"/>
        <w:rPr>
          <w:rFonts w:ascii="Arial" w:cs="Arial" w:eastAsia="Arial" w:hAnsi="Arial"/>
          <w:sz w:val="16"/>
          <w:szCs w:val="16"/>
          <w:color w:val="auto"/>
        </w:rPr>
      </w:pPr>
    </w:p>
    <w:p>
      <w:pPr>
        <w:ind w:left="260" w:hanging="252"/>
        <w:spacing w:after="0"/>
        <w:tabs>
          <w:tab w:leader="none" w:pos="2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and unfavorable (for 2018) gas gathering contracts as reported in other revenues</w:t>
      </w:r>
      <w:r>
        <w:rPr>
          <w:rFonts w:ascii="Arial" w:cs="Arial" w:eastAsia="Arial" w:hAnsi="Arial"/>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Cash paid for capital expenditures by reportable segment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2018</w:t>
            </w:r>
          </w:p>
        </w:tc>
      </w:tr>
      <w:tr>
        <w:trPr>
          <w:trHeight w:val="169"/>
        </w:trPr>
        <w:tc>
          <w:tcPr>
            <w:tcW w:w="58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4"/>
                <w:szCs w:val="14"/>
                <w:color w:val="auto"/>
              </w:rPr>
            </w:pP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capital expenditures (1):</w:t>
            </w:r>
          </w:p>
        </w:tc>
        <w:tc>
          <w:tcPr>
            <w:tcW w:w="2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Utica Shale</w:t>
            </w:r>
          </w:p>
        </w:tc>
        <w:tc>
          <w:tcPr>
            <w:tcW w:w="24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1,065</w:t>
            </w:r>
          </w:p>
        </w:tc>
        <w:tc>
          <w:tcPr>
            <w:tcW w:w="18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1,846</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Williston Basin</w:t>
            </w:r>
          </w:p>
        </w:tc>
        <w:tc>
          <w:tcPr>
            <w:tcW w:w="2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14,230</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10,966</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DJ Basin</w:t>
            </w: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50,373</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21,415</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Permian Basin</w:t>
            </w:r>
          </w:p>
        </w:tc>
        <w:tc>
          <w:tcPr>
            <w:tcW w:w="2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28,163</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50,773</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Piceance Basin</w:t>
            </w:r>
          </w:p>
        </w:tc>
        <w:tc>
          <w:tcPr>
            <w:tcW w:w="20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34"/>
              <w:spacing w:after="0"/>
              <w:rPr>
                <w:sz w:val="20"/>
                <w:szCs w:val="20"/>
                <w:color w:val="auto"/>
              </w:rPr>
            </w:pPr>
            <w:r>
              <w:rPr>
                <w:rFonts w:ascii="Arial" w:cs="Arial" w:eastAsia="Arial" w:hAnsi="Arial"/>
                <w:sz w:val="18"/>
                <w:szCs w:val="18"/>
                <w:color w:val="auto"/>
              </w:rPr>
              <w:t>1,497</w:t>
            </w: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3,412</w:t>
            </w:r>
          </w:p>
        </w:tc>
      </w:tr>
      <w:tr>
        <w:trPr>
          <w:trHeight w:val="216"/>
        </w:trPr>
        <w:tc>
          <w:tcPr>
            <w:tcW w:w="5800" w:type="dxa"/>
            <w:vAlign w:val="bottom"/>
            <w:shd w:val="clear" w:color="auto" w:fill="CFF0FC"/>
          </w:tcPr>
          <w:p>
            <w:pPr>
              <w:spacing w:after="0"/>
              <w:rPr>
                <w:sz w:val="20"/>
                <w:szCs w:val="20"/>
                <w:color w:val="auto"/>
              </w:rPr>
            </w:pPr>
            <w:r>
              <w:rPr>
                <w:rFonts w:ascii="Arial" w:cs="Arial" w:eastAsia="Arial" w:hAnsi="Arial"/>
                <w:sz w:val="18"/>
                <w:szCs w:val="18"/>
                <w:color w:val="auto"/>
              </w:rPr>
              <w:t>Barnett Shale (2)</w:t>
            </w:r>
          </w:p>
        </w:tc>
        <w:tc>
          <w:tcPr>
            <w:tcW w:w="2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349</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Marcellus Shale</w:t>
            </w:r>
          </w:p>
        </w:tc>
        <w:tc>
          <w:tcPr>
            <w:tcW w:w="20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108</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545</w:t>
            </w:r>
          </w:p>
        </w:tc>
      </w:tr>
      <w:tr>
        <w:trPr>
          <w:trHeight w:val="21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reportable segment capital expenditures</w:t>
            </w:r>
          </w:p>
        </w:tc>
        <w:tc>
          <w:tcPr>
            <w:tcW w:w="20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95,399</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89,306</w:t>
            </w:r>
          </w:p>
        </w:tc>
      </w:tr>
      <w:tr>
        <w:trPr>
          <w:trHeight w:val="216"/>
        </w:trPr>
        <w:tc>
          <w:tcPr>
            <w:tcW w:w="5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Corporate and Other</w:t>
            </w:r>
          </w:p>
        </w:tc>
        <w:tc>
          <w:tcPr>
            <w:tcW w:w="204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15,693</w:t>
            </w:r>
          </w:p>
        </w:tc>
        <w:tc>
          <w:tcPr>
            <w:tcW w:w="18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1,088</w:t>
            </w:r>
          </w:p>
        </w:tc>
      </w:tr>
      <w:tr>
        <w:trPr>
          <w:trHeight w:val="210"/>
        </w:trPr>
        <w:tc>
          <w:tcPr>
            <w:tcW w:w="58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cash paid for capital expenditures</w:t>
            </w:r>
          </w:p>
        </w:tc>
        <w:tc>
          <w:tcPr>
            <w:tcW w:w="24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111,092</w:t>
            </w:r>
          </w:p>
        </w:tc>
        <w:tc>
          <w:tcPr>
            <w:tcW w:w="1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90,394</w:t>
            </w:r>
          </w:p>
        </w:tc>
      </w:tr>
      <w:tr>
        <w:trPr>
          <w:trHeight w:val="20"/>
        </w:trPr>
        <w:tc>
          <w:tcPr>
            <w:tcW w:w="5800" w:type="dxa"/>
            <w:vAlign w:val="bottom"/>
            <w:tcBorders>
              <w:top w:val="single" w:sz="8" w:color="CFF0FC"/>
            </w:tcBorders>
          </w:tcPr>
          <w:p>
            <w:pPr>
              <w:spacing w:after="0" w:line="20" w:lineRule="exact"/>
              <w:rPr>
                <w:sz w:val="1"/>
                <w:szCs w:val="1"/>
                <w:color w:val="auto"/>
              </w:rPr>
            </w:pPr>
          </w:p>
        </w:tc>
        <w:tc>
          <w:tcPr>
            <w:tcW w:w="204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Excludes cash paid for capital expenditures by Ohio Gathering due to equity method accounting.</w:t>
      </w:r>
    </w:p>
    <w:p>
      <w:pPr>
        <w:spacing w:after="0" w:line="5" w:lineRule="exact"/>
        <w:rPr>
          <w:rFonts w:ascii="Arial" w:cs="Arial" w:eastAsia="Arial" w:hAnsi="Arial"/>
          <w:sz w:val="16"/>
          <w:szCs w:val="16"/>
          <w:color w:val="auto"/>
        </w:rPr>
      </w:pP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the six months ended June 30, 2019, the amount includes sales tax reimbursements of $1.1 million.</w:t>
      </w:r>
    </w:p>
    <w:p>
      <w:pPr>
        <w:spacing w:after="0" w:line="110"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During the six months ended June 30, 2019, Corporate and Other included cash paid of $0.3 million for corporate purposes; the remainder represents capital expenditures relating to the Project.</w:t>
      </w:r>
    </w:p>
    <w:p>
      <w:pPr>
        <w:spacing w:after="0" w:line="89"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We assess the performance of our reportable segments based on segment adjusted EBITDA. We define segment adjusted EBITDA as 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change in the Deferred Purchase Price Obligation fair value, (viii) impairments and (ix) other noncash expenses or losses, less other noncash income or gains. We define proportional adjusted EBITDA for our equity method investees as the product of (i) total revenues less total expenses, excluding impairments and other noncash income or expense items and (ii) amortization for deferred contract costs; multiplied by our ownership interest in Ohio Gathering during the respective period.</w:t>
      </w:r>
    </w:p>
    <w:p>
      <w:pPr>
        <w:spacing w:after="0" w:line="95" w:lineRule="exact"/>
        <w:rPr>
          <w:sz w:val="20"/>
          <w:szCs w:val="20"/>
          <w:color w:val="auto"/>
        </w:rPr>
      </w:pPr>
    </w:p>
    <w:p>
      <w:pPr>
        <w:ind w:right="200"/>
        <w:spacing w:after="0" w:line="239" w:lineRule="auto"/>
        <w:rPr>
          <w:sz w:val="20"/>
          <w:szCs w:val="20"/>
          <w:color w:val="auto"/>
        </w:rPr>
      </w:pPr>
      <w:r>
        <w:rPr>
          <w:rFonts w:ascii="Arial" w:cs="Arial" w:eastAsia="Arial" w:hAnsi="Arial"/>
          <w:sz w:val="18"/>
          <w:szCs w:val="18"/>
          <w:color w:val="auto"/>
        </w:rPr>
        <w:t>For the purpose of evaluating segment performance, we exclude the effect of Corporate and Other revenues and expenses, such as certain general and administrative expenses (including compensation-related expenses and professional services fees), natural gas and crude oil marketing services, transaction costs, interest expense, change in the Deferred Purchase Price Obligation fair value and income tax expense or benefit from segment adjusted EBITDA.</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by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5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Utica Shale</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6,640</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9,223</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12,833</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17,938</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Ohio Gathering</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9,939</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8,935</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19,149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19,412</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Williston Basin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16,650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19,030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35,384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35,000</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DJ Basin</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2,816</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959</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5,489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2,280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Permian Basin</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Piceance Basin</w:t>
            </w:r>
          </w:p>
        </w:tc>
        <w:tc>
          <w:tcPr>
            <w:tcW w:w="8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24,584</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26,714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50,583</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54,628</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Barnett Shale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11,208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11,093</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22,582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20,952</w:t>
            </w:r>
          </w:p>
        </w:tc>
        <w:tc>
          <w:tcPr>
            <w:tcW w:w="0" w:type="dxa"/>
            <w:vAlign w:val="bottom"/>
          </w:tcPr>
          <w:p>
            <w:pPr>
              <w:spacing w:after="0"/>
              <w:rPr>
                <w:sz w:val="1"/>
                <w:szCs w:val="1"/>
                <w:color w:val="auto"/>
              </w:rPr>
            </w:pPr>
          </w:p>
        </w:tc>
      </w:tr>
      <w:tr>
        <w:trPr>
          <w:trHeight w:val="216"/>
        </w:trPr>
        <w:tc>
          <w:tcPr>
            <w:tcW w:w="5120" w:type="dxa"/>
            <w:vAlign w:val="bottom"/>
            <w:shd w:val="clear" w:color="auto" w:fill="CFF0FC"/>
          </w:tcPr>
          <w:p>
            <w:pPr>
              <w:spacing w:after="0"/>
              <w:rPr>
                <w:sz w:val="20"/>
                <w:szCs w:val="20"/>
                <w:color w:val="auto"/>
              </w:rPr>
            </w:pPr>
            <w:r>
              <w:rPr>
                <w:rFonts w:ascii="Arial" w:cs="Arial" w:eastAsia="Arial" w:hAnsi="Arial"/>
                <w:sz w:val="18"/>
                <w:szCs w:val="18"/>
                <w:color w:val="auto"/>
              </w:rPr>
              <w:t>Marcellus Shale</w:t>
            </w:r>
          </w:p>
        </w:tc>
        <w:tc>
          <w:tcPr>
            <w:tcW w:w="8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4,635</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6,543</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9,777</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13,219</w:t>
            </w:r>
          </w:p>
        </w:tc>
        <w:tc>
          <w:tcPr>
            <w:tcW w:w="0" w:type="dxa"/>
            <w:vAlign w:val="bottom"/>
          </w:tcPr>
          <w:p>
            <w:pPr>
              <w:spacing w:after="0"/>
              <w:rPr>
                <w:sz w:val="1"/>
                <w:szCs w:val="1"/>
                <w:color w:val="auto"/>
              </w:rPr>
            </w:pPr>
          </w:p>
        </w:tc>
      </w:tr>
      <w:tr>
        <w:trPr>
          <w:trHeight w:val="210"/>
        </w:trPr>
        <w:tc>
          <w:tcPr>
            <w:tcW w:w="512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 or loss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75,816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82,497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154,591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163,429</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80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20" w:type="dxa"/>
            <w:vAlign w:val="bottom"/>
          </w:tcPr>
          <w:p>
            <w:pPr>
              <w:spacing w:after="0"/>
              <w:rPr>
                <w:sz w:val="24"/>
                <w:szCs w:val="24"/>
                <w:color w:val="auto"/>
              </w:rPr>
            </w:pPr>
          </w:p>
        </w:tc>
        <w:tc>
          <w:tcPr>
            <w:tcW w:w="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5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8" w:name="page19"/>
    <w:bookmarkEnd w:id="18"/>
    <w:p>
      <w:pPr>
        <w:ind w:right="640"/>
        <w:spacing w:after="0" w:line="246" w:lineRule="auto"/>
        <w:rPr>
          <w:sz w:val="20"/>
          <w:szCs w:val="20"/>
          <w:color w:val="auto"/>
        </w:rPr>
      </w:pPr>
      <w:r>
        <w:rPr>
          <w:rFonts w:ascii="Arial" w:cs="Arial" w:eastAsia="Arial" w:hAnsi="Arial"/>
          <w:sz w:val="18"/>
          <w:szCs w:val="18"/>
          <w:color w:val="auto"/>
        </w:rPr>
        <w:t>A reconciliation of income or loss before income taxes and income or loss from equity method investees to total of reportable segments' measures of profit or loss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169"/>
        </w:trPr>
        <w:tc>
          <w:tcPr>
            <w:tcW w:w="5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93"/>
        </w:trPr>
        <w:tc>
          <w:tcPr>
            <w:tcW w:w="592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Reconciliation of income (loss) before income taxes</w:t>
            </w:r>
          </w:p>
        </w:tc>
        <w:tc>
          <w:tcPr>
            <w:tcW w:w="18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r>
      <w:tr>
        <w:trPr>
          <w:trHeight w:val="203"/>
        </w:trPr>
        <w:tc>
          <w:tcPr>
            <w:tcW w:w="59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b w:val="1"/>
                <w:bCs w:val="1"/>
                <w:color w:val="auto"/>
              </w:rPr>
              <w:t>and loss from equity method investees to total</w:t>
            </w: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r>
      <w:tr>
        <w:trPr>
          <w:trHeight w:val="225"/>
        </w:trPr>
        <w:tc>
          <w:tcPr>
            <w:tcW w:w="59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of reportable segments' measures of profit:</w:t>
            </w:r>
          </w:p>
        </w:tc>
        <w:tc>
          <w:tcPr>
            <w:tcW w:w="1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Income (loss) before income taxes and loss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920" w:type="dxa"/>
            <w:vAlign w:val="bottom"/>
          </w:tcPr>
          <w:p>
            <w:pPr>
              <w:ind w:left="200"/>
              <w:spacing w:after="0" w:line="203" w:lineRule="exact"/>
              <w:rPr>
                <w:sz w:val="20"/>
                <w:szCs w:val="20"/>
                <w:color w:val="auto"/>
              </w:rPr>
            </w:pPr>
            <w:r>
              <w:rPr>
                <w:rFonts w:ascii="Arial" w:cs="Arial" w:eastAsia="Arial" w:hAnsi="Arial"/>
                <w:sz w:val="18"/>
                <w:szCs w:val="18"/>
                <w:color w:val="auto"/>
              </w:rPr>
              <w:t>from equity method investees</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6,030</w:t>
            </w:r>
          </w:p>
        </w:tc>
        <w:tc>
          <w:tcPr>
            <w:tcW w:w="3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(45,699)</w:t>
            </w:r>
          </w:p>
        </w:tc>
        <w:tc>
          <w:tcPr>
            <w:tcW w:w="36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(30,236)</w:t>
            </w:r>
          </w:p>
        </w:tc>
        <w:tc>
          <w:tcPr>
            <w:tcW w:w="14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(51,101)</w:t>
            </w: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Corporate and Other expense</w:t>
            </w: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7,208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9,002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21,367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19,625</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17,941</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14,837</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35,468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29,959</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Deferred Purchase Price Obligation</w:t>
            </w:r>
          </w:p>
        </w:tc>
        <w:tc>
          <w:tcPr>
            <w:tcW w:w="180" w:type="dxa"/>
            <w:vAlign w:val="bottom"/>
          </w:tcPr>
          <w:p>
            <w:pPr>
              <w:spacing w:after="0"/>
              <w:rPr>
                <w:sz w:val="18"/>
                <w:szCs w:val="18"/>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3,712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69,305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8,139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90,963</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27,163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26,634</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55,279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53,160</w:t>
            </w:r>
          </w:p>
        </w:tc>
      </w:tr>
      <w:tr>
        <w:trPr>
          <w:trHeight w:val="215"/>
        </w:trPr>
        <w:tc>
          <w:tcPr>
            <w:tcW w:w="5920" w:type="dxa"/>
            <w:vAlign w:val="bottom"/>
          </w:tcPr>
          <w:p>
            <w:pPr>
              <w:ind w:left="140"/>
              <w:spacing w:after="0"/>
              <w:rPr>
                <w:sz w:val="20"/>
                <w:szCs w:val="20"/>
                <w:color w:val="auto"/>
              </w:rPr>
            </w:pPr>
            <w:r>
              <w:rPr>
                <w:rFonts w:ascii="Arial" w:cs="Arial" w:eastAsia="Arial" w:hAnsi="Arial"/>
                <w:sz w:val="18"/>
                <w:szCs w:val="18"/>
                <w:color w:val="auto"/>
              </w:rPr>
              <w:t>Proportional adjusted EBITDA for equity method</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5920" w:type="dxa"/>
            <w:vAlign w:val="bottom"/>
          </w:tcPr>
          <w:p>
            <w:pPr>
              <w:ind w:left="280"/>
              <w:spacing w:after="0" w:line="203" w:lineRule="exact"/>
              <w:rPr>
                <w:sz w:val="20"/>
                <w:szCs w:val="20"/>
                <w:color w:val="auto"/>
              </w:rPr>
            </w:pPr>
            <w:r>
              <w:rPr>
                <w:rFonts w:ascii="Arial" w:cs="Arial" w:eastAsia="Arial" w:hAnsi="Arial"/>
                <w:sz w:val="18"/>
                <w:szCs w:val="18"/>
                <w:color w:val="auto"/>
              </w:rPr>
              <w:t>investees</w:t>
            </w:r>
          </w:p>
        </w:tc>
        <w:tc>
          <w:tcPr>
            <w:tcW w:w="180" w:type="dxa"/>
            <w:vAlign w:val="bottom"/>
          </w:tcPr>
          <w:p>
            <w:pPr>
              <w:spacing w:after="0"/>
              <w:rPr>
                <w:sz w:val="17"/>
                <w:szCs w:val="17"/>
                <w:color w:val="auto"/>
              </w:rPr>
            </w:pPr>
          </w:p>
        </w:tc>
        <w:tc>
          <w:tcPr>
            <w:tcW w:w="1100" w:type="dxa"/>
            <w:vAlign w:val="bottom"/>
          </w:tcPr>
          <w:p>
            <w:pPr>
              <w:jc w:val="right"/>
              <w:ind w:right="33"/>
              <w:spacing w:after="0" w:line="203" w:lineRule="exact"/>
              <w:rPr>
                <w:sz w:val="20"/>
                <w:szCs w:val="20"/>
                <w:color w:val="auto"/>
              </w:rPr>
            </w:pPr>
            <w:r>
              <w:rPr>
                <w:rFonts w:ascii="Arial" w:cs="Arial" w:eastAsia="Arial" w:hAnsi="Arial"/>
                <w:sz w:val="18"/>
                <w:szCs w:val="18"/>
                <w:color w:val="auto"/>
              </w:rPr>
              <w:t>9,939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3"/>
              <w:spacing w:after="0" w:line="203" w:lineRule="exact"/>
              <w:rPr>
                <w:sz w:val="20"/>
                <w:szCs w:val="20"/>
                <w:color w:val="auto"/>
              </w:rPr>
            </w:pPr>
            <w:r>
              <w:rPr>
                <w:rFonts w:ascii="Arial" w:cs="Arial" w:eastAsia="Arial" w:hAnsi="Arial"/>
                <w:sz w:val="18"/>
                <w:szCs w:val="18"/>
                <w:color w:val="auto"/>
              </w:rPr>
              <w:t>8,935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19,149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19,412</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MVC shortfall payments</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3,533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Adjustments related to capital reimbursement activity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155</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Unit-based and noncash compensation</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2,261</w:t>
            </w: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4,079</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4,223</w:t>
            </w:r>
          </w:p>
        </w:tc>
      </w:tr>
      <w:tr>
        <w:trPr>
          <w:trHeight w:val="216"/>
        </w:trPr>
        <w:tc>
          <w:tcPr>
            <w:tcW w:w="592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59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45,021</w:t>
            </w:r>
          </w:p>
        </w:tc>
        <w:tc>
          <w:tcPr>
            <w:tcW w:w="14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587</w:t>
            </w:r>
          </w:p>
        </w:tc>
      </w:tr>
      <w:tr>
        <w:trPr>
          <w:trHeight w:val="210"/>
        </w:trPr>
        <w:tc>
          <w:tcPr>
            <w:tcW w:w="5920" w:type="dxa"/>
            <w:vAlign w:val="bottom"/>
          </w:tcPr>
          <w:p>
            <w:pPr>
              <w:ind w:left="260"/>
              <w:spacing w:after="0"/>
              <w:rPr>
                <w:sz w:val="20"/>
                <w:szCs w:val="20"/>
                <w:color w:val="auto"/>
              </w:rPr>
            </w:pPr>
            <w:r>
              <w:rPr>
                <w:rFonts w:ascii="Arial" w:cs="Arial" w:eastAsia="Arial" w:hAnsi="Arial"/>
                <w:sz w:val="18"/>
                <w:szCs w:val="18"/>
                <w:color w:val="auto"/>
              </w:rPr>
              <w:t>Total of reportable segments' measures of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75,816</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82,497</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154,591</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163,429</w:t>
            </w:r>
          </w:p>
        </w:tc>
      </w:tr>
      <w:tr>
        <w:trPr>
          <w:trHeight w:val="20"/>
        </w:trPr>
        <w:tc>
          <w:tcPr>
            <w:tcW w:w="5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60"/>
        <w:spacing w:after="0" w:line="239" w:lineRule="auto"/>
        <w:rPr>
          <w:sz w:val="20"/>
          <w:szCs w:val="20"/>
          <w:color w:val="auto"/>
        </w:rPr>
      </w:pPr>
      <w:r>
        <w:rPr>
          <w:rFonts w:ascii="Arial" w:cs="Arial" w:eastAsia="Arial" w:hAnsi="Arial"/>
          <w:sz w:val="18"/>
          <w:szCs w:val="18"/>
          <w:color w:val="auto"/>
        </w:rPr>
        <w:t>Adjustments related to MVC shortfall payments recognize the earnings from MVC shortfall payments ratably over the term of the associated MVC (see Note 3). Contributions in aid of construction are recognized over the remaining term of the respective contract. We include adjustments related to capital reimbursement activity in our calculation of segment adjusted EBITDA to account for revenue recognized from contributions in aid of construction.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Adjustments related to MVC shortfall payments by reportable segment follow.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gridSpan w:val="4"/>
          </w:tcPr>
          <w:p>
            <w:pPr>
              <w:jc w:val="center"/>
              <w:ind w:right="42"/>
              <w:spacing w:after="0"/>
              <w:rPr>
                <w:sz w:val="20"/>
                <w:szCs w:val="20"/>
                <w:color w:val="auto"/>
              </w:rPr>
            </w:pPr>
            <w:r>
              <w:rPr>
                <w:rFonts w:ascii="Arial" w:cs="Arial" w:eastAsia="Arial" w:hAnsi="Arial"/>
                <w:sz w:val="14"/>
                <w:szCs w:val="14"/>
                <w:b w:val="1"/>
                <w:bCs w:val="1"/>
                <w:color w:val="auto"/>
              </w:rPr>
              <w:t>Three months ended June 30, 2019</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r>
      <w:tr>
        <w:trPr>
          <w:trHeight w:val="156"/>
        </w:trPr>
        <w:tc>
          <w:tcPr>
            <w:tcW w:w="5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30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100" w:type="dxa"/>
            <w:vAlign w:val="bottom"/>
          </w:tcPr>
          <w:p>
            <w:pPr>
              <w:jc w:val="center"/>
              <w:ind w:right="32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5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Williston Basin</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2,081</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124"/>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1,452</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3,533</w:t>
            </w:r>
          </w:p>
        </w:tc>
      </w:tr>
      <w:tr>
        <w:trPr>
          <w:trHeight w:val="297"/>
        </w:trPr>
        <w:tc>
          <w:tcPr>
            <w:tcW w:w="5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rPr>
              <w:t>Three months ended June 30, 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6"/>
        </w:trPr>
        <w:tc>
          <w:tcPr>
            <w:tcW w:w="5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right"/>
              <w:ind w:right="32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100" w:type="dxa"/>
            <w:vAlign w:val="bottom"/>
          </w:tcPr>
          <w:p>
            <w:pPr>
              <w:jc w:val="right"/>
              <w:ind w:right="38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5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4"/>
                <w:szCs w:val="14"/>
                <w:b w:val="1"/>
                <w:bCs w:val="1"/>
                <w:color w:val="auto"/>
              </w:rPr>
              <w:t>Williston Basin</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4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3"/>
          </w:tcPr>
          <w:p>
            <w:pPr>
              <w:jc w:val="center"/>
              <w:ind w:right="28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3"/>
            <w:shd w:val="clear" w:color="auto" w:fill="CFF0FC"/>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w:t>
            </w:r>
          </w:p>
        </w:tc>
      </w:tr>
      <w:tr>
        <w:trPr>
          <w:trHeight w:val="365"/>
        </w:trPr>
        <w:tc>
          <w:tcPr>
            <w:tcW w:w="5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rPr>
              <w:t>Six months ended June 30, 2019</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6"/>
        </w:trPr>
        <w:tc>
          <w:tcPr>
            <w:tcW w:w="5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30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100" w:type="dxa"/>
            <w:vAlign w:val="bottom"/>
          </w:tcPr>
          <w:p>
            <w:pPr>
              <w:jc w:val="center"/>
              <w:ind w:right="32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5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Williston Basin</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(3,468)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2,905</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r>
      <w:tr>
        <w:trPr>
          <w:trHeight w:val="392"/>
        </w:trPr>
        <w:tc>
          <w:tcPr>
            <w:tcW w:w="5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3"/>
          </w:tcPr>
          <w:p>
            <w:pPr>
              <w:jc w:val="center"/>
              <w:ind w:right="262"/>
              <w:spacing w:after="0"/>
              <w:rPr>
                <w:sz w:val="20"/>
                <w:szCs w:val="20"/>
                <w:color w:val="auto"/>
              </w:rPr>
            </w:pPr>
            <w:r>
              <w:rPr>
                <w:rFonts w:ascii="Arial" w:cs="Arial" w:eastAsia="Arial" w:hAnsi="Arial"/>
                <w:sz w:val="14"/>
                <w:szCs w:val="14"/>
                <w:b w:val="1"/>
                <w:bCs w:val="1"/>
                <w:color w:val="auto"/>
              </w:rPr>
              <w:t>Six months ended June 30, 2018</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156"/>
        </w:trPr>
        <w:tc>
          <w:tcPr>
            <w:tcW w:w="5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jc w:val="center"/>
              <w:ind w:right="304"/>
              <w:spacing w:after="0" w:line="156" w:lineRule="exact"/>
              <w:rPr>
                <w:sz w:val="20"/>
                <w:szCs w:val="20"/>
                <w:color w:val="auto"/>
              </w:rPr>
            </w:pPr>
            <w:r>
              <w:rPr>
                <w:rFonts w:ascii="Arial" w:cs="Arial" w:eastAsia="Arial" w:hAnsi="Arial"/>
                <w:sz w:val="14"/>
                <w:szCs w:val="14"/>
                <w:b w:val="1"/>
                <w:bCs w:val="1"/>
                <w:color w:val="auto"/>
              </w:rPr>
              <w:t>Piceance</w:t>
            </w:r>
          </w:p>
        </w:tc>
        <w:tc>
          <w:tcPr>
            <w:tcW w:w="280" w:type="dxa"/>
            <w:vAlign w:val="bottom"/>
          </w:tcPr>
          <w:p>
            <w:pPr>
              <w:spacing w:after="0"/>
              <w:rPr>
                <w:sz w:val="13"/>
                <w:szCs w:val="13"/>
                <w:color w:val="auto"/>
              </w:rPr>
            </w:pPr>
          </w:p>
        </w:tc>
        <w:tc>
          <w:tcPr>
            <w:tcW w:w="1100" w:type="dxa"/>
            <w:vAlign w:val="bottom"/>
          </w:tcPr>
          <w:p>
            <w:pPr>
              <w:jc w:val="center"/>
              <w:ind w:right="322"/>
              <w:spacing w:after="0" w:line="156" w:lineRule="exact"/>
              <w:rPr>
                <w:sz w:val="20"/>
                <w:szCs w:val="20"/>
                <w:color w:val="auto"/>
              </w:rPr>
            </w:pPr>
            <w:r>
              <w:rPr>
                <w:rFonts w:ascii="Arial" w:cs="Arial" w:eastAsia="Arial" w:hAnsi="Arial"/>
                <w:sz w:val="14"/>
                <w:szCs w:val="14"/>
                <w:b w:val="1"/>
                <w:bCs w:val="1"/>
                <w:color w:val="auto"/>
              </w:rPr>
              <w:t>Barnett</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75"/>
        </w:trPr>
        <w:tc>
          <w:tcPr>
            <w:tcW w:w="5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rPr>
              <w:t>Williston Basin</w:t>
            </w:r>
          </w:p>
        </w:tc>
        <w:tc>
          <w:tcPr>
            <w:tcW w:w="2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304"/>
              <w:spacing w:after="0"/>
              <w:rPr>
                <w:sz w:val="20"/>
                <w:szCs w:val="20"/>
                <w:color w:val="auto"/>
              </w:rPr>
            </w:pPr>
            <w:r>
              <w:rPr>
                <w:rFonts w:ascii="Arial" w:cs="Arial" w:eastAsia="Arial" w:hAnsi="Arial"/>
                <w:sz w:val="14"/>
                <w:szCs w:val="14"/>
                <w:b w:val="1"/>
                <w:bCs w:val="1"/>
                <w:color w:val="auto"/>
              </w:rPr>
              <w:t>Basin</w:t>
            </w: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322"/>
              <w:spacing w:after="0"/>
              <w:rPr>
                <w:sz w:val="20"/>
                <w:szCs w:val="20"/>
                <w:color w:val="auto"/>
              </w:rPr>
            </w:pPr>
            <w:r>
              <w:rPr>
                <w:rFonts w:ascii="Arial" w:cs="Arial" w:eastAsia="Arial" w:hAnsi="Arial"/>
                <w:sz w:val="14"/>
                <w:szCs w:val="14"/>
                <w:b w:val="1"/>
                <w:bCs w:val="1"/>
                <w:color w:val="auto"/>
              </w:rPr>
              <w:t>Shale</w:t>
            </w:r>
          </w:p>
        </w:tc>
        <w:tc>
          <w:tcPr>
            <w:tcW w:w="3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Total</w:t>
            </w:r>
          </w:p>
        </w:tc>
      </w:tr>
      <w:tr>
        <w:trPr>
          <w:trHeight w:val="169"/>
        </w:trPr>
        <w:tc>
          <w:tcPr>
            <w:tcW w:w="5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3"/>
          </w:tcPr>
          <w:p>
            <w:pPr>
              <w:jc w:val="center"/>
              <w:ind w:right="262"/>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6"/>
        </w:trPr>
        <w:tc>
          <w:tcPr>
            <w:tcW w:w="5100" w:type="dxa"/>
            <w:vAlign w:val="bottom"/>
            <w:shd w:val="clear" w:color="auto" w:fill="CFF0FC"/>
          </w:tcPr>
          <w:p>
            <w:pPr>
              <w:spacing w:after="0"/>
              <w:rPr>
                <w:sz w:val="20"/>
                <w:szCs w:val="20"/>
                <w:color w:val="auto"/>
              </w:rPr>
            </w:pPr>
            <w:r>
              <w:rPr>
                <w:rFonts w:ascii="Arial" w:cs="Arial" w:eastAsia="Arial" w:hAnsi="Arial"/>
                <w:sz w:val="18"/>
                <w:szCs w:val="18"/>
                <w:color w:val="auto"/>
              </w:rPr>
              <w:t>Adjustments related to expected MVC shortfall payments:</w:t>
            </w:r>
          </w:p>
        </w:tc>
        <w:tc>
          <w:tcPr>
            <w:tcW w:w="1200" w:type="dxa"/>
            <w:vAlign w:val="bottom"/>
            <w:gridSpan w:val="3"/>
            <w:shd w:val="clear" w:color="auto" w:fill="CFF0FC"/>
          </w:tcPr>
          <w:p>
            <w:pPr>
              <w:jc w:val="right"/>
              <w:ind w:right="208"/>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(3,386)</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64"/>
              <w:spacing w:after="0"/>
              <w:rPr>
                <w:sz w:val="20"/>
                <w:szCs w:val="20"/>
                <w:color w:val="auto"/>
              </w:rPr>
            </w:pPr>
            <w:r>
              <w:rPr>
                <w:rFonts w:ascii="Arial" w:cs="Arial" w:eastAsia="Arial" w:hAnsi="Arial"/>
                <w:sz w:val="18"/>
                <w:szCs w:val="18"/>
                <w:color w:val="auto"/>
              </w:rPr>
              <w:t>(93)</w:t>
            </w:r>
          </w:p>
        </w:tc>
        <w:tc>
          <w:tcPr>
            <w:tcW w:w="2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(3,542)</w:t>
            </w:r>
          </w:p>
        </w:tc>
      </w:tr>
      <w:tr>
        <w:trPr>
          <w:trHeight w:val="567"/>
        </w:trPr>
        <w:tc>
          <w:tcPr>
            <w:tcW w:w="5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51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5. PROPERTY, PLANT AND EQUIPMENT,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Details on property, plant and equipment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December 31, 2018</w:t>
            </w:r>
          </w:p>
        </w:tc>
      </w:tr>
      <w:tr>
        <w:trPr>
          <w:trHeight w:val="210"/>
        </w:trPr>
        <w:tc>
          <w:tcPr>
            <w:tcW w:w="7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4"/>
          </w:tcPr>
          <w:p>
            <w:pPr>
              <w:jc w:val="right"/>
              <w:ind w:right="1372"/>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Gathering and processing systems and related equipment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2,136,209</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2,155,325</w:t>
            </w:r>
          </w:p>
        </w:tc>
      </w:tr>
      <w:tr>
        <w:trPr>
          <w:trHeight w:val="216"/>
        </w:trPr>
        <w:tc>
          <w:tcPr>
            <w:tcW w:w="762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Pr>
          <w:p>
            <w:pPr>
              <w:spacing w:after="0"/>
              <w:rPr>
                <w:sz w:val="18"/>
                <w:szCs w:val="18"/>
                <w:color w:val="auto"/>
              </w:rPr>
            </w:pPr>
          </w:p>
        </w:tc>
        <w:tc>
          <w:tcPr>
            <w:tcW w:w="1560" w:type="dxa"/>
            <w:vAlign w:val="bottom"/>
          </w:tcPr>
          <w:p>
            <w:pPr>
              <w:jc w:val="right"/>
              <w:ind w:right="34"/>
              <w:spacing w:after="0"/>
              <w:rPr>
                <w:sz w:val="20"/>
                <w:szCs w:val="20"/>
                <w:color w:val="auto"/>
              </w:rPr>
            </w:pPr>
            <w:r>
              <w:rPr>
                <w:rFonts w:ascii="Arial" w:cs="Arial" w:eastAsia="Arial" w:hAnsi="Arial"/>
                <w:sz w:val="18"/>
                <w:szCs w:val="18"/>
                <w:color w:val="auto"/>
              </w:rPr>
              <w:t>76,086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jc w:val="right"/>
              <w:ind w:right="52"/>
              <w:spacing w:after="0"/>
              <w:rPr>
                <w:sz w:val="20"/>
                <w:szCs w:val="20"/>
                <w:color w:val="auto"/>
              </w:rPr>
            </w:pPr>
            <w:r>
              <w:rPr>
                <w:rFonts w:ascii="Arial" w:cs="Arial" w:eastAsia="Arial" w:hAnsi="Arial"/>
                <w:sz w:val="18"/>
                <w:szCs w:val="18"/>
                <w:color w:val="auto"/>
              </w:rPr>
              <w:t>137,920</w:t>
            </w:r>
          </w:p>
        </w:tc>
      </w:tr>
      <w:tr>
        <w:trPr>
          <w:trHeight w:val="216"/>
        </w:trPr>
        <w:tc>
          <w:tcPr>
            <w:tcW w:w="7620" w:type="dxa"/>
            <w:vAlign w:val="bottom"/>
            <w:shd w:val="clear" w:color="auto" w:fill="CFF0FC"/>
          </w:tcPr>
          <w:p>
            <w:pPr>
              <w:spacing w:after="0"/>
              <w:rPr>
                <w:sz w:val="20"/>
                <w:szCs w:val="20"/>
                <w:color w:val="auto"/>
              </w:rPr>
            </w:pPr>
            <w:r>
              <w:rPr>
                <w:rFonts w:ascii="Arial" w:cs="Arial" w:eastAsia="Arial" w:hAnsi="Arial"/>
                <w:sz w:val="18"/>
                <w:szCs w:val="18"/>
                <w:color w:val="auto"/>
              </w:rPr>
              <w:t>Land and line fill</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9,823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11,748</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61,045</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45,853</w:t>
            </w:r>
          </w:p>
        </w:tc>
      </w:tr>
      <w:tr>
        <w:trPr>
          <w:trHeight w:val="210"/>
        </w:trPr>
        <w:tc>
          <w:tcPr>
            <w:tcW w:w="76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FF0FC"/>
          </w:tcPr>
          <w:p>
            <w:pPr>
              <w:spacing w:after="0"/>
              <w:rPr>
                <w:sz w:val="18"/>
                <w:szCs w:val="18"/>
                <w:color w:val="auto"/>
              </w:rPr>
            </w:pPr>
          </w:p>
        </w:tc>
        <w:tc>
          <w:tcPr>
            <w:tcW w:w="15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2,283,163</w:t>
            </w: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2,350,846</w:t>
            </w:r>
          </w:p>
        </w:tc>
      </w:tr>
      <w:tr>
        <w:trPr>
          <w:trHeight w:val="216"/>
        </w:trPr>
        <w:tc>
          <w:tcPr>
            <w:tcW w:w="7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404,312</w:t>
            </w:r>
          </w:p>
        </w:tc>
        <w:tc>
          <w:tcPr>
            <w:tcW w:w="18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387,133</w:t>
            </w:r>
          </w:p>
        </w:tc>
      </w:tr>
      <w:tr>
        <w:trPr>
          <w:trHeight w:val="210"/>
        </w:trPr>
        <w:tc>
          <w:tcPr>
            <w:tcW w:w="76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1,878,851</w:t>
            </w:r>
          </w:p>
        </w:tc>
        <w:tc>
          <w:tcPr>
            <w:tcW w:w="1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1,963,713</w:t>
            </w:r>
          </w:p>
        </w:tc>
      </w:tr>
      <w:tr>
        <w:trPr>
          <w:trHeight w:val="20"/>
        </w:trPr>
        <w:tc>
          <w:tcPr>
            <w:tcW w:w="7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In March 2019, certain events, facts and circumstances occurred which indicated that certain long-lived assets in the DJ Basin and Barnett Shale reporting segments could be impaired. Consequently, in the first quarter of 2019, we performed a recoverability assessment of certain assets within these reporting segments.</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 the DJ Basin, we determined that certain processing plant assets related to our existing 20 MMcf/d plant would no longer be utilized due to our expansion plans for the Niobrara G&amp;P system. Based on the results of the recoverability assessment and the conclusion that the carrying value was not fully recoverable, we recorded an impairment charge of $34.7 million related to these assets in the first quarter of 2019.</w:t>
      </w:r>
    </w:p>
    <w:p>
      <w:pPr>
        <w:spacing w:after="0" w:line="9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In the Barnett Shale, we determined, in the first quarter of 2019, that certain compressor station assets would be shut down and decommissioned. As a result, we recorded an impairment charge of $9.7 million related to these assets in the first quarter of 2019. See Note 6 for additional details.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and capitalized interest follow.</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center"/>
              <w:ind w:right="216"/>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center"/>
              <w:ind w:left="501"/>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Depreciation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18,829</w:t>
            </w:r>
          </w:p>
        </w:tc>
        <w:tc>
          <w:tcPr>
            <w:tcW w:w="520" w:type="dxa"/>
            <w:vAlign w:val="bottom"/>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18,657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38,612</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37,214</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Capitalized interest</w:t>
            </w:r>
          </w:p>
        </w:tc>
        <w:tc>
          <w:tcPr>
            <w:tcW w:w="180" w:type="dxa"/>
            <w:vAlign w:val="bottom"/>
          </w:tcPr>
          <w:p>
            <w:pPr>
              <w:spacing w:after="0"/>
              <w:rPr>
                <w:sz w:val="19"/>
                <w:szCs w:val="19"/>
                <w:color w:val="auto"/>
              </w:rPr>
            </w:pP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2,446</w:t>
            </w:r>
          </w:p>
        </w:tc>
        <w:tc>
          <w:tcPr>
            <w:tcW w:w="520" w:type="dxa"/>
            <w:vAlign w:val="bottom"/>
          </w:tcPr>
          <w:p>
            <w:pPr>
              <w:spacing w:after="0"/>
              <w:rPr>
                <w:sz w:val="19"/>
                <w:szCs w:val="19"/>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color w:val="auto"/>
              </w:rPr>
              <w:t>1,863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4,361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3,085</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AMORTIZING INTANGIBLE ASSETS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Details regarding our intangible assets, all of which are subject to amortization, follow:</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June 30, 2019</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56"/>
        </w:trPr>
        <w:tc>
          <w:tcPr>
            <w:tcW w:w="4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6"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r>
      <w:tr>
        <w:trPr>
          <w:trHeight w:val="210"/>
        </w:trPr>
        <w:tc>
          <w:tcPr>
            <w:tcW w:w="4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(14,657)</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9,538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Contract intangibles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(156,755)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121,693</w:t>
            </w: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0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159,734</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(39,715)</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120,019</w:t>
            </w:r>
          </w:p>
        </w:tc>
      </w:tr>
      <w:tr>
        <w:trPr>
          <w:trHeight w:val="210"/>
        </w:trPr>
        <w:tc>
          <w:tcPr>
            <w:tcW w:w="47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462,377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(211,127)</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251,250</w:t>
            </w: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47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rPr>
              <w:t>December 31, 2018</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56"/>
        </w:trPr>
        <w:tc>
          <w:tcPr>
            <w:tcW w:w="474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ind w:right="136"/>
              <w:spacing w:after="0" w:line="156" w:lineRule="exact"/>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400"/>
              <w:spacing w:after="0" w:line="156"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47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Net</w:t>
            </w:r>
          </w:p>
        </w:tc>
      </w:tr>
      <w:tr>
        <w:trPr>
          <w:trHeight w:val="210"/>
        </w:trPr>
        <w:tc>
          <w:tcPr>
            <w:tcW w:w="474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Favorable gas gathering contracts</w:t>
            </w:r>
          </w:p>
        </w:tc>
        <w:tc>
          <w:tcPr>
            <w:tcW w:w="2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24,195</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(13,905)</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10,290</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Contract intangibles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278,448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(143,962)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134,486</w:t>
            </w:r>
          </w:p>
        </w:tc>
      </w:tr>
      <w:tr>
        <w:trPr>
          <w:trHeight w:val="216"/>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Rights-of-way</w:t>
            </w:r>
          </w:p>
        </w:tc>
        <w:tc>
          <w:tcPr>
            <w:tcW w:w="20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166,209</w:t>
            </w:r>
          </w:p>
        </w:tc>
        <w:tc>
          <w:tcPr>
            <w:tcW w:w="16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(37,569)</w:t>
            </w:r>
          </w:p>
        </w:tc>
        <w:tc>
          <w:tcPr>
            <w:tcW w:w="140" w:type="dxa"/>
            <w:vAlign w:val="bottom"/>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128,640</w:t>
            </w:r>
          </w:p>
        </w:tc>
      </w:tr>
      <w:tr>
        <w:trPr>
          <w:trHeight w:val="210"/>
        </w:trPr>
        <w:tc>
          <w:tcPr>
            <w:tcW w:w="4740" w:type="dxa"/>
            <w:vAlign w:val="bottom"/>
          </w:tcPr>
          <w:p>
            <w:pPr>
              <w:ind w:left="140"/>
              <w:spacing w:after="0"/>
              <w:rPr>
                <w:sz w:val="20"/>
                <w:szCs w:val="20"/>
                <w:color w:val="auto"/>
              </w:rPr>
            </w:pPr>
            <w:r>
              <w:rPr>
                <w:rFonts w:ascii="Arial" w:cs="Arial" w:eastAsia="Arial" w:hAnsi="Arial"/>
                <w:sz w:val="18"/>
                <w:szCs w:val="18"/>
                <w:color w:val="auto"/>
              </w:rPr>
              <w:t>Total intangible assets</w:t>
            </w:r>
          </w:p>
        </w:tc>
        <w:tc>
          <w:tcPr>
            <w:tcW w:w="2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6"/>
              <w:spacing w:after="0"/>
              <w:rPr>
                <w:sz w:val="20"/>
                <w:szCs w:val="20"/>
                <w:color w:val="auto"/>
              </w:rPr>
            </w:pPr>
            <w:r>
              <w:rPr>
                <w:rFonts w:ascii="Arial" w:cs="Arial" w:eastAsia="Arial" w:hAnsi="Arial"/>
                <w:sz w:val="18"/>
                <w:szCs w:val="18"/>
                <w:color w:val="auto"/>
              </w:rPr>
              <w:t>468,852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(195,436)</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273,416</w:t>
            </w:r>
          </w:p>
        </w:tc>
      </w:tr>
      <w:tr>
        <w:trPr>
          <w:trHeight w:val="20"/>
        </w:trPr>
        <w:tc>
          <w:tcPr>
            <w:tcW w:w="47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right="340"/>
        <w:spacing w:after="0" w:line="239" w:lineRule="auto"/>
        <w:rPr>
          <w:sz w:val="20"/>
          <w:szCs w:val="20"/>
          <w:color w:val="auto"/>
        </w:rPr>
      </w:pPr>
      <w:r>
        <w:rPr>
          <w:rFonts w:ascii="Arial" w:cs="Arial" w:eastAsia="Arial" w:hAnsi="Arial"/>
          <w:sz w:val="18"/>
          <w:szCs w:val="18"/>
          <w:color w:val="auto"/>
        </w:rPr>
        <w:t>In March 2019, certain events, facts and circumstances occurred which indicated that certain long-lived assets relating to the Barnett Shale reporting segment could be impaired (see Note 5). In connection with this evaluation, we evaluated the related intangible assets associated therewith for impairment consisting of rights-of-way intangible assets. We concluded the rights-of-way intangible assets were also impaired and, as a result, we recorded an impairment charge of $0.5 million in the first quarter of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We recognized amortization expense in other revenues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favorable gas gathering contracts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20"/>
              <w:spacing w:after="0"/>
              <w:rPr>
                <w:sz w:val="20"/>
                <w:szCs w:val="20"/>
                <w:color w:val="auto"/>
              </w:rPr>
            </w:pPr>
            <w:r>
              <w:rPr>
                <w:rFonts w:ascii="Arial" w:cs="Arial" w:eastAsia="Arial" w:hAnsi="Arial"/>
                <w:sz w:val="18"/>
                <w:szCs w:val="18"/>
                <w:color w:val="auto"/>
              </w:rPr>
              <w:t>(363)</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(752)</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w:t>
            </w:r>
          </w:p>
        </w:tc>
      </w:tr>
      <w:tr>
        <w:trPr>
          <w:trHeight w:val="338"/>
        </w:trPr>
        <w:tc>
          <w:tcPr>
            <w:tcW w:w="5920" w:type="dxa"/>
            <w:vAlign w:val="bottom"/>
          </w:tcPr>
          <w:p>
            <w:pPr>
              <w:spacing w:after="0"/>
              <w:rPr>
                <w:sz w:val="20"/>
                <w:szCs w:val="20"/>
                <w:color w:val="auto"/>
              </w:rPr>
            </w:pPr>
            <w:r>
              <w:rPr>
                <w:rFonts w:ascii="Arial" w:cs="Arial" w:eastAsia="Arial" w:hAnsi="Arial"/>
                <w:sz w:val="18"/>
                <w:szCs w:val="18"/>
                <w:color w:val="auto"/>
              </w:rPr>
              <w:t>We recognized amortization expense in costs and expenses as follows:</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8"/>
        </w:trPr>
        <w:tc>
          <w:tcPr>
            <w:tcW w:w="59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3"/>
          </w:tcPr>
          <w:p>
            <w:pPr>
              <w:jc w:val="right"/>
              <w:ind w:right="397"/>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Amortization expense – contract intangibles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6,397</w:t>
            </w:r>
          </w:p>
        </w:tc>
        <w:tc>
          <w:tcPr>
            <w:tcW w:w="3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0"/>
              <w:spacing w:after="0"/>
              <w:rPr>
                <w:sz w:val="20"/>
                <w:szCs w:val="20"/>
                <w:color w:val="auto"/>
              </w:rPr>
            </w:pPr>
            <w:r>
              <w:rPr>
                <w:rFonts w:ascii="Arial" w:cs="Arial" w:eastAsia="Arial" w:hAnsi="Arial"/>
                <w:sz w:val="18"/>
                <w:szCs w:val="18"/>
                <w:color w:val="auto"/>
              </w:rPr>
              <w:t>6,535</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12,794</w:t>
            </w:r>
          </w:p>
        </w:tc>
        <w:tc>
          <w:tcPr>
            <w:tcW w:w="3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13,070</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Amortization expense – rights-of-way</w:t>
            </w:r>
          </w:p>
        </w:tc>
        <w:tc>
          <w:tcPr>
            <w:tcW w:w="180" w:type="dxa"/>
            <w:vAlign w:val="bottom"/>
          </w:tcPr>
          <w:p>
            <w:pPr>
              <w:spacing w:after="0"/>
              <w:rPr>
                <w:sz w:val="19"/>
                <w:szCs w:val="19"/>
                <w:color w:val="auto"/>
              </w:rPr>
            </w:pPr>
          </w:p>
        </w:tc>
        <w:tc>
          <w:tcPr>
            <w:tcW w:w="1140" w:type="dxa"/>
            <w:vAlign w:val="bottom"/>
          </w:tcPr>
          <w:p>
            <w:pPr>
              <w:jc w:val="right"/>
              <w:ind w:right="80"/>
              <w:spacing w:after="0"/>
              <w:rPr>
                <w:sz w:val="20"/>
                <w:szCs w:val="20"/>
                <w:color w:val="auto"/>
              </w:rPr>
            </w:pPr>
            <w:r>
              <w:rPr>
                <w:rFonts w:ascii="Arial" w:cs="Arial" w:eastAsia="Arial" w:hAnsi="Arial"/>
                <w:sz w:val="18"/>
                <w:szCs w:val="18"/>
                <w:color w:val="auto"/>
              </w:rPr>
              <w:t>1,574</w:t>
            </w:r>
          </w:p>
        </w:tc>
        <w:tc>
          <w:tcPr>
            <w:tcW w:w="340" w:type="dxa"/>
            <w:vAlign w:val="bottom"/>
          </w:tcPr>
          <w:p>
            <w:pPr>
              <w:spacing w:after="0"/>
              <w:rPr>
                <w:sz w:val="19"/>
                <w:szCs w:val="19"/>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color w:val="auto"/>
              </w:rPr>
              <w:t>1,592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80"/>
              <w:spacing w:after="0"/>
              <w:rPr>
                <w:sz w:val="20"/>
                <w:szCs w:val="20"/>
                <w:color w:val="auto"/>
              </w:rPr>
            </w:pPr>
            <w:r>
              <w:rPr>
                <w:rFonts w:ascii="Arial" w:cs="Arial" w:eastAsia="Arial" w:hAnsi="Arial"/>
                <w:sz w:val="18"/>
                <w:szCs w:val="18"/>
                <w:color w:val="auto"/>
              </w:rPr>
              <w:t>3,121</w:t>
            </w:r>
          </w:p>
        </w:tc>
        <w:tc>
          <w:tcPr>
            <w:tcW w:w="360" w:type="dxa"/>
            <w:vAlign w:val="bottom"/>
          </w:tcPr>
          <w:p>
            <w:pPr>
              <w:spacing w:after="0"/>
              <w:rPr>
                <w:sz w:val="19"/>
                <w:szCs w:val="19"/>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3,177</w:t>
            </w:r>
          </w:p>
        </w:tc>
      </w:tr>
    </w:tbl>
    <w:p>
      <w:pPr>
        <w:spacing w:after="0" w:line="107"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The estimated aggregate annual amortization expected to be recognized for the remainder of 2019 and each of the four succeeding fiscal years follows.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4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tcPr>
          <w:p>
            <w:pPr>
              <w:jc w:val="right"/>
              <w:ind w:right="895"/>
              <w:spacing w:after="0"/>
              <w:rPr>
                <w:sz w:val="20"/>
                <w:szCs w:val="20"/>
                <w:color w:val="auto"/>
              </w:rPr>
            </w:pPr>
            <w:r>
              <w:rPr>
                <w:rFonts w:ascii="Arial" w:cs="Arial" w:eastAsia="Arial" w:hAnsi="Arial"/>
                <w:sz w:val="14"/>
                <w:szCs w:val="14"/>
                <w:b w:val="1"/>
                <w:bCs w:val="1"/>
                <w:color w:val="auto"/>
              </w:rPr>
              <w:t>Intangible assets</w:t>
            </w:r>
          </w:p>
        </w:tc>
      </w:tr>
      <w:tr>
        <w:trPr>
          <w:trHeight w:val="223"/>
        </w:trPr>
        <w:tc>
          <w:tcPr>
            <w:tcW w:w="44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540" w:type="dxa"/>
            <w:vAlign w:val="bottom"/>
          </w:tcPr>
          <w:p>
            <w:pPr>
              <w:jc w:val="right"/>
              <w:ind w:right="99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2019</w:t>
            </w:r>
          </w:p>
        </w:tc>
        <w:tc>
          <w:tcPr>
            <w:tcW w:w="448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15,971</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2020</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32,049</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2021</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28,357</w:t>
            </w:r>
          </w:p>
        </w:tc>
      </w:tr>
      <w:tr>
        <w:trPr>
          <w:trHeight w:val="216"/>
        </w:trPr>
        <w:tc>
          <w:tcPr>
            <w:tcW w:w="4400" w:type="dxa"/>
            <w:vAlign w:val="bottom"/>
          </w:tcPr>
          <w:p>
            <w:pPr>
              <w:jc w:val="right"/>
              <w:ind w:right="3910"/>
              <w:spacing w:after="0"/>
              <w:rPr>
                <w:sz w:val="20"/>
                <w:szCs w:val="20"/>
                <w:color w:val="auto"/>
              </w:rPr>
            </w:pPr>
            <w:r>
              <w:rPr>
                <w:rFonts w:ascii="Arial" w:cs="Arial" w:eastAsia="Arial" w:hAnsi="Arial"/>
                <w:sz w:val="18"/>
                <w:szCs w:val="18"/>
                <w:color w:val="auto"/>
                <w:w w:val="94"/>
              </w:rPr>
              <w:t>2022</w:t>
            </w:r>
          </w:p>
        </w:tc>
        <w:tc>
          <w:tcPr>
            <w:tcW w:w="4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40" w:type="dxa"/>
            <w:vAlign w:val="bottom"/>
          </w:tcPr>
          <w:p>
            <w:pPr>
              <w:jc w:val="right"/>
              <w:ind w:right="55"/>
              <w:spacing w:after="0"/>
              <w:rPr>
                <w:sz w:val="20"/>
                <w:szCs w:val="20"/>
                <w:color w:val="auto"/>
              </w:rPr>
            </w:pPr>
            <w:r>
              <w:rPr>
                <w:rFonts w:ascii="Arial" w:cs="Arial" w:eastAsia="Arial" w:hAnsi="Arial"/>
                <w:sz w:val="18"/>
                <w:szCs w:val="18"/>
                <w:color w:val="auto"/>
              </w:rPr>
              <w:t>25,290</w:t>
            </w:r>
          </w:p>
        </w:tc>
      </w:tr>
      <w:tr>
        <w:trPr>
          <w:trHeight w:val="216"/>
        </w:trPr>
        <w:tc>
          <w:tcPr>
            <w:tcW w:w="4400" w:type="dxa"/>
            <w:vAlign w:val="bottom"/>
            <w:shd w:val="clear" w:color="auto" w:fill="CFF0FC"/>
          </w:tcPr>
          <w:p>
            <w:pPr>
              <w:jc w:val="right"/>
              <w:ind w:right="3910"/>
              <w:spacing w:after="0"/>
              <w:rPr>
                <w:sz w:val="20"/>
                <w:szCs w:val="20"/>
                <w:color w:val="auto"/>
              </w:rPr>
            </w:pPr>
            <w:r>
              <w:rPr>
                <w:rFonts w:ascii="Arial" w:cs="Arial" w:eastAsia="Arial" w:hAnsi="Arial"/>
                <w:sz w:val="18"/>
                <w:szCs w:val="18"/>
                <w:color w:val="auto"/>
                <w:w w:val="94"/>
              </w:rPr>
              <w:t>2023</w:t>
            </w:r>
          </w:p>
        </w:tc>
        <w:tc>
          <w:tcPr>
            <w:tcW w:w="40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5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25,236</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w:t>
      </w:r>
    </w:p>
    <w:p>
      <w:pPr>
        <w:spacing w:after="0" w:line="126" w:lineRule="exact"/>
        <w:rPr>
          <w:sz w:val="20"/>
          <w:szCs w:val="20"/>
          <w:color w:val="auto"/>
        </w:rPr>
      </w:pPr>
    </w:p>
    <w:p>
      <w:pPr>
        <w:ind w:right="20"/>
        <w:spacing w:after="0"/>
        <w:rPr>
          <w:sz w:val="20"/>
          <w:szCs w:val="20"/>
          <w:color w:val="auto"/>
        </w:rPr>
      </w:pPr>
      <w:r>
        <w:rPr>
          <w:rFonts w:ascii="Arial" w:cs="Arial" w:eastAsia="Arial" w:hAnsi="Arial"/>
          <w:sz w:val="18"/>
          <w:szCs w:val="18"/>
          <w:color w:val="auto"/>
        </w:rPr>
        <w:t>We evaluate goodwill for impairment annually on September 30. We also evaluate goodwill whenever events or circumstances indicate that it is more likely than not that the fair value of a reporting unit is less than its carrying value, including goodwill. There have been no impairments of goodwill during the three and six months ended June 30, 2019.</w:t>
      </w:r>
    </w:p>
    <w:p>
      <w:pPr>
        <w:spacing w:after="0" w:line="73" w:lineRule="exact"/>
        <w:rPr>
          <w:sz w:val="20"/>
          <w:szCs w:val="20"/>
          <w:color w:val="auto"/>
        </w:rPr>
      </w:pPr>
    </w:p>
    <w:p>
      <w:pPr>
        <w:spacing w:after="0" w:line="248" w:lineRule="auto"/>
        <w:rPr>
          <w:sz w:val="20"/>
          <w:szCs w:val="20"/>
          <w:color w:val="auto"/>
        </w:rPr>
      </w:pPr>
      <w:r>
        <w:rPr>
          <w:rFonts w:ascii="Arial" w:cs="Arial" w:eastAsia="Arial" w:hAnsi="Arial"/>
          <w:sz w:val="18"/>
          <w:szCs w:val="18"/>
          <w:b w:val="1"/>
          <w:bCs w:val="1"/>
          <w:i w:val="1"/>
          <w:iCs w:val="1"/>
          <w:color w:val="auto"/>
        </w:rPr>
        <w:t xml:space="preserve">Fair Value Measurement. </w:t>
      </w:r>
      <w:r>
        <w:rPr>
          <w:rFonts w:ascii="Arial" w:cs="Arial" w:eastAsia="Arial" w:hAnsi="Arial"/>
          <w:sz w:val="18"/>
          <w:szCs w:val="18"/>
          <w:color w:val="auto"/>
        </w:rPr>
        <w:t>Our impairment determinations, in the context of (i) our annual impairment evaluations and (ii) our other-than-annual impairment evaluations involved significant assumptions and judgments, as discussed in the 2018 Annual Report. Differing assumptions regarding any of these inputs could have a significant effect on the valuations. As such, the fair value measurements utilized within these models are classified as non-recurring Level 3 measurements in the fair value hierarchy because they are not observable from objective sources. Due to the volatility of the inputs used, we cannot predict the likelihood of any future impairment.</w:t>
      </w:r>
    </w:p>
    <w:p>
      <w:pPr>
        <w:spacing w:after="0" w:line="65" w:lineRule="exact"/>
        <w:rPr>
          <w:sz w:val="20"/>
          <w:szCs w:val="20"/>
          <w:color w:val="auto"/>
        </w:rPr>
      </w:pPr>
    </w:p>
    <w:p>
      <w:pPr>
        <w:ind w:right="8380" w:firstLine="8"/>
        <w:spacing w:after="0" w:line="372" w:lineRule="auto"/>
        <w:tabs>
          <w:tab w:leader="none" w:pos="2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EQUITY METHOD INVESTMENTS </w:t>
      </w:r>
      <w:r>
        <w:rPr>
          <w:rFonts w:ascii="Arial" w:cs="Arial" w:eastAsia="Arial" w:hAnsi="Arial"/>
          <w:sz w:val="18"/>
          <w:szCs w:val="18"/>
          <w:i w:val="1"/>
          <w:iCs w:val="1"/>
          <w:u w:val="single" w:color="auto"/>
          <w:color w:val="auto"/>
        </w:rPr>
        <w:t>Double E</w:t>
      </w:r>
    </w:p>
    <w:p>
      <w:pPr>
        <w:spacing w:after="0" w:line="2"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In June 2019, we formed Double E in connection with the Project. Effective June 26, 2019, Summit Permian Transmission, a wholly owned and consolidated subsidiary of the Partnership, and our JV Partner executed the Agreement whereby Double E will provide natural gas transportation services from multiple receipt points in the Delaware Basin to various delivery points in and around the Waha Hub in Texas. In connection with the Agreement and the related Project, the Partnership contributed total assets of approximately $23.6 million in exchange for a 70% ownership interest in Double E and our JV Partner contributed $7.3 million of cash in exchange for a 30% ownership interest in Double E. Concurrent with these contributions, and in accordance with the Agreement, Double E distributed $7.3 million to the Partnership. Subsequent to the formation of Double E, we also made additional cash investments of $5.9 million during June 2019.</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1" w:name="page22"/>
    <w:bookmarkEnd w:id="21"/>
    <w:p>
      <w:pPr>
        <w:ind w:right="100"/>
        <w:spacing w:after="0" w:line="238" w:lineRule="auto"/>
        <w:rPr>
          <w:sz w:val="20"/>
          <w:szCs w:val="20"/>
          <w:color w:val="auto"/>
        </w:rPr>
      </w:pPr>
      <w:r>
        <w:rPr>
          <w:rFonts w:ascii="Arial" w:cs="Arial" w:eastAsia="Arial" w:hAnsi="Arial"/>
          <w:sz w:val="18"/>
          <w:szCs w:val="18"/>
          <w:color w:val="auto"/>
        </w:rPr>
        <w:t>Double E is deemed to be a variable interest entity as defined in GAAP. As of the date of the Agreement, Summit Permian Transmission is not deemed to be the primary beneficiary due to the JV Partner’s voting rights on significant matters. We account for our ownership interest in Double E as an equity method investment because we have significant influence over Double E. Our portion of Double E’s net assets, which was $23.3 million at June 30, 2019, is reported under the caption Investment in equity method investees on the unaudited condensed consolidated balance sheet.</w:t>
      </w:r>
    </w:p>
    <w:p>
      <w:pPr>
        <w:spacing w:after="0" w:line="95"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For the three and six months ended June 30, 2019, other than the investment activity noted above, Double E did not have any results of operations given that the Project is currently under development.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Ohio Gathering</w:t>
      </w:r>
    </w:p>
    <w:p>
      <w:pPr>
        <w:spacing w:after="0" w:line="122" w:lineRule="exact"/>
        <w:rPr>
          <w:sz w:val="20"/>
          <w:szCs w:val="20"/>
          <w:color w:val="auto"/>
        </w:rPr>
      </w:pPr>
    </w:p>
    <w:p>
      <w:pPr>
        <w:ind w:right="60"/>
        <w:spacing w:after="0"/>
        <w:rPr>
          <w:sz w:val="20"/>
          <w:szCs w:val="20"/>
          <w:color w:val="auto"/>
        </w:rPr>
      </w:pPr>
      <w:r>
        <w:rPr>
          <w:rFonts w:ascii="Arial" w:cs="Arial" w:eastAsia="Arial" w:hAnsi="Arial"/>
          <w:sz w:val="18"/>
          <w:szCs w:val="18"/>
          <w:color w:val="auto"/>
        </w:rPr>
        <w:t>Ohio Gathering owns, operates and is currently developing midstream infrastructure consisting of a liquids-rich natural gas gathering system, a dry natural gas gathering system and a condensate stabilization facility in the Utica Shale in southeastern Ohio. Ohio Gathering provides gathering services pursuant to primarily long-term, fee-based gathering agreements, which include acreage dedications.</w:t>
      </w:r>
    </w:p>
    <w:p>
      <w:pPr>
        <w:spacing w:after="0" w:line="95"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As a result of our joint venture partner funding a disproportionate amount of the capital calls during the six months ended June 30, 2019, our ownership interest in Ohio Gathering decreased from 40.0% at December 31, 2018, to 39.0% at June 30, 2019.</w:t>
      </w:r>
    </w:p>
    <w:p>
      <w:pPr>
        <w:spacing w:after="0" w:line="89"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A reconciliation of our 39.0% ownership interest in Ohio Gathering to our investment per Ohio Gathering's books and records follows (in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Investment in Ohio Gathering, June 30, 2019</w:t>
            </w:r>
          </w:p>
        </w:tc>
        <w:tc>
          <w:tcPr>
            <w:tcW w:w="6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630,513</w:t>
            </w:r>
          </w:p>
        </w:tc>
      </w:tr>
      <w:tr>
        <w:trPr>
          <w:trHeight w:val="216"/>
        </w:trPr>
        <w:tc>
          <w:tcPr>
            <w:tcW w:w="9400" w:type="dxa"/>
            <w:vAlign w:val="bottom"/>
          </w:tcPr>
          <w:p>
            <w:pPr>
              <w:ind w:left="140"/>
              <w:spacing w:after="0"/>
              <w:rPr>
                <w:sz w:val="20"/>
                <w:szCs w:val="20"/>
                <w:color w:val="auto"/>
              </w:rPr>
            </w:pPr>
            <w:r>
              <w:rPr>
                <w:rFonts w:ascii="Arial" w:cs="Arial" w:eastAsia="Arial" w:hAnsi="Arial"/>
                <w:sz w:val="18"/>
                <w:szCs w:val="18"/>
                <w:color w:val="auto"/>
              </w:rPr>
              <w:t>June cash distributions</w:t>
            </w:r>
          </w:p>
        </w:tc>
        <w:tc>
          <w:tcPr>
            <w:tcW w:w="640" w:type="dxa"/>
            <w:vAlign w:val="bottom"/>
          </w:tcPr>
          <w:p>
            <w:pPr>
              <w:spacing w:after="0"/>
              <w:rPr>
                <w:sz w:val="18"/>
                <w:szCs w:val="18"/>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3,273</w:t>
            </w:r>
          </w:p>
        </w:tc>
      </w:tr>
      <w:tr>
        <w:trPr>
          <w:trHeight w:val="216"/>
        </w:trPr>
        <w:tc>
          <w:tcPr>
            <w:tcW w:w="9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Basis difference</w:t>
            </w:r>
          </w:p>
        </w:tc>
        <w:tc>
          <w:tcPr>
            <w:tcW w:w="6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(110,156)</w:t>
            </w:r>
          </w:p>
        </w:tc>
      </w:tr>
      <w:tr>
        <w:trPr>
          <w:trHeight w:val="187"/>
        </w:trPr>
        <w:tc>
          <w:tcPr>
            <w:tcW w:w="9400" w:type="dxa"/>
            <w:vAlign w:val="bottom"/>
          </w:tcPr>
          <w:p>
            <w:pPr>
              <w:spacing w:after="0" w:line="187" w:lineRule="exact"/>
              <w:rPr>
                <w:sz w:val="20"/>
                <w:szCs w:val="20"/>
                <w:color w:val="auto"/>
              </w:rPr>
            </w:pPr>
            <w:r>
              <w:rPr>
                <w:rFonts w:ascii="Arial" w:cs="Arial" w:eastAsia="Arial" w:hAnsi="Arial"/>
                <w:sz w:val="18"/>
                <w:szCs w:val="18"/>
                <w:b w:val="1"/>
                <w:bCs w:val="1"/>
                <w:color w:val="auto"/>
              </w:rPr>
              <w:t>Investment in Ohio Gathering, net of basis difference,</w:t>
            </w:r>
          </w:p>
        </w:tc>
        <w:tc>
          <w:tcPr>
            <w:tcW w:w="64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25"/>
        </w:trPr>
        <w:tc>
          <w:tcPr>
            <w:tcW w:w="9400" w:type="dxa"/>
            <w:vAlign w:val="bottom"/>
          </w:tcPr>
          <w:p>
            <w:pPr>
              <w:ind w:left="200"/>
              <w:spacing w:after="0"/>
              <w:rPr>
                <w:sz w:val="20"/>
                <w:szCs w:val="20"/>
                <w:color w:val="auto"/>
              </w:rPr>
            </w:pPr>
            <w:r>
              <w:rPr>
                <w:rFonts w:ascii="Arial" w:cs="Arial" w:eastAsia="Arial" w:hAnsi="Arial"/>
                <w:sz w:val="18"/>
                <w:szCs w:val="18"/>
                <w:b w:val="1"/>
                <w:bCs w:val="1"/>
                <w:color w:val="auto"/>
              </w:rPr>
              <w:t>May 31, 2019</w:t>
            </w:r>
          </w:p>
        </w:tc>
        <w:tc>
          <w:tcPr>
            <w:tcW w:w="6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523,630</w:t>
            </w:r>
          </w:p>
        </w:tc>
      </w:tr>
      <w:tr>
        <w:trPr>
          <w:trHeight w:val="20"/>
        </w:trPr>
        <w:tc>
          <w:tcPr>
            <w:tcW w:w="94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statements of operations information for OGC and OCC follow (amounts represent 100% of investee financial information).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4"/>
          </w:tcPr>
          <w:p>
            <w:pPr>
              <w:jc w:val="center"/>
              <w:ind w:right="52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340" w:type="dxa"/>
            <w:vAlign w:val="bottom"/>
            <w:gridSpan w:val="3"/>
          </w:tcPr>
          <w:p>
            <w:pPr>
              <w:jc w:val="center"/>
              <w:ind w:right="434"/>
              <w:spacing w:after="0"/>
              <w:rPr>
                <w:sz w:val="20"/>
                <w:szCs w:val="20"/>
                <w:color w:val="auto"/>
              </w:rPr>
            </w:pPr>
            <w:r>
              <w:rPr>
                <w:rFonts w:ascii="Arial" w:cs="Arial" w:eastAsia="Arial" w:hAnsi="Arial"/>
                <w:sz w:val="14"/>
                <w:szCs w:val="14"/>
                <w:b w:val="1"/>
                <w:bCs w:val="1"/>
                <w:color w:val="auto"/>
              </w:rPr>
              <w:t>Three months ended</w:t>
            </w:r>
          </w:p>
        </w:tc>
      </w:tr>
      <w:tr>
        <w:trPr>
          <w:trHeight w:val="175"/>
        </w:trPr>
        <w:tc>
          <w:tcPr>
            <w:tcW w:w="3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May 31, 2019</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rPr>
              <w:t>May 31, 2018</w:t>
            </w:r>
          </w:p>
        </w:tc>
        <w:tc>
          <w:tcPr>
            <w:tcW w:w="940" w:type="dxa"/>
            <w:vAlign w:val="bottom"/>
            <w:tcBorders>
              <w:bottom w:val="single" w:sz="8" w:color="auto"/>
            </w:tcBorders>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OCC</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OGC</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OCC</w:t>
            </w:r>
          </w:p>
        </w:tc>
      </w:tr>
      <w:tr>
        <w:trPr>
          <w:trHeight w:val="223"/>
        </w:trPr>
        <w:tc>
          <w:tcPr>
            <w:tcW w:w="3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35,262</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2,073</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34,123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2,070</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26,336</w:t>
            </w:r>
          </w:p>
        </w:tc>
        <w:tc>
          <w:tcPr>
            <w:tcW w:w="5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2,691</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8"/>
                <w:szCs w:val="18"/>
                <w:color w:val="auto"/>
              </w:rPr>
              <w:t>35,518</w:t>
            </w:r>
          </w:p>
        </w:tc>
        <w:tc>
          <w:tcPr>
            <w:tcW w:w="4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1,958</w:t>
            </w: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8,926</w:t>
            </w: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(1,396)</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r>
      <w:tr>
        <w:trPr>
          <w:trHeight w:val="284"/>
        </w:trPr>
        <w:tc>
          <w:tcPr>
            <w:tcW w:w="38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Pr>
          <w:p>
            <w:pPr>
              <w:spacing w:after="0"/>
              <w:rPr>
                <w:sz w:val="24"/>
                <w:szCs w:val="24"/>
                <w:color w:val="auto"/>
              </w:rPr>
            </w:pPr>
          </w:p>
        </w:tc>
        <w:tc>
          <w:tcPr>
            <w:tcW w:w="2340" w:type="dxa"/>
            <w:vAlign w:val="bottom"/>
            <w:gridSpan w:val="3"/>
          </w:tcPr>
          <w:p>
            <w:pPr>
              <w:jc w:val="center"/>
              <w:ind w:right="454"/>
              <w:spacing w:after="0"/>
              <w:rPr>
                <w:sz w:val="20"/>
                <w:szCs w:val="20"/>
                <w:color w:val="auto"/>
              </w:rPr>
            </w:pPr>
            <w:r>
              <w:rPr>
                <w:rFonts w:ascii="Arial" w:cs="Arial" w:eastAsia="Arial" w:hAnsi="Arial"/>
                <w:sz w:val="14"/>
                <w:szCs w:val="14"/>
                <w:b w:val="1"/>
                <w:bCs w:val="1"/>
                <w:color w:val="auto"/>
              </w:rPr>
              <w:t>Six months ended</w:t>
            </w:r>
          </w:p>
        </w:tc>
      </w:tr>
      <w:tr>
        <w:trPr>
          <w:trHeight w:val="175"/>
        </w:trPr>
        <w:tc>
          <w:tcPr>
            <w:tcW w:w="38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gridSpan w:val="2"/>
          </w:tcPr>
          <w:p>
            <w:pPr>
              <w:jc w:val="center"/>
              <w:ind w:left="459"/>
              <w:spacing w:after="0"/>
              <w:rPr>
                <w:sz w:val="20"/>
                <w:szCs w:val="20"/>
                <w:color w:val="auto"/>
              </w:rPr>
            </w:pPr>
            <w:r>
              <w:rPr>
                <w:rFonts w:ascii="Arial" w:cs="Arial" w:eastAsia="Arial" w:hAnsi="Arial"/>
                <w:sz w:val="14"/>
                <w:szCs w:val="14"/>
                <w:b w:val="1"/>
                <w:bCs w:val="1"/>
                <w:color w:val="auto"/>
              </w:rPr>
              <w:t>May 31, 2019</w:t>
            </w:r>
          </w:p>
        </w:tc>
        <w:tc>
          <w:tcPr>
            <w:tcW w:w="9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2"/>
          </w:tcPr>
          <w:p>
            <w:pPr>
              <w:jc w:val="center"/>
              <w:ind w:left="319"/>
              <w:spacing w:after="0"/>
              <w:rPr>
                <w:sz w:val="20"/>
                <w:szCs w:val="20"/>
                <w:color w:val="auto"/>
              </w:rPr>
            </w:pPr>
            <w:r>
              <w:rPr>
                <w:rFonts w:ascii="Arial" w:cs="Arial" w:eastAsia="Arial" w:hAnsi="Arial"/>
                <w:sz w:val="14"/>
                <w:szCs w:val="14"/>
                <w:b w:val="1"/>
                <w:bCs w:val="1"/>
                <w:color w:val="auto"/>
              </w:rPr>
              <w:t>May 31, 2018</w:t>
            </w:r>
          </w:p>
        </w:tc>
        <w:tc>
          <w:tcPr>
            <w:tcW w:w="940" w:type="dxa"/>
            <w:vAlign w:val="bottom"/>
            <w:tcBorders>
              <w:bottom w:val="single" w:sz="8" w:color="auto"/>
            </w:tcBorders>
          </w:tcPr>
          <w:p>
            <w:pPr>
              <w:spacing w:after="0"/>
              <w:rPr>
                <w:sz w:val="15"/>
                <w:szCs w:val="15"/>
                <w:color w:val="auto"/>
              </w:rPr>
            </w:pPr>
          </w:p>
        </w:tc>
      </w:tr>
      <w:tr>
        <w:trPr>
          <w:trHeight w:val="169"/>
        </w:trPr>
        <w:tc>
          <w:tcPr>
            <w:tcW w:w="38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OGC</w:t>
            </w:r>
          </w:p>
        </w:tc>
        <w:tc>
          <w:tcPr>
            <w:tcW w:w="5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OCC</w:t>
            </w: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OGC</w:t>
            </w:r>
          </w:p>
        </w:tc>
        <w:tc>
          <w:tcPr>
            <w:tcW w:w="4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OCC</w:t>
            </w:r>
          </w:p>
        </w:tc>
      </w:tr>
      <w:tr>
        <w:trPr>
          <w:trHeight w:val="223"/>
        </w:trPr>
        <w:tc>
          <w:tcPr>
            <w:tcW w:w="38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68,728</w:t>
            </w:r>
          </w:p>
        </w:tc>
        <w:tc>
          <w:tcPr>
            <w:tcW w:w="50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37"/>
              <w:spacing w:after="0"/>
              <w:rPr>
                <w:sz w:val="20"/>
                <w:szCs w:val="20"/>
                <w:color w:val="auto"/>
              </w:rPr>
            </w:pPr>
            <w:r>
              <w:rPr>
                <w:rFonts w:ascii="Arial" w:cs="Arial" w:eastAsia="Arial" w:hAnsi="Arial"/>
                <w:sz w:val="18"/>
                <w:szCs w:val="18"/>
                <w:color w:val="auto"/>
              </w:rPr>
              <w:t>4,339</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69,083</w:t>
            </w:r>
          </w:p>
        </w:tc>
        <w:tc>
          <w:tcPr>
            <w:tcW w:w="4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4,559</w:t>
            </w: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9"/>
              <w:spacing w:after="0"/>
              <w:rPr>
                <w:sz w:val="20"/>
                <w:szCs w:val="20"/>
                <w:color w:val="auto"/>
              </w:rPr>
            </w:pPr>
            <w:r>
              <w:rPr>
                <w:rFonts w:ascii="Arial" w:cs="Arial" w:eastAsia="Arial" w:hAnsi="Arial"/>
                <w:sz w:val="18"/>
                <w:szCs w:val="18"/>
                <w:color w:val="auto"/>
              </w:rPr>
              <w:t>51,823</w:t>
            </w:r>
          </w:p>
        </w:tc>
        <w:tc>
          <w:tcPr>
            <w:tcW w:w="500" w:type="dxa"/>
            <w:vAlign w:val="bottom"/>
          </w:tcPr>
          <w:p>
            <w:pPr>
              <w:spacing w:after="0"/>
              <w:rPr>
                <w:sz w:val="18"/>
                <w:szCs w:val="18"/>
                <w:color w:val="auto"/>
              </w:rPr>
            </w:pP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5,664</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79"/>
              <w:spacing w:after="0"/>
              <w:rPr>
                <w:sz w:val="20"/>
                <w:szCs w:val="20"/>
                <w:color w:val="auto"/>
              </w:rPr>
            </w:pPr>
            <w:r>
              <w:rPr>
                <w:rFonts w:ascii="Arial" w:cs="Arial" w:eastAsia="Arial" w:hAnsi="Arial"/>
                <w:sz w:val="18"/>
                <w:szCs w:val="18"/>
                <w:color w:val="auto"/>
              </w:rPr>
              <w:t>62,293</w:t>
            </w:r>
          </w:p>
        </w:tc>
        <w:tc>
          <w:tcPr>
            <w:tcW w:w="460" w:type="dxa"/>
            <w:vAlign w:val="bottom"/>
          </w:tcPr>
          <w:p>
            <w:pPr>
              <w:spacing w:after="0"/>
              <w:rPr>
                <w:sz w:val="18"/>
                <w:szCs w:val="18"/>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4,099</w:t>
            </w: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0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16,898</w:t>
            </w:r>
          </w:p>
        </w:tc>
        <w:tc>
          <w:tcPr>
            <w:tcW w:w="5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1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9"/>
              <w:spacing w:after="0"/>
              <w:rPr>
                <w:sz w:val="20"/>
                <w:szCs w:val="20"/>
                <w:color w:val="auto"/>
              </w:rPr>
            </w:pPr>
            <w:r>
              <w:rPr>
                <w:rFonts w:ascii="Arial" w:cs="Arial" w:eastAsia="Arial" w:hAnsi="Arial"/>
                <w:sz w:val="18"/>
                <w:szCs w:val="18"/>
                <w:color w:val="auto"/>
              </w:rPr>
              <w:t>6,784</w:t>
            </w:r>
          </w:p>
        </w:tc>
        <w:tc>
          <w:tcPr>
            <w:tcW w:w="46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121</w:t>
            </w:r>
          </w:p>
        </w:tc>
      </w:tr>
      <w:tr>
        <w:trPr>
          <w:trHeight w:val="554"/>
        </w:trPr>
        <w:tc>
          <w:tcPr>
            <w:tcW w:w="3820" w:type="dxa"/>
            <w:vAlign w:val="bottom"/>
          </w:tcPr>
          <w:p>
            <w:pPr>
              <w:spacing w:after="0"/>
              <w:rPr>
                <w:sz w:val="24"/>
                <w:szCs w:val="24"/>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2"/>
        </w:trPr>
        <w:tc>
          <w:tcPr>
            <w:tcW w:w="3820" w:type="dxa"/>
            <w:vAlign w:val="bottom"/>
            <w:tcBorders>
              <w:bottom w:val="single" w:sz="8" w:color="9A9A9A"/>
            </w:tcBorders>
          </w:tcPr>
          <w:p>
            <w:pPr>
              <w:spacing w:after="0"/>
              <w:rPr>
                <w:sz w:val="8"/>
                <w:szCs w:val="8"/>
                <w:color w:val="auto"/>
              </w:rPr>
            </w:pPr>
          </w:p>
        </w:tc>
        <w:tc>
          <w:tcPr>
            <w:tcW w:w="2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9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9. DEFERRED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current deferred revenue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236"/>
              <w:spacing w:after="0"/>
              <w:rPr>
                <w:sz w:val="20"/>
                <w:szCs w:val="20"/>
                <w:color w:val="auto"/>
              </w:rPr>
            </w:pPr>
            <w:r>
              <w:rPr>
                <w:rFonts w:ascii="Arial" w:cs="Arial" w:eastAsia="Arial" w:hAnsi="Arial"/>
                <w:sz w:val="14"/>
                <w:szCs w:val="14"/>
                <w:b w:val="1"/>
                <w:bCs w:val="1"/>
                <w:color w:val="auto"/>
              </w:rPr>
              <w:t>Utica</w:t>
            </w:r>
          </w:p>
        </w:tc>
        <w:tc>
          <w:tcPr>
            <w:tcW w:w="120" w:type="dxa"/>
            <w:vAlign w:val="bottom"/>
          </w:tcPr>
          <w:p>
            <w:pPr>
              <w:spacing w:after="0"/>
              <w:rPr>
                <w:sz w:val="14"/>
                <w:szCs w:val="14"/>
                <w:color w:val="auto"/>
              </w:rPr>
            </w:pPr>
          </w:p>
        </w:tc>
        <w:tc>
          <w:tcPr>
            <w:tcW w:w="8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780" w:type="dxa"/>
            <w:vAlign w:val="bottom"/>
          </w:tcPr>
          <w:p>
            <w:pPr>
              <w:jc w:val="right"/>
              <w:ind w:right="176"/>
              <w:spacing w:after="0"/>
              <w:rPr>
                <w:sz w:val="20"/>
                <w:szCs w:val="20"/>
                <w:color w:val="auto"/>
              </w:rPr>
            </w:pPr>
            <w:r>
              <w:rPr>
                <w:rFonts w:ascii="Arial" w:cs="Arial" w:eastAsia="Arial" w:hAnsi="Arial"/>
                <w:sz w:val="14"/>
                <w:szCs w:val="14"/>
                <w:b w:val="1"/>
                <w:bCs w:val="1"/>
                <w:color w:val="auto"/>
              </w:rPr>
              <w:t>Barnett</w:t>
            </w:r>
          </w:p>
        </w:tc>
        <w:tc>
          <w:tcPr>
            <w:tcW w:w="120" w:type="dxa"/>
            <w:vAlign w:val="bottom"/>
          </w:tcPr>
          <w:p>
            <w:pPr>
              <w:spacing w:after="0"/>
              <w:rPr>
                <w:sz w:val="14"/>
                <w:szCs w:val="14"/>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780" w:type="dxa"/>
            <w:vAlign w:val="bottom"/>
          </w:tcPr>
          <w:p>
            <w:pPr>
              <w:ind w:left="100"/>
              <w:spacing w:after="0"/>
              <w:rPr>
                <w:sz w:val="20"/>
                <w:szCs w:val="20"/>
                <w:color w:val="auto"/>
              </w:rPr>
            </w:pPr>
            <w:r>
              <w:rPr>
                <w:rFonts w:ascii="Arial" w:cs="Arial" w:eastAsia="Arial" w:hAnsi="Arial"/>
                <w:sz w:val="14"/>
                <w:szCs w:val="14"/>
                <w:b w:val="1"/>
                <w:bCs w:val="1"/>
                <w:color w:val="auto"/>
              </w:rPr>
              <w:t>Total</w:t>
            </w:r>
          </w:p>
        </w:tc>
      </w:tr>
      <w:tr>
        <w:trPr>
          <w:trHeight w:val="175"/>
        </w:trPr>
        <w:tc>
          <w:tcPr>
            <w:tcW w:w="3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DJ Basin</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current</w:t>
            </w:r>
          </w:p>
        </w:tc>
      </w:tr>
      <w:tr>
        <w:trPr>
          <w:trHeight w:val="210"/>
        </w:trPr>
        <w:tc>
          <w:tcPr>
            <w:tcW w:w="3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40" w:type="dxa"/>
            <w:vAlign w:val="bottom"/>
            <w:gridSpan w:val="5"/>
          </w:tcPr>
          <w:p>
            <w:pPr>
              <w:ind w:left="90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193"/>
        </w:trPr>
        <w:tc>
          <w:tcPr>
            <w:tcW w:w="3200" w:type="dxa"/>
            <w:vAlign w:val="bottom"/>
            <w:shd w:val="clear" w:color="auto" w:fill="CFF0FC"/>
          </w:tcPr>
          <w:p>
            <w:pPr>
              <w:jc w:val="center"/>
              <w:ind w:right="890"/>
              <w:spacing w:after="0" w:line="194" w:lineRule="exact"/>
              <w:rPr>
                <w:sz w:val="20"/>
                <w:szCs w:val="20"/>
                <w:color w:val="auto"/>
              </w:rPr>
            </w:pPr>
            <w:r>
              <w:rPr>
                <w:rFonts w:ascii="Arial" w:cs="Arial" w:eastAsia="Arial" w:hAnsi="Arial"/>
                <w:sz w:val="18"/>
                <w:szCs w:val="18"/>
                <w:b w:val="1"/>
                <w:bCs w:val="1"/>
                <w:color w:val="auto"/>
              </w:rPr>
              <w:t>Current deferred revenue,</w:t>
            </w:r>
          </w:p>
        </w:tc>
        <w:tc>
          <w:tcPr>
            <w:tcW w:w="9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r>
      <w:tr>
        <w:trPr>
          <w:trHeight w:val="225"/>
        </w:trPr>
        <w:tc>
          <w:tcPr>
            <w:tcW w:w="320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1,414</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7,616</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1,642</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11,467</w:t>
            </w:r>
          </w:p>
        </w:tc>
      </w:tr>
      <w:tr>
        <w:trPr>
          <w:trHeight w:val="216"/>
        </w:trPr>
        <w:tc>
          <w:tcPr>
            <w:tcW w:w="320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909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10,513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817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13,494</w:t>
            </w:r>
          </w:p>
        </w:tc>
      </w:tr>
      <w:tr>
        <w:trPr>
          <w:trHeight w:val="216"/>
        </w:trPr>
        <w:tc>
          <w:tcPr>
            <w:tcW w:w="3200" w:type="dxa"/>
            <w:vAlign w:val="bottom"/>
            <w:shd w:val="clear" w:color="auto" w:fill="CFF0FC"/>
          </w:tcPr>
          <w:p>
            <w:pPr>
              <w:jc w:val="center"/>
              <w:ind w:right="830"/>
              <w:spacing w:after="0"/>
              <w:rPr>
                <w:sz w:val="20"/>
                <w:szCs w:val="20"/>
                <w:color w:val="auto"/>
              </w:rPr>
            </w:pPr>
            <w:r>
              <w:rPr>
                <w:rFonts w:ascii="Arial" w:cs="Arial" w:eastAsia="Arial" w:hAnsi="Arial"/>
                <w:sz w:val="18"/>
                <w:szCs w:val="18"/>
                <w:color w:val="auto"/>
                <w:w w:val="99"/>
              </w:rPr>
              <w:t>Less revenue recognized</w:t>
            </w:r>
          </w:p>
        </w:tc>
        <w:tc>
          <w:tcPr>
            <w:tcW w:w="96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790</w:t>
            </w:r>
          </w:p>
        </w:tc>
        <w:tc>
          <w:tcPr>
            <w:tcW w:w="1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10,528</w:t>
            </w:r>
          </w:p>
        </w:tc>
        <w:tc>
          <w:tcPr>
            <w:tcW w:w="1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815</w:t>
            </w: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ind w:left="100"/>
              <w:spacing w:after="0"/>
              <w:rPr>
                <w:sz w:val="20"/>
                <w:szCs w:val="20"/>
                <w:color w:val="auto"/>
              </w:rPr>
            </w:pPr>
            <w:r>
              <w:rPr>
                <w:rFonts w:ascii="Arial" w:cs="Arial" w:eastAsia="Arial" w:hAnsi="Arial"/>
                <w:sz w:val="18"/>
                <w:szCs w:val="18"/>
                <w:color w:val="auto"/>
              </w:rPr>
              <w:t>12,636</w:t>
            </w:r>
          </w:p>
        </w:tc>
      </w:tr>
      <w:tr>
        <w:trPr>
          <w:trHeight w:val="187"/>
        </w:trPr>
        <w:tc>
          <w:tcPr>
            <w:tcW w:w="3200" w:type="dxa"/>
            <w:vAlign w:val="bottom"/>
          </w:tcPr>
          <w:p>
            <w:pPr>
              <w:jc w:val="center"/>
              <w:ind w:right="890"/>
              <w:spacing w:after="0" w:line="187" w:lineRule="exact"/>
              <w:rPr>
                <w:sz w:val="20"/>
                <w:szCs w:val="20"/>
                <w:color w:val="auto"/>
              </w:rPr>
            </w:pPr>
            <w:r>
              <w:rPr>
                <w:rFonts w:ascii="Arial" w:cs="Arial" w:eastAsia="Arial" w:hAnsi="Arial"/>
                <w:sz w:val="18"/>
                <w:szCs w:val="18"/>
                <w:b w:val="1"/>
                <w:bCs w:val="1"/>
                <w:color w:val="auto"/>
              </w:rPr>
              <w:t>Current deferred revenue,</w:t>
            </w: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25"/>
        </w:trPr>
        <w:tc>
          <w:tcPr>
            <w:tcW w:w="3200" w:type="dxa"/>
            <w:vAlign w:val="bottom"/>
          </w:tcPr>
          <w:p>
            <w:pPr>
              <w:ind w:left="200"/>
              <w:spacing w:after="0"/>
              <w:rPr>
                <w:sz w:val="20"/>
                <w:szCs w:val="20"/>
                <w:color w:val="auto"/>
              </w:rPr>
            </w:pPr>
            <w:r>
              <w:rPr>
                <w:rFonts w:ascii="Arial" w:cs="Arial" w:eastAsia="Arial" w:hAnsi="Arial"/>
                <w:sz w:val="18"/>
                <w:szCs w:val="18"/>
                <w:b w:val="1"/>
                <w:bCs w:val="1"/>
                <w:color w:val="auto"/>
              </w:rPr>
              <w:t>June 30, 2019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1,851</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7,601</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6"/>
              <w:spacing w:after="0"/>
              <w:rPr>
                <w:sz w:val="20"/>
                <w:szCs w:val="20"/>
                <w:color w:val="auto"/>
              </w:rPr>
            </w:pPr>
            <w:r>
              <w:rPr>
                <w:rFonts w:ascii="Arial" w:cs="Arial" w:eastAsia="Arial" w:hAnsi="Arial"/>
                <w:sz w:val="18"/>
                <w:szCs w:val="18"/>
                <w:color w:val="auto"/>
              </w:rPr>
              <w:t>1,644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ind w:left="100"/>
              <w:spacing w:after="0"/>
              <w:rPr>
                <w:sz w:val="20"/>
                <w:szCs w:val="20"/>
                <w:color w:val="auto"/>
              </w:rPr>
            </w:pPr>
            <w:r>
              <w:rPr>
                <w:rFonts w:ascii="Arial" w:cs="Arial" w:eastAsia="Arial" w:hAnsi="Arial"/>
                <w:sz w:val="18"/>
                <w:szCs w:val="18"/>
                <w:color w:val="auto"/>
              </w:rPr>
              <w:t>12,325</w:t>
            </w:r>
          </w:p>
        </w:tc>
      </w:tr>
      <w:tr>
        <w:trPr>
          <w:trHeight w:val="20"/>
        </w:trPr>
        <w:tc>
          <w:tcPr>
            <w:tcW w:w="3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noncurrent deferred revenue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Utica</w:t>
            </w:r>
          </w:p>
        </w:tc>
        <w:tc>
          <w:tcPr>
            <w:tcW w:w="20" w:type="dxa"/>
            <w:vAlign w:val="bottom"/>
          </w:tcPr>
          <w:p>
            <w:pPr>
              <w:spacing w:after="0"/>
              <w:rPr>
                <w:sz w:val="14"/>
                <w:szCs w:val="14"/>
                <w:color w:val="auto"/>
              </w:rPr>
            </w:pPr>
          </w:p>
        </w:tc>
        <w:tc>
          <w:tcPr>
            <w:tcW w:w="88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Williston</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Piceance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Barnett</w:t>
            </w:r>
          </w:p>
        </w:tc>
        <w:tc>
          <w:tcPr>
            <w:tcW w:w="90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Marcellus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Shale</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DJ Basin</w:t>
            </w: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Basin</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center"/>
              <w:ind w:right="360"/>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Shale</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noncurrent</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4"/>
          </w:tcPr>
          <w:p>
            <w:pPr>
              <w:jc w:val="right"/>
              <w:ind w:right="5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3820" w:type="dxa"/>
            <w:vAlign w:val="bottom"/>
            <w:shd w:val="clear" w:color="auto" w:fill="CFF0FC"/>
          </w:tcPr>
          <w:p>
            <w:pPr>
              <w:spacing w:after="0" w:line="194" w:lineRule="exact"/>
              <w:rPr>
                <w:sz w:val="20"/>
                <w:szCs w:val="20"/>
                <w:color w:val="auto"/>
              </w:rPr>
            </w:pPr>
            <w:r>
              <w:rPr>
                <w:rFonts w:ascii="Arial" w:cs="Arial" w:eastAsia="Arial" w:hAnsi="Arial"/>
                <w:sz w:val="18"/>
                <w:szCs w:val="18"/>
                <w:b w:val="1"/>
                <w:bCs w:val="1"/>
                <w:color w:val="auto"/>
              </w:rPr>
              <w:t>Noncurrent deferred revenue,</w:t>
            </w:r>
          </w:p>
        </w:tc>
        <w:tc>
          <w:tcPr>
            <w:tcW w:w="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shd w:val="clear" w:color="auto" w:fill="CFF0FC"/>
          </w:tcPr>
          <w:p>
            <w:pPr>
              <w:ind w:left="200"/>
              <w:spacing w:after="0"/>
              <w:rPr>
                <w:sz w:val="20"/>
                <w:szCs w:val="20"/>
                <w:color w:val="auto"/>
              </w:rPr>
            </w:pPr>
            <w:r>
              <w:rPr>
                <w:rFonts w:ascii="Arial" w:cs="Arial" w:eastAsia="Arial" w:hAnsi="Arial"/>
                <w:sz w:val="18"/>
                <w:szCs w:val="18"/>
                <w:b w:val="1"/>
                <w:bCs w:val="1"/>
                <w:color w:val="auto"/>
              </w:rPr>
              <w:t>January 1, 2019</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4,393</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7,284</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17,942</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9,628</w:t>
            </w:r>
          </w:p>
        </w:tc>
        <w:tc>
          <w:tcPr>
            <w:tcW w:w="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236</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39,504</w:t>
            </w: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1,841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3,372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760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reclassification to current</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deferred revenue</w:t>
            </w:r>
          </w:p>
        </w:tc>
        <w:tc>
          <w:tcPr>
            <w:tcW w:w="3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1,665</w:t>
            </w: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909</w:t>
            </w:r>
          </w:p>
        </w:tc>
        <w:tc>
          <w:tcPr>
            <w:tcW w:w="1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3,797</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817</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34"/>
              <w:spacing w:after="0" w:line="203"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7,216</w:t>
            </w:r>
          </w:p>
        </w:tc>
        <w:tc>
          <w:tcPr>
            <w:tcW w:w="0" w:type="dxa"/>
            <w:vAlign w:val="bottom"/>
          </w:tcPr>
          <w:p>
            <w:pPr>
              <w:spacing w:after="0"/>
              <w:rPr>
                <w:sz w:val="1"/>
                <w:szCs w:val="1"/>
                <w:color w:val="auto"/>
              </w:rPr>
            </w:pPr>
          </w:p>
        </w:tc>
      </w:tr>
      <w:tr>
        <w:trPr>
          <w:trHeight w:val="187"/>
        </w:trPr>
        <w:tc>
          <w:tcPr>
            <w:tcW w:w="3820" w:type="dxa"/>
            <w:vAlign w:val="bottom"/>
          </w:tcPr>
          <w:p>
            <w:pPr>
              <w:spacing w:after="0" w:line="187" w:lineRule="exact"/>
              <w:rPr>
                <w:sz w:val="20"/>
                <w:szCs w:val="20"/>
                <w:color w:val="auto"/>
              </w:rPr>
            </w:pPr>
            <w:r>
              <w:rPr>
                <w:rFonts w:ascii="Arial" w:cs="Arial" w:eastAsia="Arial" w:hAnsi="Arial"/>
                <w:sz w:val="18"/>
                <w:szCs w:val="18"/>
                <w:b w:val="1"/>
                <w:bCs w:val="1"/>
                <w:color w:val="auto"/>
              </w:rPr>
              <w:t>Noncurrent deferred revenue,</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820" w:type="dxa"/>
            <w:vAlign w:val="bottom"/>
          </w:tcPr>
          <w:p>
            <w:pPr>
              <w:ind w:left="200"/>
              <w:spacing w:after="0"/>
              <w:rPr>
                <w:sz w:val="20"/>
                <w:szCs w:val="20"/>
                <w:color w:val="auto"/>
              </w:rPr>
            </w:pPr>
            <w:r>
              <w:rPr>
                <w:rFonts w:ascii="Arial" w:cs="Arial" w:eastAsia="Arial" w:hAnsi="Arial"/>
                <w:sz w:val="18"/>
                <w:szCs w:val="18"/>
                <w:b w:val="1"/>
                <w:bCs w:val="1"/>
                <w:color w:val="auto"/>
              </w:rPr>
              <w:t>June 30, 2019</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4,668</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8,216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17,517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9,571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4"/>
              <w:spacing w:after="0"/>
              <w:rPr>
                <w:sz w:val="20"/>
                <w:szCs w:val="20"/>
                <w:color w:val="auto"/>
              </w:rPr>
            </w:pPr>
            <w:r>
              <w:rPr>
                <w:rFonts w:ascii="Arial" w:cs="Arial" w:eastAsia="Arial" w:hAnsi="Arial"/>
                <w:sz w:val="18"/>
                <w:szCs w:val="18"/>
                <w:color w:val="auto"/>
              </w:rPr>
              <w:t>217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40,201</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b w:val="1"/>
                <w:bCs w:val="1"/>
                <w:color w:val="auto"/>
              </w:rPr>
              <w:t>10. DEBT</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8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20" w:type="dxa"/>
            <w:vAlign w:val="bottom"/>
          </w:tcPr>
          <w:p>
            <w:pPr>
              <w:spacing w:after="0"/>
              <w:rPr>
                <w:sz w:val="20"/>
                <w:szCs w:val="20"/>
                <w:color w:val="auto"/>
              </w:rPr>
            </w:pPr>
            <w:r>
              <w:rPr>
                <w:rFonts w:ascii="Arial" w:cs="Arial" w:eastAsia="Arial" w:hAnsi="Arial"/>
                <w:sz w:val="18"/>
                <w:szCs w:val="18"/>
                <w:color w:val="auto"/>
              </w:rPr>
              <w:t>Debt consisted of the following:</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June 30, 2019</w:t>
            </w: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5"/>
          </w:tcPr>
          <w:p>
            <w:pPr>
              <w:jc w:val="right"/>
              <w:ind w:right="334"/>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040" w:type="dxa"/>
            <w:vAlign w:val="bottom"/>
            <w:gridSpan w:val="8"/>
            <w:shd w:val="clear" w:color="auto" w:fill="CFF0FC"/>
          </w:tcPr>
          <w:p>
            <w:pPr>
              <w:spacing w:after="0"/>
              <w:rPr>
                <w:sz w:val="20"/>
                <w:szCs w:val="20"/>
                <w:color w:val="auto"/>
              </w:rPr>
            </w:pPr>
            <w:r>
              <w:rPr>
                <w:rFonts w:ascii="Arial" w:cs="Arial" w:eastAsia="Arial" w:hAnsi="Arial"/>
                <w:sz w:val="18"/>
                <w:szCs w:val="18"/>
                <w:color w:val="auto"/>
              </w:rPr>
              <w:t>Summit Holdings' variable rate senior secured Revolving Credit Facility</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40" w:type="dxa"/>
            <w:vAlign w:val="bottom"/>
            <w:gridSpan w:val="5"/>
            <w:shd w:val="clear" w:color="auto" w:fill="CFF0FC"/>
          </w:tcPr>
          <w:p>
            <w:pPr>
              <w:ind w:left="200"/>
              <w:spacing w:after="0" w:line="202" w:lineRule="exact"/>
              <w:rPr>
                <w:sz w:val="20"/>
                <w:szCs w:val="20"/>
                <w:color w:val="auto"/>
              </w:rPr>
            </w:pPr>
            <w:r>
              <w:rPr>
                <w:rFonts w:ascii="Arial" w:cs="Arial" w:eastAsia="Arial" w:hAnsi="Arial"/>
                <w:sz w:val="18"/>
                <w:szCs w:val="18"/>
                <w:color w:val="auto"/>
              </w:rPr>
              <w:t>(4.91% at June 30, 2019 and 5.03% at December 31, 2018)</w:t>
            </w: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due May 2022</w:t>
            </w:r>
          </w:p>
        </w:tc>
        <w:tc>
          <w:tcPr>
            <w:tcW w:w="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554"/>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573,000</w:t>
            </w:r>
          </w:p>
        </w:tc>
        <w:tc>
          <w:tcPr>
            <w:tcW w:w="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594"/>
              <w:spacing w:after="0" w:line="203"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52"/>
              <w:spacing w:after="0" w:line="203" w:lineRule="exact"/>
              <w:rPr>
                <w:sz w:val="20"/>
                <w:szCs w:val="20"/>
                <w:color w:val="auto"/>
              </w:rPr>
            </w:pPr>
            <w:r>
              <w:rPr>
                <w:rFonts w:ascii="Arial" w:cs="Arial" w:eastAsia="Arial" w:hAnsi="Arial"/>
                <w:sz w:val="18"/>
                <w:szCs w:val="18"/>
                <w:color w:val="auto"/>
                <w:w w:val="98"/>
              </w:rPr>
              <w:t>466,000</w:t>
            </w:r>
          </w:p>
        </w:tc>
        <w:tc>
          <w:tcPr>
            <w:tcW w:w="0" w:type="dxa"/>
            <w:vAlign w:val="bottom"/>
          </w:tcPr>
          <w:p>
            <w:pPr>
              <w:spacing w:after="0"/>
              <w:rPr>
                <w:sz w:val="1"/>
                <w:szCs w:val="1"/>
                <w:color w:val="auto"/>
              </w:rPr>
            </w:pPr>
          </w:p>
        </w:tc>
      </w:tr>
      <w:tr>
        <w:trPr>
          <w:trHeight w:val="216"/>
        </w:trPr>
        <w:tc>
          <w:tcPr>
            <w:tcW w:w="5300" w:type="dxa"/>
            <w:vAlign w:val="bottom"/>
            <w:gridSpan w:val="7"/>
          </w:tcPr>
          <w:p>
            <w:pPr>
              <w:spacing w:after="0"/>
              <w:rPr>
                <w:sz w:val="20"/>
                <w:szCs w:val="20"/>
                <w:color w:val="auto"/>
              </w:rPr>
            </w:pPr>
            <w:r>
              <w:rPr>
                <w:rFonts w:ascii="Arial" w:cs="Arial" w:eastAsia="Arial" w:hAnsi="Arial"/>
                <w:sz w:val="18"/>
                <w:szCs w:val="18"/>
                <w:color w:val="auto"/>
              </w:rPr>
              <w:t>Summit Holdings' 5.5% senior unsecured notes due August 2022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300,000</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5140" w:type="dxa"/>
            <w:vAlign w:val="bottom"/>
            <w:gridSpan w:val="5"/>
          </w:tcPr>
          <w:p>
            <w:pPr>
              <w:spacing w:after="0"/>
              <w:rPr>
                <w:sz w:val="20"/>
                <w:szCs w:val="20"/>
                <w:color w:val="auto"/>
              </w:rPr>
            </w:pPr>
            <w:r>
              <w:rPr>
                <w:rFonts w:ascii="Arial" w:cs="Arial" w:eastAsia="Arial" w:hAnsi="Arial"/>
                <w:sz w:val="18"/>
                <w:szCs w:val="18"/>
                <w:color w:val="auto"/>
              </w:rPr>
              <w:t>Summit Holdings' 5.75% senior unsecured notes due April 2025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ind w:right="52"/>
              <w:spacing w:after="0"/>
              <w:rPr>
                <w:sz w:val="20"/>
                <w:szCs w:val="20"/>
                <w:color w:val="auto"/>
              </w:rPr>
            </w:pPr>
            <w:r>
              <w:rPr>
                <w:rFonts w:ascii="Arial" w:cs="Arial" w:eastAsia="Arial" w:hAnsi="Arial"/>
                <w:sz w:val="18"/>
                <w:szCs w:val="18"/>
                <w:color w:val="auto"/>
                <w:w w:val="98"/>
              </w:rPr>
              <w:t>500,000</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 unamortized debt issuance costs (1)</w:t>
            </w:r>
          </w:p>
        </w:tc>
        <w:tc>
          <w:tcPr>
            <w:tcW w:w="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(5,412)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(5,907)</w:t>
            </w:r>
          </w:p>
        </w:tc>
        <w:tc>
          <w:tcPr>
            <w:tcW w:w="0" w:type="dxa"/>
            <w:vAlign w:val="bottom"/>
          </w:tcPr>
          <w:p>
            <w:pPr>
              <w:spacing w:after="0"/>
              <w:rPr>
                <w:sz w:val="1"/>
                <w:szCs w:val="1"/>
                <w:color w:val="auto"/>
              </w:rPr>
            </w:pPr>
          </w:p>
        </w:tc>
      </w:tr>
      <w:tr>
        <w:trPr>
          <w:trHeight w:val="210"/>
        </w:trPr>
        <w:tc>
          <w:tcPr>
            <w:tcW w:w="3820" w:type="dxa"/>
            <w:vAlign w:val="bottom"/>
          </w:tcPr>
          <w:p>
            <w:pPr>
              <w:ind w:left="140"/>
              <w:spacing w:after="0"/>
              <w:rPr>
                <w:sz w:val="20"/>
                <w:szCs w:val="20"/>
                <w:color w:val="auto"/>
              </w:rPr>
            </w:pPr>
            <w:r>
              <w:rPr>
                <w:rFonts w:ascii="Arial" w:cs="Arial" w:eastAsia="Arial" w:hAnsi="Arial"/>
                <w:sz w:val="18"/>
                <w:szCs w:val="18"/>
                <w:color w:val="auto"/>
              </w:rPr>
              <w:t>Total long-term debt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1,365,564</w:t>
            </w:r>
          </w:p>
        </w:tc>
        <w:tc>
          <w:tcPr>
            <w:tcW w:w="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Borders>
              <w:bottom w:val="single" w:sz="8" w:color="auto"/>
            </w:tcBorders>
          </w:tcPr>
          <w:p>
            <w:pPr>
              <w:jc w:val="right"/>
              <w:ind w:right="594"/>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3"/>
          </w:tcPr>
          <w:p>
            <w:pPr>
              <w:jc w:val="right"/>
              <w:ind w:right="52"/>
              <w:spacing w:after="0"/>
              <w:rPr>
                <w:sz w:val="20"/>
                <w:szCs w:val="20"/>
                <w:color w:val="auto"/>
              </w:rPr>
            </w:pPr>
            <w:r>
              <w:rPr>
                <w:rFonts w:ascii="Arial" w:cs="Arial" w:eastAsia="Arial" w:hAnsi="Arial"/>
                <w:sz w:val="18"/>
                <w:szCs w:val="18"/>
                <w:color w:val="auto"/>
              </w:rPr>
              <w:t>1,257,731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(1) Issuance costs are being amortized over the life of the notes.</w:t>
      </w:r>
    </w:p>
    <w:p>
      <w:pPr>
        <w:spacing w:after="0" w:line="88"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Summit Holdings has a senior secured revolving credit facility which allows for revolving loans, letters of credit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swing line loans. The Revolving Credit Facility has a $1.25 billion borrowing capacity, matures in May 2022, and includes a $250.0 million accordion feature. As of June 30, 2019, SMLP and the Guarantor Subsidiaries fully and unconditionally and jointly and severally guarantee, and pledge substantially all of their assets in support of, the indebtedness outstanding under the Revolving Credit Facility. In June 2019, we executed the second amendment to the third amended and restated credit agreement that, among other things, made accommodations for the Agreement, and the transactions contemplated thereby, and designated Double E as an unrestricted subsidiary under the Revolving Credit Facility.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46" w:right="239" w:bottom="1440" w:gutter="0" w:footer="0" w:header="0"/>
        </w:sectPr>
      </w:pPr>
    </w:p>
    <w:bookmarkStart w:id="23" w:name="page24"/>
    <w:bookmarkEnd w:id="23"/>
    <w:p>
      <w:pPr>
        <w:ind w:right="120"/>
        <w:spacing w:after="0" w:line="237" w:lineRule="auto"/>
        <w:rPr>
          <w:sz w:val="20"/>
          <w:szCs w:val="20"/>
          <w:color w:val="auto"/>
        </w:rPr>
      </w:pPr>
      <w:r>
        <w:rPr>
          <w:rFonts w:ascii="Arial" w:cs="Arial" w:eastAsia="Arial" w:hAnsi="Arial"/>
          <w:sz w:val="18"/>
          <w:szCs w:val="18"/>
          <w:color w:val="auto"/>
        </w:rPr>
        <w:t>Borrowings under the Revolving Credit Facility bear interest, at the election of Summit Holdings, at a rate based on the alternate base rate (as defined in the credit agreement) plus an applicable margin ranging from 0.75% to 1.75% or the adjusted Eurodollar rate (the LIBOR rate), as defined in the credit agreement, plus an applicable margin ranging from 1.75% to 2.75%, with the commitment fee ranging from 0.30% to 0.50% in each case based on our relative leverage at the time of determination. At June 30, 2019, the applicable margin under LIBOR borrowings was 2.50% and the interest rate was 4.91%. The unused portion of the Revolving Credit Facility totaled $667.9 million, subject to a commitment fee of 0.50%, after giving effect to the issuance thereunder of a $9.1 million outstanding but undrawn irrevocable standby letter of credit. See Note 16 for additional information on our letter of credit.</w:t>
      </w:r>
    </w:p>
    <w:p>
      <w:pPr>
        <w:spacing w:after="0" w:line="9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As of June 30, 2019, we had $7.2 million of debt issuance costs attributable to our Revolving Credit Facility and related amendments which are included in noncurrent assets on the unaudited condensed consolidated balance sheet.</w:t>
      </w:r>
    </w:p>
    <w:p>
      <w:pPr>
        <w:spacing w:after="0" w:line="7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As of and during the six months ended June 30, 2019, we were in compliance with the Revolving Credit Facility's financial covenants. There were no defaults or events of default during the six months ended June 30, 2019.</w:t>
      </w:r>
    </w:p>
    <w:p>
      <w:pPr>
        <w:spacing w:after="0" w:line="80" w:lineRule="exact"/>
        <w:rPr>
          <w:sz w:val="20"/>
          <w:szCs w:val="20"/>
          <w:color w:val="auto"/>
        </w:rPr>
      </w:pPr>
    </w:p>
    <w:p>
      <w:pPr>
        <w:ind w:right="100"/>
        <w:spacing w:after="0" w:line="269"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July 2014, Summit Holdings and its 100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owned finance subsidiary, Finance Corp. (together with Summit Holdings, the "Co-Issuers") co-issued $300.0 million of 5.5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unsecured notes maturing August 15, 2022 (the "5.5% Senior Notes" and, together with the 5.75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Senior Notes (defined below), the “Senior Notes”).</w:t>
      </w:r>
    </w:p>
    <w:p>
      <w:pPr>
        <w:spacing w:after="0" w:line="8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In February 2017, the Co-Issuers completed a public offering of $500.0 million of 5.75% senior unsecured notes (the "5.75% Senior Notes") as described in the 2018 Annual Report.</w:t>
      </w:r>
    </w:p>
    <w:p>
      <w:pPr>
        <w:spacing w:after="0" w:line="59" w:lineRule="exact"/>
        <w:rPr>
          <w:sz w:val="20"/>
          <w:szCs w:val="20"/>
          <w:color w:val="auto"/>
        </w:rPr>
      </w:pPr>
    </w:p>
    <w:p>
      <w:pPr>
        <w:ind w:right="120"/>
        <w:spacing w:after="0" w:line="238"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he Guarantor Subsidiaries are 100% owned by a subsidiary of SMLP. The Guarantor Subsidiaries and SMLP fully and unconditionally and</w:t>
      </w:r>
      <w:r>
        <w:rPr>
          <w:rFonts w:ascii="Arial" w:cs="Arial" w:eastAsia="Arial" w:hAnsi="Arial"/>
          <w:sz w:val="20"/>
          <w:szCs w:val="20"/>
          <w:color w:val="auto"/>
        </w:rPr>
        <w:t xml:space="preserve"> </w:t>
      </w:r>
      <w:r>
        <w:rPr>
          <w:rFonts w:ascii="Arial" w:cs="Arial" w:eastAsia="Arial" w:hAnsi="Arial"/>
          <w:sz w:val="18"/>
          <w:szCs w:val="18"/>
          <w:color w:val="auto"/>
        </w:rPr>
        <w:t>jointly and severally guarantee the 5.5% Senior Notes and the 5.75% Senior Notes. There are no significant restrictions on the ability of SMLP or Summit Holdings to obtain funds from its subsidiaries by dividend or loan. Finance Corp. has had no assets or operations since inception in 2013. We have no other independent assets or operations. At no time have the Senior Notes been guaranteed by the Co-Issuers.</w:t>
      </w:r>
    </w:p>
    <w:p>
      <w:pPr>
        <w:spacing w:after="0" w:line="95"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As of and during the six months ended June 30, 2019, we were in compliance with the covenants governing our Senior Notes. There were no defaults or events of default during the six months ended June 30, 2019.</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04"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auto"/>
        </w:rPr>
        <w:t xml:space="preserve">Concentrations of Credit Risk. </w:t>
      </w:r>
      <w:r>
        <w:rPr>
          <w:rFonts w:ascii="Arial" w:cs="Arial" w:eastAsia="Arial" w:hAnsi="Arial"/>
          <w:sz w:val="18"/>
          <w:szCs w:val="18"/>
          <w:color w:val="auto"/>
        </w:rPr>
        <w:t>Financial instruments that potentially subject us to concentrations of credit risk consist of cash and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equivalents and accounts receivable. We maintain our cash and cash equivalents in bank deposit accounts that frequently exceed federally insured limits. We have not experienced any losses in such accounts and do not believe we are exposed to any significant risk.</w:t>
      </w:r>
    </w:p>
    <w:p>
      <w:pPr>
        <w:spacing w:after="0" w:line="76"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Accounts receivable primarily comprise amounts due for the gathering, compression, treating and processing services we provide to our customers and also the sale of natural gas liquids resulting from our processing services. This industry concentration has the potential to impact our overall exposure to credit risk, either positively or negatively, in that our customers may be similarly affected by changes in economic, industry or other conditions. We monitor the creditworthiness of our counterparties and can require letters of credit or other forms of credit assurance for receivables from counterparties that are judged to have substandard credit, unless the credit risk can otherwise be mitigated. Our top five customers or counterparties accounted for 50% of total accounts receivable as of June 30, 2019, compared with 39% as of December 31, 2018.</w:t>
      </w:r>
    </w:p>
    <w:p>
      <w:pPr>
        <w:spacing w:after="0" w:line="7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auto"/>
        </w:rPr>
        <w:t xml:space="preserve">Fair Value. </w:t>
      </w:r>
      <w:r>
        <w:rPr>
          <w:rFonts w:ascii="Arial" w:cs="Arial" w:eastAsia="Arial" w:hAnsi="Arial"/>
          <w:sz w:val="18"/>
          <w:szCs w:val="18"/>
          <w:color w:val="auto"/>
        </w:rPr>
        <w:t>The carrying amount of cash and cash equivalents, accounts receivable and trade accounts payable reported on the 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approximates fair value due to their short-term maturities.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4" w:name="page25"/>
    <w:bookmarkEnd w:id="24"/>
    <w:p>
      <w:pPr>
        <w:ind w:right="120"/>
        <w:spacing w:after="0" w:line="237" w:lineRule="auto"/>
        <w:rPr>
          <w:sz w:val="20"/>
          <w:szCs w:val="20"/>
          <w:color w:val="auto"/>
        </w:rPr>
      </w:pPr>
      <w:r>
        <w:rPr>
          <w:rFonts w:ascii="Arial" w:cs="Arial" w:eastAsia="Arial" w:hAnsi="Arial"/>
          <w:sz w:val="18"/>
          <w:szCs w:val="18"/>
          <w:color w:val="auto"/>
        </w:rPr>
        <w:t>The Deferred Purchase Price Obligation's carrying value is its fair value because carrying value represents the present value of the payment expected to be made in 2020. 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 (see Note 17 for additional information).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estimated fair value of our debt financial instruments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3"/>
          </w:tcPr>
          <w:p>
            <w:pPr>
              <w:jc w:val="right"/>
              <w:ind w:right="862"/>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81"/>
              <w:spacing w:after="0"/>
              <w:rPr>
                <w:sz w:val="20"/>
                <w:szCs w:val="20"/>
                <w:color w:val="auto"/>
              </w:rPr>
            </w:pPr>
            <w:r>
              <w:rPr>
                <w:rFonts w:ascii="Arial" w:cs="Arial" w:eastAsia="Arial" w:hAnsi="Arial"/>
                <w:sz w:val="14"/>
                <w:szCs w:val="14"/>
                <w:b w:val="1"/>
                <w:bCs w:val="1"/>
                <w:color w:val="auto"/>
              </w:rPr>
              <w:t>December 31, 2018</w:t>
            </w:r>
          </w:p>
        </w:tc>
      </w:tr>
      <w:tr>
        <w:trPr>
          <w:trHeight w:val="156"/>
        </w:trPr>
        <w:tc>
          <w:tcPr>
            <w:tcW w:w="5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jc w:val="center"/>
              <w:ind w:right="222"/>
              <w:spacing w:after="0" w:line="156" w:lineRule="exact"/>
              <w:rPr>
                <w:sz w:val="20"/>
                <w:szCs w:val="20"/>
                <w:color w:val="auto"/>
              </w:rPr>
            </w:pPr>
            <w:r>
              <w:rPr>
                <w:rFonts w:ascii="Arial" w:cs="Arial" w:eastAsia="Arial" w:hAnsi="Arial"/>
                <w:sz w:val="14"/>
                <w:szCs w:val="14"/>
                <w:b w:val="1"/>
                <w:bCs w:val="1"/>
                <w:color w:val="auto"/>
              </w:rPr>
              <w:t>Estimated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tcPr>
          <w:p>
            <w:pPr>
              <w:jc w:val="center"/>
              <w:ind w:right="201"/>
              <w:spacing w:after="0" w:line="156" w:lineRule="exact"/>
              <w:rPr>
                <w:sz w:val="20"/>
                <w:szCs w:val="20"/>
                <w:color w:val="auto"/>
              </w:rPr>
            </w:pPr>
            <w:r>
              <w:rPr>
                <w:rFonts w:ascii="Arial" w:cs="Arial" w:eastAsia="Arial" w:hAnsi="Arial"/>
                <w:sz w:val="14"/>
                <w:szCs w:val="14"/>
                <w:b w:val="1"/>
                <w:bCs w:val="1"/>
                <w:color w:val="auto"/>
              </w:rPr>
              <w:t>Estimated</w:t>
            </w:r>
          </w:p>
        </w:tc>
      </w:tr>
      <w:tr>
        <w:trPr>
          <w:trHeight w:val="162"/>
        </w:trPr>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00" w:type="dxa"/>
            <w:vAlign w:val="bottom"/>
          </w:tcPr>
          <w:p>
            <w:pPr>
              <w:jc w:val="center"/>
              <w:ind w:right="222"/>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321"/>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20" w:type="dxa"/>
            <w:vAlign w:val="bottom"/>
          </w:tcPr>
          <w:p>
            <w:pPr>
              <w:jc w:val="center"/>
              <w:ind w:right="201"/>
              <w:spacing w:after="0"/>
              <w:rPr>
                <w:sz w:val="20"/>
                <w:szCs w:val="20"/>
                <w:color w:val="auto"/>
              </w:rPr>
            </w:pPr>
            <w:r>
              <w:rPr>
                <w:rFonts w:ascii="Arial" w:cs="Arial" w:eastAsia="Arial" w:hAnsi="Arial"/>
                <w:sz w:val="14"/>
                <w:szCs w:val="14"/>
                <w:b w:val="1"/>
                <w:bCs w:val="1"/>
                <w:color w:val="auto"/>
              </w:rPr>
              <w:t>fair value</w:t>
            </w:r>
          </w:p>
        </w:tc>
      </w:tr>
      <w:tr>
        <w:trPr>
          <w:trHeight w:val="175"/>
        </w:trPr>
        <w:tc>
          <w:tcPr>
            <w:tcW w:w="59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rPr>
              <w:t>(Level 2)</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value</w:t>
            </w:r>
          </w:p>
        </w:tc>
        <w:tc>
          <w:tcPr>
            <w:tcW w:w="3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rPr>
              <w:t>(Level 2)</w:t>
            </w:r>
          </w:p>
        </w:tc>
      </w:tr>
      <w:tr>
        <w:trPr>
          <w:trHeight w:val="210"/>
        </w:trPr>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0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Summit Holdings 5.5% Senior Notes ($300.0 million</w:t>
            </w:r>
          </w:p>
        </w:tc>
        <w:tc>
          <w:tcPr>
            <w:tcW w:w="2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03"/>
        </w:trPr>
        <w:tc>
          <w:tcPr>
            <w:tcW w:w="592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principal)</w:t>
            </w: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297,976</w:t>
            </w:r>
          </w:p>
        </w:tc>
        <w:tc>
          <w:tcPr>
            <w:tcW w:w="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287,750</w:t>
            </w:r>
          </w:p>
        </w:tc>
        <w:tc>
          <w:tcPr>
            <w:tcW w:w="3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297,638</w:t>
            </w:r>
          </w:p>
        </w:tc>
        <w:tc>
          <w:tcPr>
            <w:tcW w:w="3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41"/>
              <w:spacing w:after="0" w:line="203" w:lineRule="exact"/>
              <w:rPr>
                <w:sz w:val="20"/>
                <w:szCs w:val="20"/>
                <w:color w:val="auto"/>
              </w:rPr>
            </w:pPr>
            <w:r>
              <w:rPr>
                <w:rFonts w:ascii="Arial" w:cs="Arial" w:eastAsia="Arial" w:hAnsi="Arial"/>
                <w:sz w:val="18"/>
                <w:szCs w:val="18"/>
                <w:color w:val="auto"/>
              </w:rPr>
              <w:t>286,625</w:t>
            </w:r>
          </w:p>
        </w:tc>
      </w:tr>
      <w:tr>
        <w:trPr>
          <w:trHeight w:val="215"/>
        </w:trPr>
        <w:tc>
          <w:tcPr>
            <w:tcW w:w="5920" w:type="dxa"/>
            <w:vAlign w:val="bottom"/>
          </w:tcPr>
          <w:p>
            <w:pPr>
              <w:spacing w:after="0"/>
              <w:rPr>
                <w:sz w:val="20"/>
                <w:szCs w:val="20"/>
                <w:color w:val="auto"/>
              </w:rPr>
            </w:pPr>
            <w:r>
              <w:rPr>
                <w:rFonts w:ascii="Arial" w:cs="Arial" w:eastAsia="Arial" w:hAnsi="Arial"/>
                <w:sz w:val="18"/>
                <w:szCs w:val="18"/>
                <w:color w:val="auto"/>
              </w:rPr>
              <w:t>Summit Holdings 5.75% Senior Notes ($500.0 million</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7"/>
        </w:trPr>
        <w:tc>
          <w:tcPr>
            <w:tcW w:w="5920" w:type="dxa"/>
            <w:vAlign w:val="bottom"/>
          </w:tcPr>
          <w:p>
            <w:pPr>
              <w:ind w:left="200"/>
              <w:spacing w:after="0"/>
              <w:rPr>
                <w:sz w:val="20"/>
                <w:szCs w:val="20"/>
                <w:color w:val="auto"/>
              </w:rPr>
            </w:pPr>
            <w:r>
              <w:rPr>
                <w:rFonts w:ascii="Arial" w:cs="Arial" w:eastAsia="Arial" w:hAnsi="Arial"/>
                <w:sz w:val="18"/>
                <w:szCs w:val="18"/>
                <w:color w:val="auto"/>
              </w:rPr>
              <w:t>principal)</w:t>
            </w:r>
          </w:p>
        </w:tc>
        <w:tc>
          <w:tcPr>
            <w:tcW w:w="20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494,588</w:t>
            </w:r>
          </w:p>
        </w:tc>
        <w:tc>
          <w:tcPr>
            <w:tcW w:w="30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Arial" w:cs="Arial" w:eastAsia="Arial" w:hAnsi="Arial"/>
                <w:sz w:val="18"/>
                <w:szCs w:val="18"/>
                <w:color w:val="auto"/>
              </w:rPr>
              <w:t>437,500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41"/>
              <w:spacing w:after="0"/>
              <w:rPr>
                <w:sz w:val="20"/>
                <w:szCs w:val="20"/>
                <w:color w:val="auto"/>
              </w:rPr>
            </w:pPr>
            <w:r>
              <w:rPr>
                <w:rFonts w:ascii="Arial" w:cs="Arial" w:eastAsia="Arial" w:hAnsi="Arial"/>
                <w:sz w:val="18"/>
                <w:szCs w:val="18"/>
                <w:color w:val="auto"/>
              </w:rPr>
              <w:t>494,093</w:t>
            </w:r>
          </w:p>
        </w:tc>
        <w:tc>
          <w:tcPr>
            <w:tcW w:w="300" w:type="dxa"/>
            <w:vAlign w:val="bottom"/>
          </w:tcPr>
          <w:p>
            <w:pPr>
              <w:spacing w:after="0"/>
              <w:rPr>
                <w:sz w:val="18"/>
                <w:szCs w:val="18"/>
                <w:color w:val="auto"/>
              </w:rPr>
            </w:pPr>
          </w:p>
        </w:tc>
        <w:tc>
          <w:tcPr>
            <w:tcW w:w="1120" w:type="dxa"/>
            <w:vAlign w:val="bottom"/>
          </w:tcPr>
          <w:p>
            <w:pPr>
              <w:jc w:val="right"/>
              <w:ind w:right="41"/>
              <w:spacing w:after="0"/>
              <w:rPr>
                <w:sz w:val="20"/>
                <w:szCs w:val="20"/>
                <w:color w:val="auto"/>
              </w:rPr>
            </w:pPr>
            <w:r>
              <w:rPr>
                <w:rFonts w:ascii="Arial" w:cs="Arial" w:eastAsia="Arial" w:hAnsi="Arial"/>
                <w:sz w:val="18"/>
                <w:szCs w:val="18"/>
                <w:color w:val="auto"/>
              </w:rPr>
              <w:t>455,208</w:t>
            </w:r>
          </w:p>
        </w:tc>
      </w:tr>
    </w:tbl>
    <w:p>
      <w:pPr>
        <w:spacing w:after="0" w:line="107"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carrying value on the balance sheet of the Revolving Credit Facility is its fair value due to its floating interest rate. The estimated fair value for the Senior Notes is based on an average of nonbinding broker quotes as of June 30, 2019 and December 31, 2018. The use of different market assumptions or valuation methodologies may have a material effect on the estimated fair value of the Senior Notes.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PARTNERS' CAPITAL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number of common limited partner, preferred limited partner and General Partner units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740" w:type="dxa"/>
            <w:vAlign w:val="bottom"/>
          </w:tcPr>
          <w:p>
            <w:pPr>
              <w:spacing w:after="0"/>
              <w:rPr>
                <w:sz w:val="15"/>
                <w:szCs w:val="15"/>
                <w:color w:val="auto"/>
              </w:rPr>
            </w:pPr>
          </w:p>
        </w:tc>
        <w:tc>
          <w:tcPr>
            <w:tcW w:w="3200" w:type="dxa"/>
            <w:vAlign w:val="bottom"/>
            <w:tcBorders>
              <w:bottom w:val="single" w:sz="8" w:color="auto"/>
            </w:tcBorders>
            <w:gridSpan w:val="4"/>
          </w:tcPr>
          <w:p>
            <w:pPr>
              <w:ind w:left="1040"/>
              <w:spacing w:after="0"/>
              <w:rPr>
                <w:sz w:val="20"/>
                <w:szCs w:val="20"/>
                <w:color w:val="auto"/>
              </w:rPr>
            </w:pPr>
            <w:r>
              <w:rPr>
                <w:rFonts w:ascii="Arial" w:cs="Arial" w:eastAsia="Arial" w:hAnsi="Arial"/>
                <w:sz w:val="14"/>
                <w:szCs w:val="14"/>
                <w:b w:val="1"/>
                <w:bCs w:val="1"/>
                <w:color w:val="auto"/>
              </w:rPr>
              <w:t>Limited partners</w:t>
            </w:r>
          </w:p>
        </w:tc>
        <w:tc>
          <w:tcPr>
            <w:tcW w:w="1480" w:type="dxa"/>
            <w:vAlign w:val="bottom"/>
            <w:vMerge w:val="restart"/>
          </w:tcPr>
          <w:p>
            <w:pPr>
              <w:jc w:val="right"/>
              <w:ind w:right="456"/>
              <w:spacing w:after="0"/>
              <w:rPr>
                <w:sz w:val="20"/>
                <w:szCs w:val="20"/>
                <w:color w:val="auto"/>
              </w:rPr>
            </w:pPr>
            <w:r>
              <w:rPr>
                <w:rFonts w:ascii="Arial" w:cs="Arial" w:eastAsia="Arial" w:hAnsi="Arial"/>
                <w:sz w:val="14"/>
                <w:szCs w:val="14"/>
                <w:b w:val="1"/>
                <w:bCs w:val="1"/>
                <w:color w:val="auto"/>
              </w:rPr>
              <w:t>General</w:t>
            </w:r>
          </w:p>
        </w:tc>
        <w:tc>
          <w:tcPr>
            <w:tcW w:w="0" w:type="dxa"/>
            <w:vAlign w:val="bottom"/>
          </w:tcPr>
          <w:p>
            <w:pPr>
              <w:spacing w:after="0"/>
              <w:rPr>
                <w:sz w:val="1"/>
                <w:szCs w:val="1"/>
                <w:color w:val="auto"/>
              </w:rPr>
            </w:pPr>
          </w:p>
        </w:tc>
      </w:tr>
      <w:tr>
        <w:trPr>
          <w:trHeight w:val="156"/>
        </w:trPr>
        <w:tc>
          <w:tcPr>
            <w:tcW w:w="6740" w:type="dxa"/>
            <w:vAlign w:val="bottom"/>
          </w:tcPr>
          <w:p>
            <w:pPr>
              <w:spacing w:after="0"/>
              <w:rPr>
                <w:sz w:val="13"/>
                <w:szCs w:val="13"/>
                <w:color w:val="auto"/>
              </w:rPr>
            </w:pPr>
          </w:p>
        </w:tc>
        <w:tc>
          <w:tcPr>
            <w:tcW w:w="1600" w:type="dxa"/>
            <w:vAlign w:val="bottom"/>
            <w:gridSpan w:val="2"/>
          </w:tcPr>
          <w:p>
            <w:pPr>
              <w:jc w:val="center"/>
              <w:ind w:right="260"/>
              <w:spacing w:after="0" w:line="156" w:lineRule="exact"/>
              <w:rPr>
                <w:sz w:val="20"/>
                <w:szCs w:val="20"/>
                <w:color w:val="auto"/>
              </w:rPr>
            </w:pPr>
            <w:r>
              <w:rPr>
                <w:rFonts w:ascii="Arial" w:cs="Arial" w:eastAsia="Arial" w:hAnsi="Arial"/>
                <w:sz w:val="14"/>
                <w:szCs w:val="14"/>
                <w:b w:val="1"/>
                <w:bCs w:val="1"/>
                <w:color w:val="auto"/>
              </w:rPr>
              <w:t>Series A Preferred</w:t>
            </w:r>
          </w:p>
        </w:tc>
        <w:tc>
          <w:tcPr>
            <w:tcW w:w="1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740" w:type="dxa"/>
            <w:vAlign w:val="bottom"/>
          </w:tcPr>
          <w:p>
            <w:pPr>
              <w:spacing w:after="0"/>
              <w:rPr>
                <w:sz w:val="15"/>
                <w:szCs w:val="15"/>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Units</w:t>
            </w:r>
          </w:p>
        </w:tc>
        <w:tc>
          <w:tcPr>
            <w:tcW w:w="1600" w:type="dxa"/>
            <w:vAlign w:val="bottom"/>
            <w:gridSpan w:val="2"/>
          </w:tcPr>
          <w:p>
            <w:pPr>
              <w:ind w:left="360"/>
              <w:spacing w:after="0"/>
              <w:rPr>
                <w:sz w:val="20"/>
                <w:szCs w:val="20"/>
                <w:color w:val="auto"/>
              </w:rPr>
            </w:pPr>
            <w:r>
              <w:rPr>
                <w:rFonts w:ascii="Arial" w:cs="Arial" w:eastAsia="Arial" w:hAnsi="Arial"/>
                <w:sz w:val="14"/>
                <w:szCs w:val="14"/>
                <w:b w:val="1"/>
                <w:bCs w:val="1"/>
                <w:color w:val="auto"/>
              </w:rPr>
              <w:t>Common</w:t>
            </w:r>
          </w:p>
        </w:tc>
        <w:tc>
          <w:tcPr>
            <w:tcW w:w="1480" w:type="dxa"/>
            <w:vAlign w:val="bottom"/>
          </w:tcPr>
          <w:p>
            <w:pPr>
              <w:jc w:val="right"/>
              <w:ind w:right="476"/>
              <w:spacing w:after="0"/>
              <w:rPr>
                <w:sz w:val="20"/>
                <w:szCs w:val="20"/>
                <w:color w:val="auto"/>
              </w:rPr>
            </w:pPr>
            <w:r>
              <w:rPr>
                <w:rFonts w:ascii="Arial" w:cs="Arial" w:eastAsia="Arial" w:hAnsi="Arial"/>
                <w:sz w:val="14"/>
                <w:szCs w:val="14"/>
                <w:b w:val="1"/>
                <w:bCs w:val="1"/>
                <w:color w:val="auto"/>
              </w:rPr>
              <w:t>Partner</w:t>
            </w:r>
          </w:p>
        </w:tc>
        <w:tc>
          <w:tcPr>
            <w:tcW w:w="0" w:type="dxa"/>
            <w:vAlign w:val="bottom"/>
          </w:tcPr>
          <w:p>
            <w:pPr>
              <w:spacing w:after="0"/>
              <w:rPr>
                <w:sz w:val="1"/>
                <w:szCs w:val="1"/>
                <w:color w:val="auto"/>
              </w:rPr>
            </w:pPr>
          </w:p>
        </w:tc>
      </w:tr>
      <w:tr>
        <w:trPr>
          <w:trHeight w:val="210"/>
        </w:trPr>
        <w:tc>
          <w:tcPr>
            <w:tcW w:w="6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Units, January 1, 2019</w:t>
            </w:r>
          </w:p>
        </w:tc>
        <w:tc>
          <w:tcPr>
            <w:tcW w:w="1460" w:type="dxa"/>
            <w:vAlign w:val="bottom"/>
            <w:tcBorders>
              <w:top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Borders>
              <w:top w:val="single" w:sz="8" w:color="CFF0FC"/>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73,390,853</w:t>
            </w:r>
          </w:p>
        </w:tc>
        <w:tc>
          <w:tcPr>
            <w:tcW w:w="140" w:type="dxa"/>
            <w:vAlign w:val="bottom"/>
            <w:tcBorders>
              <w:top w:val="single" w:sz="8" w:color="CFF0FC"/>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6740" w:type="dxa"/>
            <w:vAlign w:val="bottom"/>
          </w:tcPr>
          <w:p>
            <w:pPr>
              <w:ind w:left="140"/>
              <w:spacing w:after="0"/>
              <w:rPr>
                <w:sz w:val="20"/>
                <w:szCs w:val="20"/>
                <w:color w:val="auto"/>
              </w:rPr>
            </w:pPr>
            <w:r>
              <w:rPr>
                <w:rFonts w:ascii="Arial" w:cs="Arial" w:eastAsia="Arial" w:hAnsi="Arial"/>
                <w:sz w:val="18"/>
                <w:szCs w:val="18"/>
                <w:color w:val="auto"/>
              </w:rPr>
              <w:t>Conversion of General Partner economic interests</w:t>
            </w:r>
          </w:p>
        </w:tc>
        <w:tc>
          <w:tcPr>
            <w:tcW w:w="1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4"/>
              <w:spacing w:after="0"/>
              <w:rPr>
                <w:sz w:val="20"/>
                <w:szCs w:val="20"/>
                <w:color w:val="auto"/>
              </w:rPr>
            </w:pPr>
            <w:r>
              <w:rPr>
                <w:rFonts w:ascii="Arial" w:cs="Arial" w:eastAsia="Arial" w:hAnsi="Arial"/>
                <w:sz w:val="18"/>
                <w:szCs w:val="18"/>
                <w:color w:val="auto"/>
              </w:rPr>
              <w:t>8,750,000</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(1,490,999)</w:t>
            </w:r>
          </w:p>
        </w:tc>
        <w:tc>
          <w:tcPr>
            <w:tcW w:w="0" w:type="dxa"/>
            <w:vAlign w:val="bottom"/>
          </w:tcPr>
          <w:p>
            <w:pPr>
              <w:spacing w:after="0"/>
              <w:rPr>
                <w:sz w:val="1"/>
                <w:szCs w:val="1"/>
                <w:color w:val="auto"/>
              </w:rPr>
            </w:pPr>
          </w:p>
        </w:tc>
      </w:tr>
      <w:tr>
        <w:trPr>
          <w:trHeight w:val="216"/>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Net units issued under the SMLP LTIP</w:t>
            </w:r>
          </w:p>
        </w:tc>
        <w:tc>
          <w:tcPr>
            <w:tcW w:w="16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564,038</w:t>
            </w:r>
          </w:p>
        </w:tc>
        <w:tc>
          <w:tcPr>
            <w:tcW w:w="14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740" w:type="dxa"/>
            <w:vAlign w:val="bottom"/>
          </w:tcPr>
          <w:p>
            <w:pPr>
              <w:spacing w:after="0"/>
              <w:rPr>
                <w:sz w:val="20"/>
                <w:szCs w:val="20"/>
                <w:color w:val="auto"/>
              </w:rPr>
            </w:pPr>
            <w:r>
              <w:rPr>
                <w:rFonts w:ascii="Arial" w:cs="Arial" w:eastAsia="Arial" w:hAnsi="Arial"/>
                <w:sz w:val="18"/>
                <w:szCs w:val="18"/>
                <w:b w:val="1"/>
                <w:bCs w:val="1"/>
                <w:color w:val="auto"/>
              </w:rPr>
              <w:t>Units, June 30, 2019</w:t>
            </w:r>
          </w:p>
        </w:tc>
        <w:tc>
          <w:tcPr>
            <w:tcW w:w="14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300,000</w:t>
            </w:r>
          </w:p>
        </w:tc>
        <w:tc>
          <w:tcPr>
            <w:tcW w:w="14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82,704,891</w:t>
            </w:r>
          </w:p>
        </w:tc>
        <w:tc>
          <w:tcPr>
            <w:tcW w:w="1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b w:val="1"/>
          <w:bCs w:val="1"/>
          <w:i w:val="1"/>
          <w:iCs w:val="1"/>
          <w:color w:val="auto"/>
        </w:rPr>
        <w:t xml:space="preserve">GP/IDR Exchange. </w:t>
      </w:r>
      <w:r>
        <w:rPr>
          <w:rFonts w:ascii="Arial" w:cs="Arial" w:eastAsia="Arial" w:hAnsi="Arial"/>
          <w:sz w:val="18"/>
          <w:szCs w:val="18"/>
          <w:color w:val="auto"/>
        </w:rPr>
        <w:t>On March 22, 2019, we cancelled our IDRs and converted our 2% economic GP interest to a non-economic GP interest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 for 8,750,000 SMLP common units which were issued to SMP Holdings in the Equity Restructuring. These units had a fair value of $84.5 million as of the transaction date (March 22, 2019). As a result of the Equity Restructuring, the general partner units and IDRs were eliminated, are no longer outstanding, and no longer participate in distributions of cash from SMLP. ECP continues to control the non-economic GP interest in SMLP.</w:t>
      </w:r>
    </w:p>
    <w:p>
      <w:pPr>
        <w:spacing w:after="0" w:line="9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Immediately following the Equity Restructuring, SMP Holdings directly owned a 41.8% limited partner interest in SMLP and an affiliate of Energy Capital Partners II, LLC directly owned a 7.2% limited partner interest in SMLP.</w:t>
      </w:r>
    </w:p>
    <w:p>
      <w:pPr>
        <w:spacing w:after="0" w:line="89"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For the three and six months ended June 30, 2018, our general partner held IDRs that entitled it to receive increasing percentage allocations, up to a maximum of 50%, of the cash we distributed from operating surplus in excess of $0.46 per unit per quarter.</w:t>
      </w:r>
    </w:p>
    <w:p>
      <w:pPr>
        <w:spacing w:after="0" w:line="89"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Our payment of IDRs as reported in distributions to unitholders – general partner in the statement of partners' capital during the three and six months ended June 30 follow.</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8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2"/>
          </w:tcPr>
          <w:p>
            <w:pPr>
              <w:jc w:val="right"/>
              <w:ind w:right="302"/>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3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842"/>
              <w:spacing w:after="0"/>
              <w:rPr>
                <w:sz w:val="20"/>
                <w:szCs w:val="20"/>
                <w:color w:val="auto"/>
              </w:rPr>
            </w:pPr>
            <w:r>
              <w:rPr>
                <w:rFonts w:ascii="Arial" w:cs="Arial" w:eastAsia="Arial" w:hAnsi="Arial"/>
                <w:sz w:val="14"/>
                <w:szCs w:val="14"/>
                <w:b w:val="1"/>
                <w:bCs w:val="1"/>
                <w:color w:val="auto"/>
              </w:rPr>
              <w:t>2019</w:t>
            </w: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33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42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IDR payments</w:t>
            </w:r>
          </w:p>
        </w:tc>
        <w:tc>
          <w:tcPr>
            <w:tcW w:w="2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FF0FC"/>
          </w:tcPr>
          <w:p>
            <w:pPr>
              <w:jc w:val="right"/>
              <w:ind w:right="82"/>
              <w:spacing w:after="0"/>
              <w:rPr>
                <w:sz w:val="20"/>
                <w:szCs w:val="20"/>
                <w:color w:val="auto"/>
              </w:rPr>
            </w:pPr>
            <w:r>
              <w:rPr>
                <w:rFonts w:ascii="Arial" w:cs="Arial" w:eastAsia="Arial" w:hAnsi="Arial"/>
                <w:sz w:val="18"/>
                <w:szCs w:val="18"/>
                <w:color w:val="auto"/>
              </w:rPr>
              <w:t>—   $</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2,136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2,139</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4,264</w:t>
            </w:r>
          </w:p>
        </w:tc>
      </w:tr>
      <w:tr>
        <w:trPr>
          <w:trHeight w:val="554"/>
        </w:trPr>
        <w:tc>
          <w:tcPr>
            <w:tcW w:w="3380" w:type="dxa"/>
            <w:vAlign w:val="bottom"/>
          </w:tcPr>
          <w:p>
            <w:pPr>
              <w:spacing w:after="0"/>
              <w:rPr>
                <w:sz w:val="24"/>
                <w:szCs w:val="24"/>
                <w:color w:val="auto"/>
              </w:rPr>
            </w:pPr>
          </w:p>
        </w:tc>
        <w:tc>
          <w:tcPr>
            <w:tcW w:w="254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02"/>
        </w:trPr>
        <w:tc>
          <w:tcPr>
            <w:tcW w:w="338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5" w:name="page26"/>
    <w:bookmarkEnd w:id="25"/>
    <w:p>
      <w:pPr>
        <w:ind w:right="140"/>
        <w:spacing w:after="0"/>
        <w:rPr>
          <w:sz w:val="20"/>
          <w:szCs w:val="20"/>
          <w:color w:val="auto"/>
        </w:rPr>
      </w:pPr>
      <w:r>
        <w:rPr>
          <w:rFonts w:ascii="Arial" w:cs="Arial" w:eastAsia="Arial" w:hAnsi="Arial"/>
          <w:sz w:val="18"/>
          <w:szCs w:val="18"/>
          <w:color w:val="auto"/>
        </w:rPr>
        <w:t>For the purposes of calculating net income attributable to General Partner in the statements of operations and partners' capital, the financial impact of IDRs was recognized in respect of the quarter for which the distributions were declared. For the purposes of calculating distributions to unitholders in the statements of partners' capital and cash flows, IDR payments were recognized in the quarter in which they are paid.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At-the-market Program. </w:t>
      </w:r>
      <w:r>
        <w:rPr>
          <w:rFonts w:ascii="Arial" w:cs="Arial" w:eastAsia="Arial" w:hAnsi="Arial"/>
          <w:sz w:val="18"/>
          <w:szCs w:val="18"/>
          <w:color w:val="auto"/>
        </w:rPr>
        <w:t>In 2017, we executed an equity distribution agreement and filed a prospectus and a prospectus supplement with the</w:t>
      </w:r>
    </w:p>
    <w:p>
      <w:pPr>
        <w:spacing w:after="0" w:line="58"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color w:val="auto"/>
        </w:rPr>
        <w:t>SEC for the issuance and sale from time to time of SMLP common units having an aggregate offering price of up to $150.0 million (the "ATM Program"). These sales will be made (i) pursuant to the terms of the equity distribution agreement between us and the sales agents named therein and (ii) by means of ordinary brokers' transactions at market prices, in block transactions or as otherwise agreed between us and the sales agents. Sales of our common units may be made in negotiated transactions or transactions that are deemed to be at-the-market offerings as defined by SEC rules</w:t>
      </w:r>
      <w:r>
        <w:rPr>
          <w:rFonts w:ascii="Arial" w:cs="Arial" w:eastAsia="Arial" w:hAnsi="Arial"/>
          <w:sz w:val="18"/>
          <w:szCs w:val="18"/>
          <w:b w:val="1"/>
          <w:bCs w:val="1"/>
          <w:i w:val="1"/>
          <w:iCs w:val="1"/>
          <w:color w:val="auto"/>
        </w:rPr>
        <w:t>.</w:t>
      </w:r>
    </w:p>
    <w:p>
      <w:pPr>
        <w:spacing w:after="0" w:line="95" w:lineRule="exact"/>
        <w:rPr>
          <w:sz w:val="20"/>
          <w:szCs w:val="20"/>
          <w:color w:val="auto"/>
        </w:rPr>
      </w:pPr>
    </w:p>
    <w:p>
      <w:pPr>
        <w:ind w:right="180"/>
        <w:spacing w:after="0" w:line="270" w:lineRule="auto"/>
        <w:rPr>
          <w:sz w:val="20"/>
          <w:szCs w:val="20"/>
          <w:color w:val="auto"/>
        </w:rPr>
      </w:pPr>
      <w:r>
        <w:rPr>
          <w:rFonts w:ascii="Arial" w:cs="Arial" w:eastAsia="Arial" w:hAnsi="Arial"/>
          <w:sz w:val="17"/>
          <w:szCs w:val="17"/>
          <w:color w:val="auto"/>
        </w:rPr>
        <w:t>During the three and six months ended June 30, 2019, there were no transactions under the ATM Program. Following the effectiveness of the ATM Program registration statement and after taking into account the aggregate sales price of common units sold under the ATM Program through June 30, 2019, we have the capacity to issue additional common units under the ATM Program up to an aggregate $132.3 million.</w:t>
      </w:r>
    </w:p>
    <w:p>
      <w:pPr>
        <w:spacing w:after="0" w:line="6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b w:val="1"/>
          <w:bCs w:val="1"/>
          <w:i w:val="1"/>
          <w:iCs w:val="1"/>
          <w:color w:val="auto"/>
        </w:rPr>
        <w:t xml:space="preserve">Series A Preferred Units. </w:t>
      </w:r>
      <w:r>
        <w:rPr>
          <w:rFonts w:ascii="Arial" w:cs="Arial" w:eastAsia="Arial" w:hAnsi="Arial"/>
          <w:sz w:val="18"/>
          <w:szCs w:val="18"/>
          <w:color w:val="auto"/>
        </w:rPr>
        <w:t>In 2017, we issued 300,000 Series A Fixed -to-Floating Rate Cumulative Redeemable Perpetual Preferred Units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“Series A Preferred Units”) representing limited partner interests in the Partnership at a price to the public of $1,000 per unit as described in the 2018 Annual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Cash Distributions Paid and Declared. </w:t>
      </w:r>
      <w:r>
        <w:rPr>
          <w:rFonts w:ascii="Arial" w:cs="Arial" w:eastAsia="Arial" w:hAnsi="Arial"/>
          <w:sz w:val="18"/>
          <w:szCs w:val="18"/>
          <w:color w:val="auto"/>
        </w:rPr>
        <w:t>We paid the following per-unit distributions during the three and six months ended June 30</w:t>
      </w:r>
      <w:r>
        <w:rPr>
          <w:rFonts w:ascii="Arial" w:cs="Arial" w:eastAsia="Arial" w:hAnsi="Arial"/>
          <w:sz w:val="18"/>
          <w:szCs w:val="18"/>
          <w:b w:val="1"/>
          <w:bCs w:val="1"/>
          <w:i w:val="1"/>
          <w:iCs w:val="1"/>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Per-unit distributions to unitholders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0.2875</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0.575</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0.8625</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1.150</w:t>
            </w:r>
          </w:p>
        </w:tc>
      </w:tr>
    </w:tbl>
    <w:p>
      <w:pPr>
        <w:spacing w:after="0" w:line="121" w:lineRule="exact"/>
        <w:rPr>
          <w:sz w:val="20"/>
          <w:szCs w:val="20"/>
          <w:color w:val="auto"/>
        </w:rPr>
      </w:pPr>
    </w:p>
    <w:p>
      <w:pPr>
        <w:ind w:right="160"/>
        <w:spacing w:after="0" w:line="248" w:lineRule="auto"/>
        <w:rPr>
          <w:sz w:val="20"/>
          <w:szCs w:val="20"/>
          <w:color w:val="auto"/>
        </w:rPr>
      </w:pPr>
      <w:r>
        <w:rPr>
          <w:rFonts w:ascii="Arial" w:cs="Arial" w:eastAsia="Arial" w:hAnsi="Arial"/>
          <w:sz w:val="18"/>
          <w:szCs w:val="18"/>
          <w:color w:val="auto"/>
        </w:rPr>
        <w:t>On July 25, 2019, the Board of Directors of our General Partner declared a distribution of $0.2875 per unit for the quarterly period ended June 30, 2019. This distribution, which totaled $23.8 million, will be paid on August 14, 2019 to unitholders of record at the close of business on August 7, 2019.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13. EARNINGS PER UNIT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components of EPU.</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59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292"/>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940" w:type="dxa"/>
            <w:vAlign w:val="bottom"/>
            <w:gridSpan w:val="7"/>
          </w:tcPr>
          <w:p>
            <w:pPr>
              <w:ind w:left="40"/>
              <w:spacing w:after="0"/>
              <w:rPr>
                <w:sz w:val="20"/>
                <w:szCs w:val="20"/>
                <w:color w:val="auto"/>
              </w:rPr>
            </w:pPr>
            <w:r>
              <w:rPr>
                <w:rFonts w:ascii="Arial" w:cs="Arial" w:eastAsia="Arial" w:hAnsi="Arial"/>
                <w:sz w:val="14"/>
                <w:szCs w:val="14"/>
                <w:b w:val="1"/>
                <w:bCs w:val="1"/>
                <w:color w:val="auto"/>
              </w:rPr>
              <w:t>(In thousands, except per-unit amounts)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Numerator for basic and diluted EPU:</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20" w:type="dxa"/>
            <w:vAlign w:val="bottom"/>
            <w:gridSpan w:val="2"/>
          </w:tcPr>
          <w:p>
            <w:pPr>
              <w:spacing w:after="0"/>
              <w:rPr>
                <w:sz w:val="20"/>
                <w:szCs w:val="20"/>
                <w:color w:val="auto"/>
              </w:rPr>
            </w:pPr>
            <w:r>
              <w:rPr>
                <w:rFonts w:ascii="Arial" w:cs="Arial" w:eastAsia="Arial" w:hAnsi="Arial"/>
                <w:sz w:val="18"/>
                <w:szCs w:val="18"/>
                <w:color w:val="auto"/>
              </w:rPr>
              <w:t>Allocation of net income (loss) among limited partner interests: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Net income (loss) attributable to limited partners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4,809</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(51,111)</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(32,117)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Less net income attributable to Series A Preferred Units</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7,125</w:t>
            </w:r>
          </w:p>
        </w:tc>
        <w:tc>
          <w:tcPr>
            <w:tcW w:w="12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7,125</w:t>
            </w:r>
          </w:p>
        </w:tc>
        <w:tc>
          <w:tcPr>
            <w:tcW w:w="1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14,250</w:t>
            </w:r>
          </w:p>
        </w:tc>
        <w:tc>
          <w:tcPr>
            <w:tcW w:w="14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14,250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loss attributable to common limited partners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(2,316)</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(58,236)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(46,367)</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Denominator for basic and diluted EPU:</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9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Weighted-average common units outstanding – basic and diluted</w:t>
            </w: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82,700</w:t>
            </w:r>
          </w:p>
        </w:tc>
        <w:tc>
          <w:tcPr>
            <w:tcW w:w="12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73,356</w:t>
            </w:r>
          </w:p>
        </w:tc>
        <w:tc>
          <w:tcPr>
            <w:tcW w:w="14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79,266</w:t>
            </w: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73,245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9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b w:val="1"/>
                <w:bCs w:val="1"/>
                <w:color w:val="auto"/>
              </w:rPr>
              <w:t>Loss per limited partner unit: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Common unit – basic</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(0.58)</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tcPr>
          <w:p>
            <w:pPr>
              <w:ind w:left="120"/>
              <w:spacing w:after="0"/>
              <w:rPr>
                <w:sz w:val="20"/>
                <w:szCs w:val="20"/>
                <w:color w:val="auto"/>
              </w:rPr>
            </w:pPr>
            <w:r>
              <w:rPr>
                <w:rFonts w:ascii="Arial" w:cs="Arial" w:eastAsia="Arial" w:hAnsi="Arial"/>
                <w:sz w:val="18"/>
                <w:szCs w:val="18"/>
                <w:color w:val="auto"/>
              </w:rPr>
              <w:t>Common unit – 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(0.79)</w:t>
            </w:r>
          </w:p>
        </w:tc>
        <w:tc>
          <w:tcPr>
            <w:tcW w:w="3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(0.58)</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920" w:type="dxa"/>
            <w:vAlign w:val="bottom"/>
            <w:gridSpan w:val="2"/>
          </w:tcPr>
          <w:p>
            <w:pPr>
              <w:spacing w:after="0"/>
              <w:rPr>
                <w:sz w:val="20"/>
                <w:szCs w:val="20"/>
                <w:color w:val="auto"/>
              </w:rPr>
            </w:pPr>
            <w:r>
              <w:rPr>
                <w:rFonts w:ascii="Arial" w:cs="Arial" w:eastAsia="Arial" w:hAnsi="Arial"/>
                <w:sz w:val="18"/>
                <w:szCs w:val="18"/>
                <w:color w:val="auto"/>
              </w:rPr>
              <w:t>Nonvested anti-dilutive phantom units excluded from the</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900" w:type="dxa"/>
            <w:vAlign w:val="bottom"/>
          </w:tcPr>
          <w:p>
            <w:pPr>
              <w:ind w:left="180"/>
              <w:spacing w:after="0"/>
              <w:rPr>
                <w:sz w:val="20"/>
                <w:szCs w:val="20"/>
                <w:color w:val="auto"/>
              </w:rPr>
            </w:pPr>
            <w:r>
              <w:rPr>
                <w:rFonts w:ascii="Arial" w:cs="Arial" w:eastAsia="Arial" w:hAnsi="Arial"/>
                <w:sz w:val="18"/>
                <w:szCs w:val="18"/>
                <w:color w:val="auto"/>
              </w:rPr>
              <w:t>calculation of diluted EPU</w:t>
            </w:r>
          </w:p>
        </w:tc>
        <w:tc>
          <w:tcPr>
            <w:tcW w:w="180" w:type="dxa"/>
            <w:vAlign w:val="bottom"/>
          </w:tcPr>
          <w:p>
            <w:pPr>
              <w:spacing w:after="0"/>
              <w:rPr>
                <w:sz w:val="18"/>
                <w:szCs w:val="18"/>
                <w:color w:val="auto"/>
              </w:rPr>
            </w:pP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UNIT-BASED AND NONCASH COMPENSATION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SMLP Long-Term Incentive Plan. </w:t>
      </w:r>
      <w:r>
        <w:rPr>
          <w:rFonts w:ascii="Arial" w:cs="Arial" w:eastAsia="Arial" w:hAnsi="Arial"/>
          <w:sz w:val="18"/>
          <w:szCs w:val="18"/>
          <w:color w:val="auto"/>
        </w:rPr>
        <w:t>The SMLP LTIP provides for equity awards to eligible officers, employees, consultants and directors of our</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 and its affiliates. Items to note:</w:t>
      </w:r>
    </w:p>
    <w:p>
      <w:pPr>
        <w:spacing w:after="0" w:line="104" w:lineRule="exact"/>
        <w:rPr>
          <w:sz w:val="20"/>
          <w:szCs w:val="20"/>
          <w:color w:val="auto"/>
        </w:rPr>
      </w:pPr>
    </w:p>
    <w:p>
      <w:pPr>
        <w:ind w:left="800" w:right="160" w:hanging="400"/>
        <w:spacing w:after="0" w:line="256" w:lineRule="auto"/>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2019, we granted 639,522 phantom units and associated distribution equivalent rights to employees in connection with our annual incentive compensation award cycle. These awards had a grant date fair value of $9.78 and vest ratably over a three-year period.</w:t>
      </w:r>
    </w:p>
    <w:p>
      <w:pPr>
        <w:spacing w:after="0" w:line="93" w:lineRule="exact"/>
        <w:rPr>
          <w:rFonts w:ascii="Arial" w:cs="Arial" w:eastAsia="Arial" w:hAnsi="Arial"/>
          <w:sz w:val="18"/>
          <w:szCs w:val="18"/>
          <w:color w:val="auto"/>
        </w:rPr>
      </w:pPr>
    </w:p>
    <w:p>
      <w:pPr>
        <w:ind w:left="800" w:right="80" w:hanging="400"/>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In March 2019, we also issued 16,358 common units to our two independent directors in connection with their annual compensation plan. In May 2019, we issued an additional 9,580 units to an independent director in conjunction with his appointment to our Board of Directors.</w:t>
      </w:r>
    </w:p>
    <w:p>
      <w:pPr>
        <w:spacing w:after="0" w:line="94" w:lineRule="exact"/>
        <w:rPr>
          <w:rFonts w:ascii="Arial" w:cs="Arial" w:eastAsia="Arial" w:hAnsi="Arial"/>
          <w:sz w:val="18"/>
          <w:szCs w:val="18"/>
          <w:color w:val="auto"/>
        </w:rPr>
      </w:pPr>
    </w:p>
    <w:p>
      <w:pPr>
        <w:ind w:left="800" w:hanging="400"/>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During the six months ended June 30, 2019, 562,660 phantom units vested.</w:t>
      </w:r>
    </w:p>
    <w:p>
      <w:pPr>
        <w:spacing w:after="0" w:line="103" w:lineRule="exact"/>
        <w:rPr>
          <w:rFonts w:ascii="Arial" w:cs="Arial" w:eastAsia="Arial" w:hAnsi="Arial"/>
          <w:sz w:val="18"/>
          <w:szCs w:val="18"/>
          <w:color w:val="auto"/>
        </w:rPr>
      </w:pPr>
    </w:p>
    <w:p>
      <w:pPr>
        <w:ind w:left="800" w:hanging="400"/>
        <w:spacing w:after="0"/>
        <w:tabs>
          <w:tab w:leader="none" w:pos="8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of June 30, 2019, approximately 2.6 million common units remained available for future issuance under the SMLP LTIP.</w:t>
      </w:r>
    </w:p>
    <w:p>
      <w:pPr>
        <w:spacing w:after="0" w:line="108" w:lineRule="exact"/>
        <w:rPr>
          <w:rFonts w:ascii="Arial" w:cs="Arial" w:eastAsia="Arial" w:hAnsi="Arial"/>
          <w:sz w:val="18"/>
          <w:szCs w:val="18"/>
          <w:color w:val="auto"/>
        </w:rPr>
      </w:pPr>
    </w:p>
    <w:p>
      <w:pPr>
        <w:ind w:left="300" w:hanging="292"/>
        <w:spacing w:after="0"/>
        <w:tabs>
          <w:tab w:leader="none" w:pos="3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Acquisitions. </w:t>
      </w:r>
      <w:r>
        <w:rPr>
          <w:rFonts w:ascii="Arial" w:cs="Arial" w:eastAsia="Arial" w:hAnsi="Arial"/>
          <w:sz w:val="18"/>
          <w:szCs w:val="18"/>
          <w:color w:val="auto"/>
        </w:rPr>
        <w:t>See Notes 12 and 17 of the 2018 Annual Report.</w:t>
      </w:r>
    </w:p>
    <w:p>
      <w:pPr>
        <w:spacing w:after="0" w:line="104"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b w:val="1"/>
          <w:bCs w:val="1"/>
          <w:i w:val="1"/>
          <w:iCs w:val="1"/>
          <w:color w:val="auto"/>
        </w:rPr>
        <w:t xml:space="preserve">Reimbursement of Expenses from General Partner. </w:t>
      </w:r>
      <w:r>
        <w:rPr>
          <w:rFonts w:ascii="Arial" w:cs="Arial" w:eastAsia="Arial" w:hAnsi="Arial"/>
          <w:sz w:val="18"/>
          <w:szCs w:val="18"/>
          <w:color w:val="auto"/>
        </w:rPr>
        <w:t>Our General Partner and its affiliates do not receive a management fee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in connection with the management of our business, but will be reimbursed for expenses incurred on our behalf. Under our Partnership Agreement, we reimburse our General Partner and its affiliates for certain expenses incurred on our behalf, including, without limitation, salary, bonus, incentive compensation and other amounts paid to our General Partner's employees and executive officers who perform services necessary to run our business. Our Partnership Agreement provides that our General Partner will determine in good faith the expenses that are allocable to us. The "Due to affiliate" line item on the consolidated balance sheet represents the payables to our General Partner for expenses incurred by it and paid on our behalf.</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Expenses incurred by the General Partner and reimbursed by us under our Partnership Agreement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7,560</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7,114</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15,445</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14,737</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General and administrative expense</w:t>
            </w:r>
          </w:p>
        </w:tc>
        <w:tc>
          <w:tcPr>
            <w:tcW w:w="180" w:type="dxa"/>
            <w:vAlign w:val="bottom"/>
          </w:tcPr>
          <w:p>
            <w:pPr>
              <w:spacing w:after="0"/>
              <w:rPr>
                <w:sz w:val="19"/>
                <w:szCs w:val="19"/>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6,135</w:t>
            </w:r>
          </w:p>
        </w:tc>
        <w:tc>
          <w:tcPr>
            <w:tcW w:w="38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7,481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8"/>
                <w:szCs w:val="18"/>
                <w:color w:val="auto"/>
              </w:rPr>
              <w:t>16,965</w:t>
            </w:r>
          </w:p>
        </w:tc>
        <w:tc>
          <w:tcPr>
            <w:tcW w:w="400" w:type="dxa"/>
            <w:vAlign w:val="bottom"/>
          </w:tcPr>
          <w:p>
            <w:pPr>
              <w:spacing w:after="0"/>
              <w:rPr>
                <w:sz w:val="19"/>
                <w:szCs w:val="19"/>
                <w:color w:val="auto"/>
              </w:rPr>
            </w:pPr>
          </w:p>
        </w:tc>
        <w:tc>
          <w:tcPr>
            <w:tcW w:w="1020" w:type="dxa"/>
            <w:vAlign w:val="bottom"/>
          </w:tcPr>
          <w:p>
            <w:pPr>
              <w:jc w:val="right"/>
              <w:ind w:right="36"/>
              <w:spacing w:after="0"/>
              <w:rPr>
                <w:sz w:val="20"/>
                <w:szCs w:val="20"/>
                <w:color w:val="auto"/>
              </w:rPr>
            </w:pPr>
            <w:r>
              <w:rPr>
                <w:rFonts w:ascii="Arial" w:cs="Arial" w:eastAsia="Arial" w:hAnsi="Arial"/>
                <w:sz w:val="18"/>
                <w:szCs w:val="18"/>
                <w:color w:val="auto"/>
              </w:rPr>
              <w:t>15,598</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LEASES, COMMITMENTS AND CONTINGENCIES</w:t>
      </w:r>
    </w:p>
    <w:p>
      <w:pPr>
        <w:spacing w:after="0" w:line="104"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We account for leases in accordance with Topic 842, which we adopted on January 1, 2019, using the modified retrospective method.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modified retrospective method, the comparative information is not adjusted and is reported under the accounting standards in effect for those periods. See Note 2 for further discussion of the adoption.</w:t>
      </w:r>
    </w:p>
    <w:p>
      <w:pPr>
        <w:spacing w:after="0" w:line="83"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We and Summit Investments lease certain office space and equipment under operating leases. We lease office space for our corporate headquarters as well as for offices in and around our gathering systems for terms of between 3 and 10 years. We lease the office space to limit exposure to risks related to ownership, such as fluctuations in real estate prices. In addition, we lease equipment primarily to support our operations in response to the needs of our gathering systems for terms of between 3 and 4 years. We and Summit Investments also lease vehicles under finance leases to support our operations in response to the needs of our gathering systems for a term of 3 years. We only lease from reputable companies and our leased assets are not specialized in our industry.</w:t>
      </w:r>
    </w:p>
    <w:p>
      <w:pPr>
        <w:spacing w:after="0" w:line="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Some of our leases are subject to annual changes relating to the Consumer Price Index (“CPI”). While lease liabilities are not remeasured as a result of changes to the CPI, changes to the CPI are treated as variable lease payments and recognized in the period in which the obligation for those payments was incurred.</w:t>
      </w:r>
    </w:p>
    <w:p>
      <w:pPr>
        <w:spacing w:after="0" w:line="9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We have options to extend the lease term of certain office space in Texas, Colorado and West Virginia. The beginning of the noncancelable lease period for these leases range from 2014 to 2018 and the lease period ends between 2019 and 2021. These lease agreements contain between one and three options to renew the lease for a period of between two and five years. As of June 30, 2019, the exercise of the renewal options for these leases are not reasonably certain and, as a result, the payments associated with these renewals are not included in the measurement of the lease liability and ROU asset.</w:t>
      </w:r>
    </w:p>
    <w:p>
      <w:pPr>
        <w:spacing w:after="0" w:line="95"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We also have options to extend the lease term of certain compression equipment used at the Summit Utica gathering system. The beginning of the noncancelable lease period for these leases is 2017 and the lease period ends in 2020. Upon expiration of the noncancelable lease period, we have the option to renew the leases on a month-to-month basis; we therefore have not included any amounts attributable to renewals in the measurement.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leases do not contain residual value guarantees.</w:t>
      </w:r>
    </w:p>
    <w:p>
      <w:pPr>
        <w:spacing w:after="0" w:line="104"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color w:val="auto"/>
        </w:rPr>
        <w:t>In accordance with the provisions in our Revolving Credit Facility, our aggregate finance lease obligations cannot exceed the greater of $50 million or 5.5% of consolidated total assets in any period of twelve consecutive calendar months during the life of such leases.</w:t>
      </w:r>
    </w:p>
    <w:p>
      <w:pPr>
        <w:spacing w:after="0" w:line="8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In March 2019, we entered into an agreement with a third party vendor to construct a transmission line to deliver electric power to the new 60 MMcf/d processing plant under development in the DJ Basin. The project was expected to cost approximately $7.8 million and we made an up-front payment of $3.0 million which is included in the Property, plant and equipment, net caption on the unaudited condensed consolidated balance sheet. During the second quarter of 2019, we exercised an option to increase the capacity of the transmission line for an additional cost of $4.3 million and we issued an irrevocable standby letter of credit payable to the vendor with an initial term of one year totaling $9.1 million, which reflects the expected remaining cost of the project. The letter of credit will automatically renew for successive twelve month periods following the initial term, subject to certain adjustments. Once construction is complete, the letter of credit will be adjusted to reflect the final construction cost. We determined the contract contained a lease based on the right to use the constructed transmission line to power the processing plant in the DJ Basin. The project is expected to be completed and the commencement date of the ROU asset will be on or before July 1, 2020.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8" w:name="page29"/>
    <w:bookmarkEnd w:id="28"/>
    <w:p>
      <w:pPr>
        <w:ind w:right="300"/>
        <w:spacing w:after="0" w:line="246" w:lineRule="auto"/>
        <w:rPr>
          <w:sz w:val="20"/>
          <w:szCs w:val="20"/>
          <w:color w:val="auto"/>
        </w:rPr>
      </w:pPr>
      <w:r>
        <w:rPr>
          <w:rFonts w:ascii="Arial" w:cs="Arial" w:eastAsia="Arial" w:hAnsi="Arial"/>
          <w:sz w:val="18"/>
          <w:szCs w:val="18"/>
          <w:color w:val="auto"/>
        </w:rPr>
        <w:t>Our significant assumptions or judgments include the determination of whether a contract contains a lease and the discount rate used in our lease liabilities.</w:t>
      </w:r>
    </w:p>
    <w:p>
      <w:pPr>
        <w:spacing w:after="0" w:line="89"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The rate implicit in our lease contracts is not readily determinable. In determining the discount rate used in our lease liabilities, we analyzed certain factors in our incremental borrowing rate, including collateral assumptions and the term used. Our incremental borrowing rate on the Revolving Credit Facility was 5.03% at December 31, 2018, which reflects the fixed rate at which we could borrow a similar amount, for a similar term and with similar collateral as in the lease contracts at the commencement date.</w:t>
      </w:r>
    </w:p>
    <w:p>
      <w:pPr>
        <w:spacing w:after="0" w:line="9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adopted the following practical expedients in Topic 842 for all asset classes, which included (i) not being required to reassess whether any expired or existing contracts are or contain leases; (ii) not being required to reassess the lease classification for any expired or existing leases (that is, all existing leases that were classified as operating leases in accordance with Topic 840 will be classified as operating leases, and all existing leases that were classified as capital leases in accordance with Topic 840 will be classified as finance leases); (iii) not being required to reassess initial direct costs for any existing leases; (iv) not recognizing ROU assets and lease liabilities that arise from short-term leases of twelve months or less for any class of underlying asset; (v) not allocating consideration in a contract between lease and nonlease (e.g., maintenance services) components for our leased office space and equipment; and (vi) not evaluating existing or expired land easements that were not previously accounted for as leases under Topic 840.</w:t>
      </w:r>
    </w:p>
    <w:p>
      <w:pPr>
        <w:spacing w:after="0" w:line="100" w:lineRule="exact"/>
        <w:rPr>
          <w:sz w:val="20"/>
          <w:szCs w:val="20"/>
          <w:color w:val="auto"/>
        </w:rPr>
      </w:pPr>
    </w:p>
    <w:p>
      <w:pPr>
        <w:jc w:val="both"/>
        <w:ind w:right="280"/>
        <w:spacing w:after="0"/>
        <w:rPr>
          <w:sz w:val="20"/>
          <w:szCs w:val="20"/>
          <w:color w:val="auto"/>
        </w:rPr>
      </w:pPr>
      <w:r>
        <w:rPr>
          <w:rFonts w:ascii="Arial" w:cs="Arial" w:eastAsia="Arial" w:hAnsi="Arial"/>
          <w:sz w:val="18"/>
          <w:szCs w:val="18"/>
          <w:color w:val="auto"/>
        </w:rPr>
        <w:t>ROU assets (included in the Property, plant and equipment, net caption on our unaudited condensed consolidated balance sheet) and lease liabilities (included in the Other current liabilities and Other noncurrent liabilities captions on our unaudited condensed consolidated balance sheet) follow: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tcPr>
          <w:p>
            <w:pPr>
              <w:jc w:val="center"/>
              <w:ind w:right="994"/>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center"/>
              <w:ind w:right="101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20" w:type="dxa"/>
            <w:vAlign w:val="bottom"/>
            <w:gridSpan w:val="3"/>
          </w:tcPr>
          <w:p>
            <w:pPr>
              <w:jc w:val="center"/>
              <w:ind w:right="67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ROU assets</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5,136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4,061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9,197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current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 noncurrent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Finance</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324"/>
        </w:trPr>
        <w:tc>
          <w:tcPr>
            <w:tcW w:w="6520" w:type="dxa"/>
            <w:vAlign w:val="bottom"/>
            <w:gridSpan w:val="2"/>
          </w:tcPr>
          <w:p>
            <w:pPr>
              <w:spacing w:after="0"/>
              <w:rPr>
                <w:sz w:val="20"/>
                <w:szCs w:val="20"/>
                <w:color w:val="auto"/>
              </w:rPr>
            </w:pPr>
            <w:r>
              <w:rPr>
                <w:rFonts w:ascii="Arial" w:cs="Arial" w:eastAsia="Arial" w:hAnsi="Arial"/>
                <w:sz w:val="18"/>
                <w:szCs w:val="18"/>
                <w:color w:val="auto"/>
              </w:rPr>
              <w:t>Lease cost and Other information follow:</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jc w:val="right"/>
              <w:ind w:right="27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4"/>
                <w:szCs w:val="14"/>
                <w:b w:val="1"/>
                <w:bCs w:val="1"/>
                <w:color w:val="auto"/>
              </w:rPr>
              <w:t>June 30, 2019</w:t>
            </w:r>
          </w:p>
        </w:tc>
        <w:tc>
          <w:tcPr>
            <w:tcW w:w="1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0" w:type="dxa"/>
            <w:vAlign w:val="bottom"/>
            <w:gridSpan w:val="5"/>
          </w:tcPr>
          <w:p>
            <w:pPr>
              <w:jc w:val="right"/>
              <w:ind w:right="1594"/>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7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Finance lease cost:</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Amortization of ROU assets (included in depreciation and amortization)</w:t>
            </w: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407</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Interest on lease liabilities (included in interest expense)</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 (included in general and administrative expense)</w:t>
            </w:r>
          </w:p>
        </w:tc>
        <w:tc>
          <w:tcPr>
            <w:tcW w:w="70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745</w:t>
            </w:r>
          </w:p>
        </w:tc>
        <w:tc>
          <w:tcPr>
            <w:tcW w:w="18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1,577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120"/>
              <w:spacing w:after="0"/>
              <w:rPr>
                <w:sz w:val="20"/>
                <w:szCs w:val="20"/>
                <w:color w:val="auto"/>
              </w:rPr>
            </w:pPr>
            <w:r>
              <w:rPr>
                <w:rFonts w:ascii="Arial" w:cs="Arial" w:eastAsia="Arial" w:hAnsi="Arial"/>
                <w:sz w:val="18"/>
                <w:szCs w:val="18"/>
                <w:color w:val="auto"/>
              </w:rPr>
              <w:t>1,182</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54"/>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419"/>
        </w:trPr>
        <w:tc>
          <w:tcPr>
            <w:tcW w:w="6520" w:type="dxa"/>
            <w:vAlign w:val="bottom"/>
            <w:gridSpan w:val="2"/>
          </w:tcPr>
          <w:p>
            <w:pPr>
              <w:jc w:val="right"/>
              <w:ind w:right="610"/>
              <w:spacing w:after="0"/>
              <w:rPr>
                <w:sz w:val="20"/>
                <w:szCs w:val="20"/>
                <w:color w:val="auto"/>
              </w:rPr>
            </w:pPr>
            <w:r>
              <w:rPr>
                <w:rFonts w:ascii="Arial" w:cs="Arial" w:eastAsia="Arial" w:hAnsi="Arial"/>
                <w:sz w:val="18"/>
                <w:szCs w:val="18"/>
                <w:color w:val="auto"/>
              </w:rPr>
              <w:t>28</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5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7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90"/>
        </w:trPr>
        <w:tc>
          <w:tcPr>
            <w:tcW w:w="8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340" w:type="dxa"/>
            <w:vAlign w:val="bottom"/>
          </w:tcPr>
          <w:p>
            <w:pPr>
              <w:jc w:val="center"/>
              <w:ind w:right="454"/>
              <w:spacing w:after="0"/>
              <w:rPr>
                <w:sz w:val="20"/>
                <w:szCs w:val="20"/>
                <w:color w:val="auto"/>
              </w:rPr>
            </w:pPr>
            <w:r>
              <w:rPr>
                <w:rFonts w:ascii="Arial" w:cs="Arial" w:eastAsia="Arial" w:hAnsi="Arial"/>
                <w:sz w:val="14"/>
                <w:szCs w:val="14"/>
                <w:b w:val="1"/>
                <w:bCs w:val="1"/>
                <w:color w:val="auto"/>
              </w:rPr>
              <w:t>Six months ended</w:t>
            </w:r>
          </w:p>
        </w:tc>
      </w:tr>
      <w:tr>
        <w:trPr>
          <w:trHeight w:val="201"/>
        </w:trPr>
        <w:tc>
          <w:tcPr>
            <w:tcW w:w="87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center"/>
              <w:ind w:right="474"/>
              <w:spacing w:after="0"/>
              <w:rPr>
                <w:sz w:val="20"/>
                <w:szCs w:val="20"/>
                <w:color w:val="auto"/>
              </w:rPr>
            </w:pPr>
            <w:r>
              <w:rPr>
                <w:rFonts w:ascii="Arial" w:cs="Arial" w:eastAsia="Arial" w:hAnsi="Arial"/>
                <w:sz w:val="14"/>
                <w:szCs w:val="14"/>
                <w:b w:val="1"/>
                <w:bCs w:val="1"/>
                <w:color w:val="auto"/>
              </w:rPr>
              <w:t>June 30, 2019</w:t>
            </w:r>
          </w:p>
        </w:tc>
      </w:tr>
      <w:tr>
        <w:trPr>
          <w:trHeight w:val="210"/>
        </w:trPr>
        <w:tc>
          <w:tcPr>
            <w:tcW w:w="8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40" w:type="dxa"/>
            <w:vAlign w:val="bottom"/>
          </w:tcPr>
          <w:p>
            <w:pPr>
              <w:jc w:val="center"/>
              <w:ind w:right="454"/>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outflows from operating leases</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23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1,678</w:t>
            </w:r>
          </w:p>
        </w:tc>
      </w:tr>
      <w:tr>
        <w:trPr>
          <w:trHeight w:val="216"/>
        </w:trPr>
        <w:tc>
          <w:tcPr>
            <w:tcW w:w="8720" w:type="dxa"/>
            <w:vAlign w:val="bottom"/>
          </w:tcPr>
          <w:p>
            <w:pPr>
              <w:ind w:left="140"/>
              <w:spacing w:after="0"/>
              <w:rPr>
                <w:sz w:val="20"/>
                <w:szCs w:val="20"/>
                <w:color w:val="auto"/>
              </w:rPr>
            </w:pPr>
            <w:r>
              <w:rPr>
                <w:rFonts w:ascii="Arial" w:cs="Arial" w:eastAsia="Arial" w:hAnsi="Arial"/>
                <w:sz w:val="18"/>
                <w:szCs w:val="18"/>
                <w:color w:val="auto"/>
              </w:rPr>
              <w:t>Operating cash outflows from finance leases</w:t>
            </w:r>
          </w:p>
        </w:tc>
        <w:tc>
          <w:tcPr>
            <w:tcW w:w="360" w:type="dxa"/>
            <w:vAlign w:val="bottom"/>
          </w:tcPr>
          <w:p>
            <w:pPr>
              <w:spacing w:after="0"/>
              <w:rPr>
                <w:sz w:val="18"/>
                <w:szCs w:val="18"/>
                <w:color w:val="auto"/>
              </w:rPr>
            </w:pPr>
          </w:p>
        </w:tc>
        <w:tc>
          <w:tcPr>
            <w:tcW w:w="2340" w:type="dxa"/>
            <w:vAlign w:val="bottom"/>
          </w:tcPr>
          <w:p>
            <w:pPr>
              <w:jc w:val="right"/>
              <w:ind w:right="94"/>
              <w:spacing w:after="0"/>
              <w:rPr>
                <w:sz w:val="20"/>
                <w:szCs w:val="20"/>
                <w:color w:val="auto"/>
              </w:rPr>
            </w:pPr>
            <w:r>
              <w:rPr>
                <w:rFonts w:ascii="Arial" w:cs="Arial" w:eastAsia="Arial" w:hAnsi="Arial"/>
                <w:sz w:val="18"/>
                <w:szCs w:val="18"/>
                <w:color w:val="auto"/>
              </w:rPr>
              <w:t>53</w:t>
            </w:r>
          </w:p>
        </w:tc>
      </w:tr>
      <w:tr>
        <w:trPr>
          <w:trHeight w:val="216"/>
        </w:trPr>
        <w:tc>
          <w:tcPr>
            <w:tcW w:w="87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Financing cash outflows from finance leases</w:t>
            </w:r>
          </w:p>
        </w:tc>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915</w:t>
            </w:r>
          </w:p>
        </w:tc>
      </w:tr>
      <w:tr>
        <w:trPr>
          <w:trHeight w:val="215"/>
        </w:trPr>
        <w:tc>
          <w:tcPr>
            <w:tcW w:w="8720" w:type="dxa"/>
            <w:vAlign w:val="bottom"/>
          </w:tcPr>
          <w:p>
            <w:pPr>
              <w:spacing w:after="0"/>
              <w:rPr>
                <w:sz w:val="20"/>
                <w:szCs w:val="20"/>
                <w:color w:val="auto"/>
              </w:rPr>
            </w:pPr>
            <w:r>
              <w:rPr>
                <w:rFonts w:ascii="Arial" w:cs="Arial" w:eastAsia="Arial" w:hAnsi="Arial"/>
                <w:sz w:val="18"/>
                <w:szCs w:val="18"/>
                <w:color w:val="auto"/>
              </w:rPr>
              <w:t>ROU assets obtained in exchange for new operating lease</w:t>
            </w:r>
          </w:p>
        </w:tc>
        <w:tc>
          <w:tcPr>
            <w:tcW w:w="360" w:type="dxa"/>
            <w:vAlign w:val="bottom"/>
          </w:tcPr>
          <w:p>
            <w:pPr>
              <w:spacing w:after="0"/>
              <w:rPr>
                <w:sz w:val="18"/>
                <w:szCs w:val="18"/>
                <w:color w:val="auto"/>
              </w:rPr>
            </w:pPr>
          </w:p>
        </w:tc>
        <w:tc>
          <w:tcPr>
            <w:tcW w:w="2340" w:type="dxa"/>
            <w:vAlign w:val="bottom"/>
          </w:tcPr>
          <w:p>
            <w:pPr>
              <w:spacing w:after="0"/>
              <w:rPr>
                <w:sz w:val="18"/>
                <w:szCs w:val="18"/>
                <w:color w:val="auto"/>
              </w:rPr>
            </w:pPr>
          </w:p>
        </w:tc>
      </w:tr>
      <w:tr>
        <w:trPr>
          <w:trHeight w:val="203"/>
        </w:trPr>
        <w:tc>
          <w:tcPr>
            <w:tcW w:w="8720" w:type="dxa"/>
            <w:vAlign w:val="bottom"/>
          </w:tcPr>
          <w:p>
            <w:pPr>
              <w:ind w:left="100"/>
              <w:spacing w:after="0" w:line="203" w:lineRule="exact"/>
              <w:rPr>
                <w:sz w:val="20"/>
                <w:szCs w:val="20"/>
                <w:color w:val="auto"/>
              </w:rPr>
            </w:pPr>
            <w:r>
              <w:rPr>
                <w:rFonts w:ascii="Arial" w:cs="Arial" w:eastAsia="Arial" w:hAnsi="Arial"/>
                <w:sz w:val="18"/>
                <w:szCs w:val="18"/>
                <w:color w:val="auto"/>
              </w:rPr>
              <w:t>liabilities</w:t>
            </w:r>
          </w:p>
        </w:tc>
        <w:tc>
          <w:tcPr>
            <w:tcW w:w="360" w:type="dxa"/>
            <w:vAlign w:val="bottom"/>
          </w:tcPr>
          <w:p>
            <w:pPr>
              <w:spacing w:after="0"/>
              <w:rPr>
                <w:sz w:val="17"/>
                <w:szCs w:val="17"/>
                <w:color w:val="auto"/>
              </w:rPr>
            </w:pPr>
          </w:p>
        </w:tc>
        <w:tc>
          <w:tcPr>
            <w:tcW w:w="2340" w:type="dxa"/>
            <w:vAlign w:val="bottom"/>
          </w:tcPr>
          <w:p>
            <w:pPr>
              <w:jc w:val="right"/>
              <w:ind w:right="94"/>
              <w:spacing w:after="0" w:line="203" w:lineRule="exact"/>
              <w:rPr>
                <w:sz w:val="20"/>
                <w:szCs w:val="20"/>
                <w:color w:val="auto"/>
              </w:rPr>
            </w:pPr>
            <w:r>
              <w:rPr>
                <w:rFonts w:ascii="Arial" w:cs="Arial" w:eastAsia="Arial" w:hAnsi="Arial"/>
                <w:sz w:val="18"/>
                <w:szCs w:val="18"/>
                <w:color w:val="auto"/>
              </w:rPr>
              <w:t>1,218</w:t>
            </w:r>
          </w:p>
        </w:tc>
      </w:tr>
      <w:tr>
        <w:trPr>
          <w:trHeight w:val="215"/>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ROU assets obtained in exchange for new finance lease</w:t>
            </w:r>
          </w:p>
        </w:tc>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spacing w:after="0"/>
              <w:rPr>
                <w:sz w:val="18"/>
                <w:szCs w:val="18"/>
                <w:color w:val="auto"/>
              </w:rPr>
            </w:pPr>
          </w:p>
        </w:tc>
      </w:tr>
      <w:tr>
        <w:trPr>
          <w:trHeight w:val="203"/>
        </w:trPr>
        <w:tc>
          <w:tcPr>
            <w:tcW w:w="8720" w:type="dxa"/>
            <w:vAlign w:val="bottom"/>
            <w:shd w:val="clear" w:color="auto" w:fill="CFF0FC"/>
          </w:tcPr>
          <w:p>
            <w:pPr>
              <w:ind w:left="100"/>
              <w:spacing w:after="0" w:line="203" w:lineRule="exact"/>
              <w:rPr>
                <w:sz w:val="20"/>
                <w:szCs w:val="20"/>
                <w:color w:val="auto"/>
              </w:rPr>
            </w:pPr>
            <w:r>
              <w:rPr>
                <w:rFonts w:ascii="Arial" w:cs="Arial" w:eastAsia="Arial" w:hAnsi="Arial"/>
                <w:sz w:val="18"/>
                <w:szCs w:val="18"/>
                <w:color w:val="auto"/>
              </w:rPr>
              <w:t>liabilities</w:t>
            </w:r>
          </w:p>
        </w:tc>
        <w:tc>
          <w:tcPr>
            <w:tcW w:w="360" w:type="dxa"/>
            <w:vAlign w:val="bottom"/>
            <w:shd w:val="clear" w:color="auto" w:fill="CFF0FC"/>
          </w:tcPr>
          <w:p>
            <w:pPr>
              <w:spacing w:after="0"/>
              <w:rPr>
                <w:sz w:val="17"/>
                <w:szCs w:val="17"/>
                <w:color w:val="auto"/>
              </w:rPr>
            </w:pPr>
          </w:p>
        </w:tc>
        <w:tc>
          <w:tcPr>
            <w:tcW w:w="2340" w:type="dxa"/>
            <w:vAlign w:val="bottom"/>
            <w:shd w:val="clear" w:color="auto" w:fill="CFF0FC"/>
          </w:tcPr>
          <w:p>
            <w:pPr>
              <w:jc w:val="right"/>
              <w:ind w:right="94"/>
              <w:spacing w:after="0" w:line="203" w:lineRule="exact"/>
              <w:rPr>
                <w:sz w:val="20"/>
                <w:szCs w:val="20"/>
                <w:color w:val="auto"/>
              </w:rPr>
            </w:pPr>
            <w:r>
              <w:rPr>
                <w:rFonts w:ascii="Arial" w:cs="Arial" w:eastAsia="Arial" w:hAnsi="Arial"/>
                <w:sz w:val="18"/>
                <w:szCs w:val="18"/>
                <w:color w:val="auto"/>
              </w:rPr>
              <w:t>1,292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remaining lease term (years) - operating leases</w:t>
            </w:r>
          </w:p>
        </w:tc>
        <w:tc>
          <w:tcPr>
            <w:tcW w:w="360" w:type="dxa"/>
            <w:vAlign w:val="bottom"/>
          </w:tcPr>
          <w:p>
            <w:pPr>
              <w:spacing w:after="0"/>
              <w:rPr>
                <w:sz w:val="18"/>
                <w:szCs w:val="18"/>
                <w:color w:val="auto"/>
              </w:rPr>
            </w:pPr>
          </w:p>
        </w:tc>
        <w:tc>
          <w:tcPr>
            <w:tcW w:w="2340" w:type="dxa"/>
            <w:vAlign w:val="bottom"/>
          </w:tcPr>
          <w:p>
            <w:pPr>
              <w:jc w:val="right"/>
              <w:ind w:right="94"/>
              <w:spacing w:after="0"/>
              <w:rPr>
                <w:sz w:val="20"/>
                <w:szCs w:val="20"/>
                <w:color w:val="auto"/>
              </w:rPr>
            </w:pPr>
            <w:r>
              <w:rPr>
                <w:rFonts w:ascii="Arial" w:cs="Arial" w:eastAsia="Arial" w:hAnsi="Arial"/>
                <w:sz w:val="18"/>
                <w:szCs w:val="18"/>
                <w:color w:val="auto"/>
              </w:rPr>
              <w:t>4.9</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remaining lease term (years) - finance leases</w:t>
            </w:r>
          </w:p>
        </w:tc>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jc w:val="right"/>
              <w:ind w:right="94"/>
              <w:spacing w:after="0"/>
              <w:rPr>
                <w:sz w:val="20"/>
                <w:szCs w:val="20"/>
                <w:color w:val="auto"/>
              </w:rPr>
            </w:pPr>
            <w:r>
              <w:rPr>
                <w:rFonts w:ascii="Arial" w:cs="Arial" w:eastAsia="Arial" w:hAnsi="Arial"/>
                <w:sz w:val="18"/>
                <w:szCs w:val="18"/>
                <w:color w:val="auto"/>
              </w:rPr>
              <w:t>2.0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Weighted-average discount rate - operating leases</w:t>
            </w:r>
          </w:p>
        </w:tc>
        <w:tc>
          <w:tcPr>
            <w:tcW w:w="360" w:type="dxa"/>
            <w:vAlign w:val="bottom"/>
          </w:tcPr>
          <w:p>
            <w:pPr>
              <w:spacing w:after="0"/>
              <w:rPr>
                <w:sz w:val="18"/>
                <w:szCs w:val="18"/>
                <w:color w:val="auto"/>
              </w:rPr>
            </w:pPr>
          </w:p>
        </w:tc>
        <w:tc>
          <w:tcPr>
            <w:tcW w:w="2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720" w:type="dxa"/>
            <w:vAlign w:val="bottom"/>
            <w:shd w:val="clear" w:color="auto" w:fill="CFF0FC"/>
          </w:tcPr>
          <w:p>
            <w:pPr>
              <w:spacing w:after="0"/>
              <w:rPr>
                <w:sz w:val="20"/>
                <w:szCs w:val="20"/>
                <w:color w:val="auto"/>
              </w:rPr>
            </w:pPr>
            <w:r>
              <w:rPr>
                <w:rFonts w:ascii="Arial" w:cs="Arial" w:eastAsia="Arial" w:hAnsi="Arial"/>
                <w:sz w:val="18"/>
                <w:szCs w:val="18"/>
                <w:color w:val="auto"/>
              </w:rPr>
              <w:t>Weighted-average discount rate - finance leases</w:t>
            </w:r>
          </w:p>
        </w:tc>
        <w:tc>
          <w:tcPr>
            <w:tcW w:w="36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r>
    </w:tbl>
    <w:p>
      <w:pPr>
        <w:spacing w:after="0" w:line="121"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We recognize total lease expense incurred or allocated to us in general and administrative expenses. Lease expense related to operating leases, including lease expense incurred on our behalf and allocated to us,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302"/>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9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r>
      <w:tr>
        <w:trPr>
          <w:trHeight w:val="210"/>
        </w:trPr>
        <w:tc>
          <w:tcPr>
            <w:tcW w:w="5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20" w:type="dxa"/>
            <w:vAlign w:val="bottom"/>
            <w:gridSpan w:val="4"/>
          </w:tcPr>
          <w:p>
            <w:pPr>
              <w:jc w:val="right"/>
              <w:ind w:right="822"/>
              <w:spacing w:after="0"/>
              <w:rPr>
                <w:sz w:val="20"/>
                <w:szCs w:val="20"/>
                <w:color w:val="auto"/>
              </w:rPr>
            </w:pPr>
            <w:r>
              <w:rPr>
                <w:rFonts w:ascii="Arial" w:cs="Arial" w:eastAsia="Arial" w:hAnsi="Arial"/>
                <w:sz w:val="14"/>
                <w:szCs w:val="14"/>
                <w:b w:val="1"/>
                <w:bCs w:val="1"/>
                <w:color w:val="auto"/>
              </w:rPr>
              <w:t>(In thousands)</w:t>
            </w: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920" w:type="dxa"/>
            <w:vAlign w:val="bottom"/>
            <w:shd w:val="clear" w:color="auto" w:fill="CFF0FC"/>
          </w:tcPr>
          <w:p>
            <w:pPr>
              <w:spacing w:after="0"/>
              <w:rPr>
                <w:sz w:val="20"/>
                <w:szCs w:val="20"/>
                <w:color w:val="auto"/>
              </w:rPr>
            </w:pPr>
            <w:r>
              <w:rPr>
                <w:rFonts w:ascii="Arial" w:cs="Arial" w:eastAsia="Arial" w:hAnsi="Arial"/>
                <w:sz w:val="18"/>
                <w:szCs w:val="18"/>
                <w:color w:val="auto"/>
              </w:rPr>
              <w:t>Lease expense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986</w:t>
            </w:r>
          </w:p>
        </w:tc>
        <w:tc>
          <w:tcPr>
            <w:tcW w:w="3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956</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1,930</w:t>
            </w:r>
          </w:p>
        </w:tc>
        <w:tc>
          <w:tcPr>
            <w:tcW w:w="40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1,978</w:t>
            </w:r>
          </w:p>
        </w:tc>
      </w:tr>
    </w:tbl>
    <w:p>
      <w:pPr>
        <w:spacing w:after="0" w:line="107"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Future minimum lease payments due under noncancelable leases for the remainder of 2019 and each of the five succeeding fiscal years and thereafter,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 2019</w:t>
            </w:r>
          </w:p>
        </w:tc>
        <w:tc>
          <w:tcPr>
            <w:tcW w:w="1280" w:type="dxa"/>
            <w:vAlign w:val="bottom"/>
            <w:tcBorders>
              <w:bottom w:val="single" w:sz="8" w:color="auto"/>
            </w:tcBorders>
          </w:tcPr>
          <w:p>
            <w:pPr>
              <w:spacing w:after="0"/>
              <w:rPr>
                <w:sz w:val="15"/>
                <w:szCs w:val="15"/>
                <w:color w:val="auto"/>
              </w:rPr>
            </w:pPr>
          </w:p>
        </w:tc>
      </w:tr>
      <w:tr>
        <w:trPr>
          <w:trHeight w:val="225"/>
        </w:trPr>
        <w:tc>
          <w:tcPr>
            <w:tcW w:w="54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280" w:type="dxa"/>
            <w:vAlign w:val="bottom"/>
          </w:tcPr>
          <w:p>
            <w:pPr>
              <w:spacing w:after="0"/>
              <w:rPr>
                <w:sz w:val="19"/>
                <w:szCs w:val="19"/>
                <w:color w:val="auto"/>
              </w:rPr>
            </w:pPr>
          </w:p>
        </w:tc>
      </w:tr>
      <w:tr>
        <w:trPr>
          <w:trHeight w:val="201"/>
        </w:trPr>
        <w:tc>
          <w:tcPr>
            <w:tcW w:w="548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gridSpan w:val="2"/>
          </w:tcPr>
          <w:p>
            <w:pPr>
              <w:ind w:left="160"/>
              <w:spacing w:after="0"/>
              <w:rPr>
                <w:sz w:val="20"/>
                <w:szCs w:val="20"/>
                <w:color w:val="auto"/>
              </w:rPr>
            </w:pPr>
            <w:r>
              <w:rPr>
                <w:rFonts w:ascii="Arial" w:cs="Arial" w:eastAsia="Arial" w:hAnsi="Arial"/>
                <w:sz w:val="14"/>
                <w:szCs w:val="14"/>
                <w:b w:val="1"/>
                <w:bCs w:val="1"/>
                <w:color w:val="auto"/>
              </w:rPr>
              <w:t>Operating</w:t>
            </w:r>
          </w:p>
        </w:tc>
        <w:tc>
          <w:tcPr>
            <w:tcW w:w="440" w:type="dxa"/>
            <w:vAlign w:val="bottom"/>
          </w:tcPr>
          <w:p>
            <w:pPr>
              <w:spacing w:after="0"/>
              <w:rPr>
                <w:sz w:val="17"/>
                <w:szCs w:val="17"/>
                <w:color w:val="auto"/>
              </w:rPr>
            </w:pPr>
          </w:p>
        </w:tc>
        <w:tc>
          <w:tcPr>
            <w:tcW w:w="1280" w:type="dxa"/>
            <w:vAlign w:val="bottom"/>
          </w:tcPr>
          <w:p>
            <w:pPr>
              <w:jc w:val="right"/>
              <w:ind w:right="572"/>
              <w:spacing w:after="0"/>
              <w:rPr>
                <w:sz w:val="20"/>
                <w:szCs w:val="20"/>
                <w:color w:val="auto"/>
              </w:rPr>
            </w:pPr>
            <w:r>
              <w:rPr>
                <w:rFonts w:ascii="Arial" w:cs="Arial" w:eastAsia="Arial" w:hAnsi="Arial"/>
                <w:sz w:val="14"/>
                <w:szCs w:val="14"/>
                <w:b w:val="1"/>
                <w:bCs w:val="1"/>
                <w:color w:val="auto"/>
              </w:rPr>
              <w:t>Finance</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6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1,738</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898</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2020</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1,606</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1,348</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1,001</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621</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2022</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538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70</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2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2024</w:t>
            </w:r>
          </w:p>
        </w:tc>
        <w:tc>
          <w:tcPr>
            <w:tcW w:w="2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Thereafter</w:t>
            </w:r>
          </w:p>
        </w:tc>
        <w:tc>
          <w:tcPr>
            <w:tcW w:w="236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895</w:t>
            </w:r>
          </w:p>
        </w:tc>
        <w:tc>
          <w:tcPr>
            <w:tcW w:w="180" w:type="dxa"/>
            <w:vAlign w:val="bottom"/>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r>
      <w:tr>
        <w:trPr>
          <w:trHeight w:val="210"/>
        </w:trPr>
        <w:tc>
          <w:tcPr>
            <w:tcW w:w="5480" w:type="dxa"/>
            <w:vAlign w:val="bottom"/>
          </w:tcPr>
          <w:p>
            <w:pPr>
              <w:ind w:left="140"/>
              <w:spacing w:after="0"/>
              <w:rPr>
                <w:sz w:val="20"/>
                <w:szCs w:val="20"/>
                <w:color w:val="auto"/>
              </w:rPr>
            </w:pPr>
            <w:r>
              <w:rPr>
                <w:rFonts w:ascii="Arial" w:cs="Arial" w:eastAsia="Arial" w:hAnsi="Arial"/>
                <w:sz w:val="18"/>
                <w:szCs w:val="18"/>
                <w:color w:val="auto"/>
              </w:rPr>
              <w:t>Total future minimum lease payments</w:t>
            </w:r>
          </w:p>
        </w:tc>
        <w:tc>
          <w:tcPr>
            <w:tcW w:w="2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35"/>
              <w:spacing w:after="0"/>
              <w:rPr>
                <w:sz w:val="20"/>
                <w:szCs w:val="20"/>
                <w:color w:val="auto"/>
              </w:rPr>
            </w:pPr>
            <w:r>
              <w:rPr>
                <w:rFonts w:ascii="Arial" w:cs="Arial" w:eastAsia="Arial" w:hAnsi="Arial"/>
                <w:sz w:val="18"/>
                <w:szCs w:val="18"/>
                <w:color w:val="auto"/>
              </w:rPr>
              <w:t>6,418</w:t>
            </w:r>
          </w:p>
        </w:tc>
        <w:tc>
          <w:tcPr>
            <w:tcW w:w="18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52"/>
              <w:spacing w:after="0"/>
              <w:rPr>
                <w:sz w:val="20"/>
                <w:szCs w:val="20"/>
                <w:color w:val="auto"/>
              </w:rPr>
            </w:pPr>
            <w:r>
              <w:rPr>
                <w:rFonts w:ascii="Arial" w:cs="Arial" w:eastAsia="Arial" w:hAnsi="Arial"/>
                <w:sz w:val="18"/>
                <w:szCs w:val="18"/>
                <w:color w:val="auto"/>
              </w:rPr>
              <w:t>2,937</w:t>
            </w:r>
          </w:p>
        </w:tc>
      </w:tr>
      <w:tr>
        <w:trPr>
          <w:trHeight w:val="20"/>
        </w:trPr>
        <w:tc>
          <w:tcPr>
            <w:tcW w:w="54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due under noncancelable operating leases (under ASC 840) at December 31, 2018,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60" w:type="dxa"/>
            <w:vAlign w:val="bottom"/>
          </w:tcPr>
          <w:p>
            <w:pPr>
              <w:spacing w:after="0"/>
              <w:rPr>
                <w:sz w:val="16"/>
                <w:szCs w:val="16"/>
                <w:color w:val="auto"/>
              </w:rPr>
            </w:pPr>
          </w:p>
        </w:tc>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5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3,133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2020</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1,018</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2022</w:t>
            </w: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50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0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0"/>
        </w:trPr>
        <w:tc>
          <w:tcPr>
            <w:tcW w:w="43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Total future minimum lease payments</w:t>
            </w:r>
          </w:p>
        </w:tc>
        <w:tc>
          <w:tcPr>
            <w:tcW w:w="5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6,201</w:t>
            </w:r>
          </w:p>
        </w:tc>
        <w:tc>
          <w:tcPr>
            <w:tcW w:w="0" w:type="dxa"/>
            <w:vAlign w:val="bottom"/>
          </w:tcPr>
          <w:p>
            <w:pPr>
              <w:spacing w:after="0"/>
              <w:rPr>
                <w:sz w:val="1"/>
                <w:szCs w:val="1"/>
                <w:color w:val="auto"/>
              </w:rPr>
            </w:pPr>
          </w:p>
        </w:tc>
      </w:tr>
      <w:tr>
        <w:trPr>
          <w:trHeight w:val="20"/>
        </w:trPr>
        <w:tc>
          <w:tcPr>
            <w:tcW w:w="4360" w:type="dxa"/>
            <w:vAlign w:val="bottom"/>
            <w:tcBorders>
              <w:top w:val="single" w:sz="8" w:color="CFF0FC"/>
            </w:tcBorders>
          </w:tcPr>
          <w:p>
            <w:pPr>
              <w:spacing w:after="0" w:line="20" w:lineRule="exact"/>
              <w:rPr>
                <w:sz w:val="1"/>
                <w:szCs w:val="1"/>
                <w:color w:val="auto"/>
              </w:rPr>
            </w:pPr>
          </w:p>
        </w:tc>
        <w:tc>
          <w:tcPr>
            <w:tcW w:w="5040" w:type="dxa"/>
            <w:vAlign w:val="bottom"/>
            <w:tcBorders>
              <w:top w:val="single" w:sz="8" w:color="CFF0FC"/>
              <w:bottom w:val="single" w:sz="8" w:color="CFF0FC"/>
            </w:tcBorders>
            <w:vMerge w:val="restart"/>
          </w:tcPr>
          <w:p>
            <w:pPr>
              <w:jc w:val="right"/>
              <w:ind w:right="3490"/>
              <w:spacing w:after="0"/>
              <w:rPr>
                <w:sz w:val="20"/>
                <w:szCs w:val="20"/>
                <w:color w:val="auto"/>
              </w:rPr>
            </w:pPr>
            <w:r>
              <w:rPr>
                <w:rFonts w:ascii="Arial" w:cs="Arial" w:eastAsia="Arial" w:hAnsi="Arial"/>
                <w:sz w:val="18"/>
                <w:szCs w:val="18"/>
                <w:color w:val="auto"/>
              </w:rPr>
              <w:t>29</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360" w:type="dxa"/>
            <w:vAlign w:val="bottom"/>
          </w:tcPr>
          <w:p>
            <w:pPr>
              <w:spacing w:after="0"/>
              <w:rPr>
                <w:sz w:val="24"/>
                <w:szCs w:val="24"/>
                <w:color w:val="auto"/>
              </w:rPr>
            </w:pPr>
          </w:p>
        </w:tc>
        <w:tc>
          <w:tcPr>
            <w:tcW w:w="50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360" w:type="dxa"/>
            <w:vAlign w:val="bottom"/>
            <w:tcBorders>
              <w:bottom w:val="single" w:sz="8" w:color="9A9A9A"/>
            </w:tcBorders>
          </w:tcPr>
          <w:p>
            <w:pPr>
              <w:spacing w:after="0"/>
              <w:rPr>
                <w:sz w:val="8"/>
                <w:szCs w:val="8"/>
                <w:color w:val="auto"/>
              </w:rPr>
            </w:pPr>
          </w:p>
        </w:tc>
        <w:tc>
          <w:tcPr>
            <w:tcW w:w="50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7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Future payments due under finance leases (under ASC 840) at December 31, 2018,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December 31,</w:t>
            </w:r>
          </w:p>
        </w:tc>
      </w:tr>
      <w:tr>
        <w:trPr>
          <w:trHeight w:val="201"/>
        </w:trPr>
        <w:tc>
          <w:tcPr>
            <w:tcW w:w="94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rPr>
              <w:t>2018</w:t>
            </w:r>
          </w:p>
        </w:tc>
      </w:tr>
      <w:tr>
        <w:trPr>
          <w:trHeight w:val="210"/>
        </w:trPr>
        <w:tc>
          <w:tcPr>
            <w:tcW w:w="9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tcPr>
          <w:p>
            <w:pPr>
              <w:jc w:val="center"/>
              <w:ind w:right="315"/>
              <w:spacing w:after="0"/>
              <w:rPr>
                <w:sz w:val="20"/>
                <w:szCs w:val="20"/>
                <w:color w:val="auto"/>
              </w:rPr>
            </w:pPr>
            <w:r>
              <w:rPr>
                <w:rFonts w:ascii="Arial" w:cs="Arial" w:eastAsia="Arial" w:hAnsi="Arial"/>
                <w:sz w:val="14"/>
                <w:szCs w:val="14"/>
                <w:b w:val="1"/>
                <w:bCs w:val="1"/>
                <w:color w:val="auto"/>
              </w:rPr>
              <w:t>(In thousands)</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1,473</w:t>
            </w: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2020</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902</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174</w:t>
            </w:r>
          </w:p>
        </w:tc>
      </w:tr>
      <w:tr>
        <w:trPr>
          <w:trHeight w:val="210"/>
        </w:trPr>
        <w:tc>
          <w:tcPr>
            <w:tcW w:w="9400" w:type="dxa"/>
            <w:vAlign w:val="bottom"/>
          </w:tcPr>
          <w:p>
            <w:pPr>
              <w:ind w:left="140"/>
              <w:spacing w:after="0"/>
              <w:rPr>
                <w:sz w:val="20"/>
                <w:szCs w:val="20"/>
                <w:color w:val="auto"/>
              </w:rPr>
            </w:pPr>
            <w:r>
              <w:rPr>
                <w:rFonts w:ascii="Arial" w:cs="Arial" w:eastAsia="Arial" w:hAnsi="Arial"/>
                <w:sz w:val="18"/>
                <w:szCs w:val="18"/>
                <w:color w:val="auto"/>
              </w:rPr>
              <w:t>Total finance lease obligations</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2,549</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Less: Amounts representing interest</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Net present value of finance lease obligations</w:t>
            </w:r>
          </w:p>
        </w:tc>
        <w:tc>
          <w:tcPr>
            <w:tcW w:w="280" w:type="dxa"/>
            <w:vAlign w:val="bottom"/>
          </w:tcPr>
          <w:p>
            <w:pPr>
              <w:spacing w:after="0"/>
              <w:rPr>
                <w:sz w:val="18"/>
                <w:szCs w:val="18"/>
                <w:color w:val="auto"/>
              </w:rPr>
            </w:pPr>
          </w:p>
        </w:tc>
        <w:tc>
          <w:tcPr>
            <w:tcW w:w="1740" w:type="dxa"/>
            <w:vAlign w:val="bottom"/>
          </w:tcPr>
          <w:p>
            <w:pPr>
              <w:jc w:val="right"/>
              <w:ind w:right="35"/>
              <w:spacing w:after="0"/>
              <w:rPr>
                <w:sz w:val="20"/>
                <w:szCs w:val="20"/>
                <w:color w:val="auto"/>
              </w:rPr>
            </w:pPr>
            <w:r>
              <w:rPr>
                <w:rFonts w:ascii="Arial" w:cs="Arial" w:eastAsia="Arial" w:hAnsi="Arial"/>
                <w:sz w:val="18"/>
                <w:szCs w:val="18"/>
                <w:color w:val="auto"/>
              </w:rPr>
              <w:t>2,445</w:t>
            </w:r>
          </w:p>
        </w:tc>
      </w:tr>
      <w:tr>
        <w:trPr>
          <w:trHeight w:val="216"/>
        </w:trPr>
        <w:tc>
          <w:tcPr>
            <w:tcW w:w="9400" w:type="dxa"/>
            <w:vAlign w:val="bottom"/>
            <w:shd w:val="clear" w:color="auto" w:fill="CFF0FC"/>
          </w:tcPr>
          <w:p>
            <w:pPr>
              <w:spacing w:after="0"/>
              <w:rPr>
                <w:sz w:val="20"/>
                <w:szCs w:val="20"/>
                <w:color w:val="auto"/>
              </w:rPr>
            </w:pPr>
            <w:r>
              <w:rPr>
                <w:rFonts w:ascii="Arial" w:cs="Arial" w:eastAsia="Arial" w:hAnsi="Arial"/>
                <w:sz w:val="18"/>
                <w:szCs w:val="18"/>
                <w:color w:val="auto"/>
              </w:rPr>
              <w:t>Less: Amount representing current portion (included in Other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w:t>
            </w:r>
          </w:p>
        </w:tc>
      </w:tr>
      <w:tr>
        <w:trPr>
          <w:trHeight w:val="210"/>
        </w:trPr>
        <w:tc>
          <w:tcPr>
            <w:tcW w:w="9400" w:type="dxa"/>
            <w:vAlign w:val="bottom"/>
          </w:tcPr>
          <w:p>
            <w:pPr>
              <w:spacing w:after="0"/>
              <w:rPr>
                <w:sz w:val="20"/>
                <w:szCs w:val="20"/>
                <w:color w:val="auto"/>
              </w:rPr>
            </w:pPr>
            <w:r>
              <w:rPr>
                <w:rFonts w:ascii="Arial" w:cs="Arial" w:eastAsia="Arial" w:hAnsi="Arial"/>
                <w:sz w:val="18"/>
                <w:szCs w:val="18"/>
                <w:color w:val="auto"/>
              </w:rPr>
              <w:t>Finance lease obligations, less current portion (included in Other noncurrent liabilities)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1,039</w:t>
            </w:r>
          </w:p>
        </w:tc>
      </w:tr>
      <w:tr>
        <w:trPr>
          <w:trHeight w:val="20"/>
        </w:trPr>
        <w:tc>
          <w:tcPr>
            <w:tcW w:w="9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Although we believe that we are in material compliance with applicable environmental regulations, the risk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environmental remediation costs and liabilities are inherent in pipeline ownership and operation. Furthermore, we can provide no assurances that significant environmental remediation costs and liabilities will not be incurred by the Partnership in the future. We are currently not aware of any material contingent liabilities that exist with respect to environmental matters, except as noted below.</w:t>
      </w:r>
    </w:p>
    <w:p>
      <w:pPr>
        <w:spacing w:after="0" w:line="8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As described in the 2018 Annual Report, in 2015, Summit Investments learned of the rupture of a four-inch produced water gathering pipeline on the Meadowlark Midstream system near Williston, North Dakota. The incident, which was covered by Summit Investments' insurance policies, was subject to maximum coverage of $25.0 million from its pollution liability insurance policy and $200.0 million from its property and business interruption insurance policy. Summit Investments exhausted the $25.0 million pollution liability policy in 2015.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 rollforward of the aggregate accrued environmental remediation liabilities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96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Total</w:t>
            </w:r>
          </w:p>
        </w:tc>
      </w:tr>
      <w:tr>
        <w:trPr>
          <w:trHeight w:val="210"/>
        </w:trPr>
        <w:tc>
          <w:tcPr>
            <w:tcW w:w="966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(In thousands)</w:t>
            </w:r>
          </w:p>
        </w:tc>
      </w:tr>
      <w:tr>
        <w:trPr>
          <w:trHeight w:val="210"/>
        </w:trPr>
        <w:tc>
          <w:tcPr>
            <w:tcW w:w="9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Accrued environmental remediation, January 1, 2019</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5,636</w:t>
            </w:r>
          </w:p>
        </w:tc>
      </w:tr>
      <w:tr>
        <w:trPr>
          <w:trHeight w:val="216"/>
        </w:trPr>
        <w:tc>
          <w:tcPr>
            <w:tcW w:w="9660" w:type="dxa"/>
            <w:vAlign w:val="bottom"/>
          </w:tcPr>
          <w:p>
            <w:pPr>
              <w:ind w:left="140"/>
              <w:spacing w:after="0"/>
              <w:rPr>
                <w:sz w:val="20"/>
                <w:szCs w:val="20"/>
                <w:color w:val="auto"/>
              </w:rPr>
            </w:pPr>
            <w:r>
              <w:rPr>
                <w:rFonts w:ascii="Arial" w:cs="Arial" w:eastAsia="Arial" w:hAnsi="Arial"/>
                <w:sz w:val="18"/>
                <w:szCs w:val="18"/>
                <w:color w:val="auto"/>
              </w:rPr>
              <w:t>Payments made</w:t>
            </w:r>
          </w:p>
        </w:tc>
        <w:tc>
          <w:tcPr>
            <w:tcW w:w="2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(1,001)</w:t>
            </w:r>
          </w:p>
        </w:tc>
      </w:tr>
      <w:tr>
        <w:trPr>
          <w:trHeight w:val="216"/>
        </w:trPr>
        <w:tc>
          <w:tcPr>
            <w:tcW w:w="96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Additional accruals</w:t>
            </w:r>
          </w:p>
        </w:tc>
        <w:tc>
          <w:tcPr>
            <w:tcW w:w="200" w:type="dxa"/>
            <w:vAlign w:val="bottom"/>
            <w:tcBorders>
              <w:bottom w:val="single" w:sz="8" w:color="auto"/>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767</w:t>
            </w:r>
          </w:p>
        </w:tc>
      </w:tr>
      <w:tr>
        <w:trPr>
          <w:trHeight w:val="210"/>
        </w:trPr>
        <w:tc>
          <w:tcPr>
            <w:tcW w:w="9660" w:type="dxa"/>
            <w:vAlign w:val="bottom"/>
          </w:tcPr>
          <w:p>
            <w:pPr>
              <w:spacing w:after="0"/>
              <w:rPr>
                <w:sz w:val="20"/>
                <w:szCs w:val="20"/>
                <w:color w:val="auto"/>
              </w:rPr>
            </w:pPr>
            <w:r>
              <w:rPr>
                <w:rFonts w:ascii="Arial" w:cs="Arial" w:eastAsia="Arial" w:hAnsi="Arial"/>
                <w:sz w:val="18"/>
                <w:szCs w:val="18"/>
                <w:b w:val="1"/>
                <w:bCs w:val="1"/>
                <w:color w:val="auto"/>
              </w:rPr>
              <w:t>Accrued environmental remediation, June 30, 2019</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5,402</w:t>
            </w:r>
          </w:p>
        </w:tc>
      </w:tr>
      <w:tr>
        <w:trPr>
          <w:trHeight w:val="20"/>
        </w:trPr>
        <w:tc>
          <w:tcPr>
            <w:tcW w:w="9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280"/>
        <w:spacing w:after="0" w:line="239" w:lineRule="auto"/>
        <w:rPr>
          <w:sz w:val="20"/>
          <w:szCs w:val="20"/>
          <w:color w:val="auto"/>
        </w:rPr>
      </w:pPr>
      <w:r>
        <w:rPr>
          <w:rFonts w:ascii="Arial" w:cs="Arial" w:eastAsia="Arial" w:hAnsi="Arial"/>
          <w:sz w:val="18"/>
          <w:szCs w:val="18"/>
          <w:color w:val="auto"/>
        </w:rPr>
        <w:t>As of June 30, 2019, we have recognized (i) a current liability for remediation effort expenditures expected to be incurred within the next 12 months and (ii) a noncurrent liability for estimated remediation expenditures and fines expected to be incurred subsequent to June 30, 2020. Each of these amounts represent our best estimate for costs expected to be incurred. Neither of these amounts has been discounted to its present value.</w:t>
      </w:r>
    </w:p>
    <w:p>
      <w:pPr>
        <w:spacing w:after="0" w:line="94" w:lineRule="exact"/>
        <w:rPr>
          <w:sz w:val="20"/>
          <w:szCs w:val="20"/>
          <w:color w:val="auto"/>
        </w:rPr>
      </w:pPr>
    </w:p>
    <w:p>
      <w:pPr>
        <w:jc w:val="both"/>
        <w:ind w:right="240"/>
        <w:spacing w:after="0"/>
        <w:rPr>
          <w:sz w:val="20"/>
          <w:szCs w:val="20"/>
          <w:color w:val="auto"/>
        </w:rPr>
      </w:pPr>
      <w:r>
        <w:rPr>
          <w:rFonts w:ascii="Arial" w:cs="Arial" w:eastAsia="Arial" w:hAnsi="Arial"/>
          <w:sz w:val="18"/>
          <w:szCs w:val="18"/>
          <w:color w:val="auto"/>
        </w:rPr>
        <w:t>While we cannot predict the ultimate outcome of this matter with certainty for Summit Investments or Meadowlark Midstream, especially as it relates to any material liability as a result of any governmental proceeding related to the incident, we believe at this time that it is unlikely that SMLP or its General Partner will be subject to any material liability as a result of any governmental proceeding related to the rupture.</w:t>
      </w:r>
    </w:p>
    <w:p>
      <w:pPr>
        <w:spacing w:after="0" w:line="7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The Partnership is involved in various litigation and administrative proceedings arising in the normal course of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opinion of management, any liabilities that may result from these claims or those arising in the normal course of business would not individually or in the aggregate have a material adverse effect on the Partnership's financial position or results of operations.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17. DISPOSITIONS, ACQUISITIONS AND DROP DOWN TRANSACTIONS</w:t>
      </w:r>
    </w:p>
    <w:p>
      <w:pPr>
        <w:spacing w:after="0" w:line="104"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b w:val="1"/>
          <w:bCs w:val="1"/>
          <w:i w:val="1"/>
          <w:iCs w:val="1"/>
          <w:color w:val="auto"/>
        </w:rPr>
        <w:t xml:space="preserve">Tioga Midstream Disposition. </w:t>
      </w:r>
      <w:r>
        <w:rPr>
          <w:rFonts w:ascii="Arial" w:cs="Arial" w:eastAsia="Arial" w:hAnsi="Arial"/>
          <w:sz w:val="18"/>
          <w:szCs w:val="18"/>
          <w:color w:val="auto"/>
        </w:rPr>
        <w:t>In February 2019, Tioga Midstream, LLC, a subsidiary of SMLP, and certain affiliates of SMLP (collectively,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“Summit”) entered into two Purchase and Sale Agreements (the “Tioga PSAs”) with Hess Infrastructure Partners LP and Hess North Dakota Pipelines LLC (collectively, “Hess Infrastructure”), pursuant to which Summit agreed to sell the Tioga Midstream system to Hess Infrastructure for a combined cash purchase price of $90 million, subject to adjustments as provided in the Tioga PSAs (the “Tioga Midstream Sale”). On March 22, 2019, Summit closed the Tioga Midstream Sale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74"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 xml:space="preserve">2016 Drop Down. </w:t>
      </w:r>
      <w:r>
        <w:rPr>
          <w:rFonts w:ascii="Arial" w:cs="Arial" w:eastAsia="Arial" w:hAnsi="Arial"/>
          <w:sz w:val="18"/>
          <w:szCs w:val="18"/>
          <w:color w:val="auto"/>
        </w:rPr>
        <w:t>In 2016, SMLP acquired a controlling interest in OpCo, the entity which owns the 2016 Drop Down Assets. These assets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certain natural gas, crude oil and produced water gathering systems located in the Utica Shale, the Williston Basin and the DJ Basin, as well as ownership interests in Ohio Gathering.</w:t>
      </w:r>
    </w:p>
    <w:p>
      <w:pPr>
        <w:spacing w:after="0" w:line="7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net consideration paid and recognized in connection with the 2016 Drop Down (i) consisted of a cash payment to SMP Holdings of $360.0 million funded with borrowings under our Revolving Credit Facility and a $0.6 million working capital adjustment received in June 2016 (the “Initial Payment”) and (ii) includes the Deferred Purchase Price Obligation payment due in 2020.</w:t>
      </w:r>
    </w:p>
    <w:p>
      <w:pPr>
        <w:spacing w:after="0" w:line="80"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In March 2019, the Partnership amended the Contribution Agreement related to the 2016 Drop Down and fixed the Remaining Consideration at $303.5 million, with such amount to be paid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109" w:lineRule="exact"/>
        <w:rPr>
          <w:sz w:val="20"/>
          <w:szCs w:val="20"/>
          <w:color w:val="auto"/>
        </w:rPr>
      </w:pPr>
    </w:p>
    <w:p>
      <w:pPr>
        <w:jc w:val="both"/>
        <w:ind w:right="100"/>
        <w:spacing w:after="0"/>
        <w:rPr>
          <w:sz w:val="20"/>
          <w:szCs w:val="20"/>
          <w:color w:val="auto"/>
        </w:rPr>
      </w:pPr>
      <w:r>
        <w:rPr>
          <w:rFonts w:ascii="Arial" w:cs="Arial" w:eastAsia="Arial" w:hAnsi="Arial"/>
          <w:sz w:val="18"/>
          <w:szCs w:val="18"/>
          <w:color w:val="auto"/>
        </w:rPr>
        <w:t>The present value of the Deferred Purchase Price Obligation is reflected as a liability on our balance sheet until paid. As of June 30, 2019, the Remaining Consideration, which reflects the net present value of the $303.5 million Deferred Purchase Price Obligation, was $292.1 million on the unaudited condensed consolidated balance sheet using a discount rate of 5.25%.</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126" w:lineRule="exact"/>
        <w:rPr>
          <w:sz w:val="20"/>
          <w:szCs w:val="20"/>
          <w:color w:val="auto"/>
        </w:rPr>
      </w:pPr>
    </w:p>
    <w:p>
      <w:pPr>
        <w:ind w:right="480"/>
        <w:spacing w:after="0" w:line="246" w:lineRule="auto"/>
        <w:rPr>
          <w:sz w:val="20"/>
          <w:szCs w:val="20"/>
          <w:color w:val="auto"/>
        </w:rPr>
      </w:pPr>
      <w:r>
        <w:rPr>
          <w:rFonts w:ascii="Arial" w:cs="Arial" w:eastAsia="Arial" w:hAnsi="Arial"/>
          <w:sz w:val="18"/>
          <w:szCs w:val="18"/>
          <w:color w:val="auto"/>
        </w:rPr>
        <w:t>We have evaluated subsequent events for recognition or disclosure in the unaudited condensed consolidated financial statements and no events have occurred that require recognition or disclosure.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32" w:name="page33"/>
    <w:bookmarkEnd w:id="32"/>
    <w:p>
      <w:pPr>
        <w:spacing w:after="0"/>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30"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MD&amp;A is intended to inform the reader about matters affecting the financial condition and results of operations of SMLP and its subsidiaries for the periods since December 31, 2018.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2018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This MD&amp;A comprises the following sections:</w:t>
      </w:r>
    </w:p>
    <w:p>
      <w:pPr>
        <w:spacing w:after="0" w:line="104" w:lineRule="exact"/>
        <w:rPr>
          <w:sz w:val="20"/>
          <w:szCs w:val="20"/>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Overview</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Trends and Outlook</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How We Evaluate Our Operations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Critical Accounting Estimates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Overview</w:t>
      </w:r>
    </w:p>
    <w:p>
      <w:pPr>
        <w:spacing w:after="0" w:line="13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are a growth-oriented limited partnership focused on developing, owning and operating midstream energy infrastructure assets that are strategically located in the core producing areas of unconventional resource basins, primarily shale formations, in the continental United States.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classify our midstream energy infrastructure assets into two categories:</w:t>
      </w:r>
    </w:p>
    <w:p>
      <w:pPr>
        <w:spacing w:after="0" w:line="104" w:lineRule="exact"/>
        <w:rPr>
          <w:sz w:val="20"/>
          <w:szCs w:val="20"/>
          <w:color w:val="auto"/>
        </w:rPr>
      </w:pPr>
    </w:p>
    <w:p>
      <w:pPr>
        <w:ind w:left="800" w:right="60" w:hanging="400"/>
        <w:spacing w:after="0" w:line="23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Core Focus Areas – production basins in which we expect our gathering systems to experience greater long-term growth, driven by our customers’ ability to generate more favorable returns and support sustained drilling and completion activity in varying commodity price environments. In the near-term, we expect to concentrate the majority of our capital expenditures in our Core Focus Areas. Our Utica Shale, Ohio Gathering, Williston Basin, DJ Basin and Permian Basin reportable segments (as described below) comprise our Core Focus Areas.</w:t>
      </w:r>
    </w:p>
    <w:p>
      <w:pPr>
        <w:spacing w:after="0" w:line="94" w:lineRule="exact"/>
        <w:rPr>
          <w:rFonts w:ascii="Arial" w:cs="Arial" w:eastAsia="Arial" w:hAnsi="Arial"/>
          <w:sz w:val="18"/>
          <w:szCs w:val="18"/>
          <w:color w:val="auto"/>
        </w:rPr>
      </w:pPr>
    </w:p>
    <w:p>
      <w:pPr>
        <w:ind w:left="800" w:right="140" w:hanging="400"/>
        <w:spacing w:after="0" w:line="253" w:lineRule="auto"/>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Legacy Areas – production basins in which we expect our gathering systems to experience relatively lower long-term growth compared to our Core Focus Areas, given that our customers require relatively higher commodity prices to support drilling and completion activities in these basins. Upstream production served by our gathering systems in our Legacy Areas is generally more mature, as compared to our Core Focus Areas, and the decline rates for volume throughput on our gathering systems in the Legacy Areas are typically lower as a result. We expect to continue to moderate our near-term capital expenditures in these Legacy Areas. Our Piceance Basin, Barnett Shale and Marcellus Shale reportable segments (as described below) comprise our Legacy Areas.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We are the owner-operator of or have significant ownership interests in the following gathering systems, which comprise our Core Focus Areas:</w:t>
      </w:r>
    </w:p>
    <w:p>
      <w:pPr>
        <w:spacing w:after="0" w:line="104" w:lineRule="exact"/>
        <w:rPr>
          <w:sz w:val="20"/>
          <w:szCs w:val="20"/>
          <w:color w:val="auto"/>
        </w:rPr>
      </w:pPr>
    </w:p>
    <w:p>
      <w:pPr>
        <w:ind w:left="800" w:right="10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Summit Utica, a natural gas gathering system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44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Ohio Gathering, a natural gas gathering system and a condensate stabilization facility operating in the Appalachian Basin, which includes the Utica and Point Pleasant shale formations in southeastern Ohio;</w:t>
      </w:r>
    </w:p>
    <w:p>
      <w:pPr>
        <w:spacing w:after="0" w:line="88" w:lineRule="exact"/>
        <w:rPr>
          <w:rFonts w:ascii="Arial" w:cs="Arial" w:eastAsia="Arial" w:hAnsi="Arial"/>
          <w:sz w:val="18"/>
          <w:szCs w:val="18"/>
          <w:color w:val="auto"/>
        </w:rPr>
      </w:pPr>
    </w:p>
    <w:p>
      <w:pPr>
        <w:ind w:left="800" w:right="16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Polar and Divide, a crude oil and produced water gathering system and transmission pipeline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12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Bison Midstream, an associated natural gas gathering system operating in the Williston Basin, which includes the Bakken and Three Forks shale formations in northwestern North Dakota;</w:t>
      </w:r>
    </w:p>
    <w:p>
      <w:pPr>
        <w:spacing w:after="0" w:line="88" w:lineRule="exact"/>
        <w:rPr>
          <w:rFonts w:ascii="Arial" w:cs="Arial" w:eastAsia="Arial" w:hAnsi="Arial"/>
          <w:sz w:val="18"/>
          <w:szCs w:val="18"/>
          <w:color w:val="auto"/>
        </w:rPr>
      </w:pPr>
    </w:p>
    <w:p>
      <w:pPr>
        <w:ind w:left="800" w:right="32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Niobrara G&amp;P, an associated natural gas gathering and processing system operating in the DJ Basin, which includes the Niobrara and Codell shale formations in northeastern Colorado and southern Wyoming; and</w:t>
      </w:r>
    </w:p>
    <w:p>
      <w:pPr>
        <w:spacing w:after="0" w:line="88" w:lineRule="exact"/>
        <w:rPr>
          <w:rFonts w:ascii="Arial" w:cs="Arial" w:eastAsia="Arial" w:hAnsi="Arial"/>
          <w:sz w:val="18"/>
          <w:szCs w:val="18"/>
          <w:color w:val="auto"/>
        </w:rPr>
      </w:pPr>
    </w:p>
    <w:p>
      <w:pPr>
        <w:ind w:left="800" w:right="580" w:hanging="400"/>
        <w:spacing w:after="0" w:line="24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Summit Permian, an associated natural gas gathering and processing system operating in the northern Delaware Basin, which includes the Wolfcamp and Bone Spring formations, in southeastern New Mexico.</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We are the owner-operator of the following gathering systems, which comprise our Legacy Areas:</w:t>
      </w:r>
    </w:p>
    <w:p>
      <w:pPr>
        <w:spacing w:after="0" w:line="104" w:lineRule="exact"/>
        <w:rPr>
          <w:sz w:val="20"/>
          <w:szCs w:val="20"/>
          <w:color w:val="auto"/>
        </w:rPr>
      </w:pPr>
    </w:p>
    <w:p>
      <w:pPr>
        <w:ind w:left="800" w:right="740" w:hanging="400"/>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Grand River, a natural gas gathering and processing system operating in the Piceance Basin, which includes the Mesaverde formation and the Mancos and Niobrara shale formations in western Colorado and eastern Utah;</w:t>
      </w:r>
    </w:p>
    <w:p>
      <w:pPr>
        <w:spacing w:after="0" w:line="88" w:lineRule="exact"/>
        <w:rPr>
          <w:rFonts w:ascii="Arial" w:cs="Arial" w:eastAsia="Arial" w:hAnsi="Arial"/>
          <w:sz w:val="18"/>
          <w:szCs w:val="18"/>
          <w:color w:val="auto"/>
        </w:rPr>
      </w:pPr>
    </w:p>
    <w:p>
      <w:pPr>
        <w:ind w:left="800" w:right="380" w:hanging="400"/>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DFW Midstream, a natural gas gathering system operating in the Fort Worth Basin, which includes the Barnett Shale formation in north-central Texas; and</w:t>
      </w:r>
    </w:p>
    <w:p>
      <w:pPr>
        <w:spacing w:after="0" w:line="88" w:lineRule="exact"/>
        <w:rPr>
          <w:rFonts w:ascii="Arial" w:cs="Arial" w:eastAsia="Arial" w:hAnsi="Arial"/>
          <w:sz w:val="18"/>
          <w:szCs w:val="18"/>
          <w:color w:val="auto"/>
        </w:rPr>
      </w:pPr>
    </w:p>
    <w:p>
      <w:pPr>
        <w:ind w:left="800" w:right="440" w:hanging="400"/>
        <w:spacing w:after="0" w:line="246"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Mountaineer Midstream, a natural gas gathering system operating in the Appalachian Basin, which includes the Marcellus Shale formation in northern West Virginia.</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organization and systems, see Notes 1 and 4 to the unaudited condensed consolidated financial statements.</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financial results are driven primarily by volume throughput and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revenues from the following activities that directly expose us to fluctuations in commodity prices: (i) the sale of physical natural gas and/or NGLs purchased under percentage-of-proceeds or other processing arrangements with certain of our customers on the Bison Midstream, Summit Permian and Grand River systems, (ii) the sale of natural gas we retain from certain DFW Midstream customers and (iii) the sale of condensate we retain from our gathering services at Grand River. During the three months ended June 30, 2019, these additional activities accounted for approximately 18% of total revenues including marketing transactions, and approximately 15% of total revenues excluding marketing transactions. During the six months ended June 30, 2019, these additional activities accounted for approximately 24% of total revenues including marketing transactions, and approximately 13% of total revenues excluding marketing transactions.</w:t>
      </w:r>
    </w:p>
    <w:p>
      <w:pPr>
        <w:spacing w:after="0" w:line="9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We also have indirect exposure to changes in commodity prices in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4" w:name="page35"/>
    <w:bookmarkEnd w:id="34"/>
    <w:p>
      <w:pPr>
        <w:ind w:right="20"/>
        <w:spacing w:after="0" w:line="246" w:lineRule="auto"/>
        <w:rPr>
          <w:sz w:val="20"/>
          <w:szCs w:val="20"/>
          <w:color w:val="auto"/>
        </w:rPr>
      </w:pPr>
      <w:r>
        <w:rPr>
          <w:rFonts w:ascii="Arial" w:cs="Arial" w:eastAsia="Arial" w:hAnsi="Arial"/>
          <w:sz w:val="18"/>
          <w:szCs w:val="18"/>
          <w:color w:val="auto"/>
        </w:rPr>
        <w:t>The following table presents certain consolidated and reportable segment financial data. For additional information on our reportable segments, see the "Segment Overview for the Three and Six Months Ended June 30, 2019 and 2018" section herein.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5"/>
                <w:szCs w:val="15"/>
                <w:color w:val="auto"/>
              </w:rPr>
            </w:pPr>
          </w:p>
        </w:tc>
        <w:tc>
          <w:tcPr>
            <w:tcW w:w="2480" w:type="dxa"/>
            <w:vAlign w:val="bottom"/>
            <w:gridSpan w:val="3"/>
          </w:tcPr>
          <w:p>
            <w:pPr>
              <w:ind w:left="40"/>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r>
      <w:tr>
        <w:trPr>
          <w:trHeight w:val="169"/>
        </w:trPr>
        <w:tc>
          <w:tcPr>
            <w:tcW w:w="45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4,809</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(49,913)</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(32,105)</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(53,758)</w:t>
            </w:r>
          </w:p>
        </w:tc>
      </w:tr>
      <w:tr>
        <w:trPr>
          <w:trHeight w:val="216"/>
        </w:trPr>
        <w:tc>
          <w:tcPr>
            <w:tcW w:w="4580" w:type="dxa"/>
            <w:vAlign w:val="bottom"/>
          </w:tcPr>
          <w:p>
            <w:pPr>
              <w:spacing w:after="0"/>
              <w:rPr>
                <w:sz w:val="20"/>
                <w:szCs w:val="20"/>
                <w:color w:val="auto"/>
              </w:rPr>
            </w:pPr>
            <w:r>
              <w:rPr>
                <w:rFonts w:ascii="Arial" w:cs="Arial" w:eastAsia="Arial" w:hAnsi="Arial"/>
                <w:sz w:val="18"/>
                <w:szCs w:val="18"/>
                <w:b w:val="1"/>
                <w:bCs w:val="1"/>
                <w:color w:val="auto"/>
              </w:rPr>
              <w:t>Reportable segment adjusted EBITDA</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Utica Shale</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6,640</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9,223</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12,833</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17,938</w:t>
            </w: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Ohio Gathering</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9,939</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8,935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19,149</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19,412</w:t>
            </w:r>
          </w:p>
        </w:tc>
      </w:tr>
      <w:tr>
        <w:trPr>
          <w:trHeight w:val="216"/>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Williston Basin</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16,650</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19,030</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35,384</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35,000</w:t>
            </w: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DJ Basin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2,816</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959</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5,489</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2,280</w:t>
            </w:r>
          </w:p>
        </w:tc>
      </w:tr>
      <w:tr>
        <w:trPr>
          <w:trHeight w:val="216"/>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Permian Basin</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(656)</w:t>
            </w:r>
          </w:p>
        </w:tc>
        <w:tc>
          <w:tcPr>
            <w:tcW w:w="3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(1,206)</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Piceance Basin</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24,584</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26,714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50,583</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54,628</w:t>
            </w:r>
          </w:p>
        </w:tc>
      </w:tr>
      <w:tr>
        <w:trPr>
          <w:trHeight w:val="216"/>
        </w:trPr>
        <w:tc>
          <w:tcPr>
            <w:tcW w:w="45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Barnett Shale</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11,208</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11,093</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22,582</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20,952</w:t>
            </w:r>
          </w:p>
        </w:tc>
      </w:tr>
      <w:tr>
        <w:trPr>
          <w:trHeight w:val="216"/>
        </w:trPr>
        <w:tc>
          <w:tcPr>
            <w:tcW w:w="4580" w:type="dxa"/>
            <w:vAlign w:val="bottom"/>
          </w:tcPr>
          <w:p>
            <w:pPr>
              <w:ind w:left="140"/>
              <w:spacing w:after="0"/>
              <w:rPr>
                <w:sz w:val="20"/>
                <w:szCs w:val="20"/>
                <w:color w:val="auto"/>
              </w:rPr>
            </w:pPr>
            <w:r>
              <w:rPr>
                <w:rFonts w:ascii="Arial" w:cs="Arial" w:eastAsia="Arial" w:hAnsi="Arial"/>
                <w:sz w:val="18"/>
                <w:szCs w:val="18"/>
                <w:color w:val="auto"/>
              </w:rPr>
              <w:t>Marcellus Shale</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4,635</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6,543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9,777</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13,219</w:t>
            </w:r>
          </w:p>
        </w:tc>
      </w:tr>
      <w:tr>
        <w:trPr>
          <w:trHeight w:val="216"/>
        </w:trPr>
        <w:tc>
          <w:tcPr>
            <w:tcW w:w="45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43,535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58,839</w:t>
            </w:r>
          </w:p>
        </w:tc>
        <w:tc>
          <w:tcPr>
            <w:tcW w:w="1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96,246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110,049</w:t>
            </w: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 (1)</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50,244</w:t>
            </w: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49,616</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111,092</w:t>
            </w: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90,394</w:t>
            </w:r>
          </w:p>
        </w:tc>
      </w:tr>
      <w:tr>
        <w:trPr>
          <w:trHeight w:val="216"/>
        </w:trPr>
        <w:tc>
          <w:tcPr>
            <w:tcW w:w="4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Distributions to common unitholders</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ind w:right="92"/>
              <w:spacing w:after="0"/>
              <w:rPr>
                <w:sz w:val="20"/>
                <w:szCs w:val="20"/>
                <w:color w:val="auto"/>
              </w:rPr>
            </w:pPr>
            <w:r>
              <w:rPr>
                <w:rFonts w:ascii="Arial" w:cs="Arial" w:eastAsia="Arial" w:hAnsi="Arial"/>
                <w:sz w:val="18"/>
                <w:szCs w:val="18"/>
                <w:color w:val="auto"/>
              </w:rPr>
              <w:t>23,775</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45,216</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ind w:right="72"/>
              <w:spacing w:after="0"/>
              <w:rPr>
                <w:sz w:val="20"/>
                <w:szCs w:val="20"/>
                <w:color w:val="auto"/>
              </w:rPr>
            </w:pPr>
            <w:r>
              <w:rPr>
                <w:rFonts w:ascii="Arial" w:cs="Arial" w:eastAsia="Arial" w:hAnsi="Arial"/>
                <w:sz w:val="18"/>
                <w:szCs w:val="18"/>
                <w:color w:val="auto"/>
              </w:rPr>
              <w:t>69,056</w:t>
            </w:r>
          </w:p>
        </w:tc>
        <w:tc>
          <w:tcPr>
            <w:tcW w:w="3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90,269</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Distributions to Series A Preferred unitholders</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14,250</w:t>
            </w:r>
          </w:p>
        </w:tc>
        <w:tc>
          <w:tcPr>
            <w:tcW w:w="36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14,250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14,250</w:t>
            </w:r>
          </w:p>
        </w:tc>
        <w:tc>
          <w:tcPr>
            <w:tcW w:w="3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14,250</w:t>
            </w:r>
          </w:p>
        </w:tc>
      </w:tr>
      <w:tr>
        <w:trPr>
          <w:trHeight w:val="215"/>
        </w:trPr>
        <w:tc>
          <w:tcPr>
            <w:tcW w:w="4580" w:type="dxa"/>
            <w:vAlign w:val="bottom"/>
            <w:shd w:val="clear" w:color="auto" w:fill="CFF0FC"/>
          </w:tcPr>
          <w:p>
            <w:pPr>
              <w:spacing w:after="0"/>
              <w:rPr>
                <w:sz w:val="20"/>
                <w:szCs w:val="20"/>
                <w:color w:val="auto"/>
              </w:rPr>
            </w:pPr>
            <w:r>
              <w:rPr>
                <w:rFonts w:ascii="Arial" w:cs="Arial" w:eastAsia="Arial" w:hAnsi="Arial"/>
                <w:sz w:val="18"/>
                <w:szCs w:val="18"/>
                <w:color w:val="auto"/>
              </w:rPr>
              <w:t>Net borrowings under Revolving Credit</w:t>
            </w: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03"/>
        </w:trPr>
        <w:tc>
          <w:tcPr>
            <w:tcW w:w="458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Facility</w:t>
            </w: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jc w:val="right"/>
              <w:ind w:right="92"/>
              <w:spacing w:after="0" w:line="203" w:lineRule="exact"/>
              <w:rPr>
                <w:sz w:val="20"/>
                <w:szCs w:val="20"/>
                <w:color w:val="auto"/>
              </w:rPr>
            </w:pPr>
            <w:r>
              <w:rPr>
                <w:rFonts w:ascii="Arial" w:cs="Arial" w:eastAsia="Arial" w:hAnsi="Arial"/>
                <w:sz w:val="18"/>
                <w:szCs w:val="18"/>
                <w:color w:val="auto"/>
              </w:rPr>
              <w:t>139,000</w:t>
            </w:r>
          </w:p>
        </w:tc>
        <w:tc>
          <w:tcPr>
            <w:tcW w:w="3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55,000</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72"/>
              <w:spacing w:after="0" w:line="203" w:lineRule="exact"/>
              <w:rPr>
                <w:sz w:val="20"/>
                <w:szCs w:val="20"/>
                <w:color w:val="auto"/>
              </w:rPr>
            </w:pPr>
            <w:r>
              <w:rPr>
                <w:rFonts w:ascii="Arial" w:cs="Arial" w:eastAsia="Arial" w:hAnsi="Arial"/>
                <w:sz w:val="18"/>
                <w:szCs w:val="18"/>
                <w:color w:val="auto"/>
              </w:rPr>
              <w:t>107,000</w:t>
            </w:r>
          </w:p>
        </w:tc>
        <w:tc>
          <w:tcPr>
            <w:tcW w:w="3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95,000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1" w:lineRule="exact"/>
        <w:rPr>
          <w:sz w:val="20"/>
          <w:szCs w:val="20"/>
          <w:color w:val="auto"/>
        </w:rPr>
      </w:pPr>
    </w:p>
    <w:p>
      <w:pPr>
        <w:ind w:right="80" w:firstLine="8"/>
        <w:spacing w:after="0" w:line="260" w:lineRule="auto"/>
        <w:tabs>
          <w:tab w:leader="none" w:pos="243"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"Liquidity and Capital Resources" herein and Note 4 to the unaudited condensed consolidated financial statements for additional information on capital expenditures.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six months ended June 30, 2019.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right="60" w:hanging="400"/>
        <w:spacing w:after="0" w:line="239"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June 2019, we decided to proceed with the Double E Project after securing firm 10-year take-or-pay commitments for a substantial majority of the pipeline’s initial throughput capacity of 1.35 billion cubic feet of gas per day and executing the JV Agreement with an affiliate of Double E’s foundation shipper. Double E filed its Section 7(c) application with the Federal Energy Regulatory Commission on July 31, 2019.</w:t>
      </w:r>
    </w:p>
    <w:p>
      <w:pPr>
        <w:spacing w:after="0" w:line="93" w:lineRule="exact"/>
        <w:rPr>
          <w:rFonts w:ascii="Arial" w:cs="Arial" w:eastAsia="Arial" w:hAnsi="Arial"/>
          <w:sz w:val="18"/>
          <w:szCs w:val="18"/>
          <w:color w:val="auto"/>
        </w:rPr>
      </w:pPr>
    </w:p>
    <w:p>
      <w:pPr>
        <w:ind w:left="820" w:right="220"/>
        <w:spacing w:after="0" w:line="237" w:lineRule="auto"/>
        <w:rPr>
          <w:rFonts w:ascii="Arial" w:cs="Arial" w:eastAsia="Arial" w:hAnsi="Arial"/>
          <w:sz w:val="18"/>
          <w:szCs w:val="18"/>
          <w:color w:val="auto"/>
        </w:rPr>
      </w:pPr>
      <w:r>
        <w:rPr>
          <w:rFonts w:ascii="Arial" w:cs="Arial" w:eastAsia="Arial" w:hAnsi="Arial"/>
          <w:sz w:val="18"/>
          <w:szCs w:val="18"/>
          <w:color w:val="auto"/>
        </w:rPr>
        <w:t>In connection with the Project, Summit Permian Transmission contributed total assets of approximately $23.6 million for a 70% ownership interest in Double E. We expect to own a majority interest in the Project, to lead the development, permitting and construction of the Project and to operate the pipeline upon commissioning. We estimate that our share of the capital expenditures required to develop the Project will total approximately $350.0 million, and that more than 90% of those capital expenditures will be incurred in 2020 and 2021. Assuming timely receipt of the requisite regulatory approvals, we expect that the Project will be placed into service in the third quarter of 2021.</w:t>
      </w:r>
    </w:p>
    <w:p>
      <w:pPr>
        <w:spacing w:after="0" w:line="97" w:lineRule="exact"/>
        <w:rPr>
          <w:rFonts w:ascii="Arial" w:cs="Arial" w:eastAsia="Arial" w:hAnsi="Arial"/>
          <w:sz w:val="18"/>
          <w:szCs w:val="18"/>
          <w:color w:val="auto"/>
        </w:rPr>
      </w:pPr>
    </w:p>
    <w:p>
      <w:pPr>
        <w:ind w:left="800" w:right="60" w:hanging="400"/>
        <w:spacing w:after="0" w:line="236"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Until March 22, 2019, we owned Tioga Midstream, a crude oil, produced water and associated natural gas gathering systems operating in the Williston Basin, which includes the Bakken and Three Forks shale formations in northwestern North Dakota. Refer to Note 17 for details on the sale of Tioga Midstream. On March 22, 2019, we sold the Tioga Midstream system to affiliates of Hess Infrastructure Partners LP for a combined cash purchase price of approximately $90 million and recorded a gain on sale of $0.9 million based on the difference between the consideration received and the carrying value for Tioga Midstream at closing. The gain is included in the Gain on asset sales, net caption on the unaudited condensed consolidated statement of operations. The financial results of Tioga Midstream (a component of the Williston Basin reportable segment) are included in our unaudited condensed consolidated financial statements and footnotes for the period from January 1, 2019 through March 22,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35" w:name="page36"/>
    <w:bookmarkEnd w:id="35"/>
    <w:p>
      <w:pPr>
        <w:ind w:left="800" w:right="80" w:hanging="400"/>
        <w:spacing w:after="0" w:line="23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February 2019, we signed an amendment to the Contribution Agreement (the “Amendment”) related to the 2016 Drop Down pursuant to which, in April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95" w:lineRule="exact"/>
        <w:rPr>
          <w:rFonts w:ascii="Arial" w:cs="Arial" w:eastAsia="Arial" w:hAnsi="Arial"/>
          <w:sz w:val="18"/>
          <w:szCs w:val="18"/>
          <w:color w:val="auto"/>
        </w:rPr>
      </w:pPr>
    </w:p>
    <w:p>
      <w:pPr>
        <w:ind w:left="820" w:right="80"/>
        <w:spacing w:after="0" w:line="239" w:lineRule="auto"/>
        <w:rPr>
          <w:rFonts w:ascii="Arial" w:cs="Arial" w:eastAsia="Arial" w:hAnsi="Arial"/>
          <w:sz w:val="18"/>
          <w:szCs w:val="18"/>
          <w:color w:val="auto"/>
        </w:rPr>
      </w:pPr>
      <w:r>
        <w:rPr>
          <w:rFonts w:ascii="Arial" w:cs="Arial" w:eastAsia="Arial" w:hAnsi="Arial"/>
          <w:sz w:val="18"/>
          <w:szCs w:val="18"/>
          <w:color w:val="auto"/>
        </w:rPr>
        <w:t>The present value of the Deferred Purchase Price Obligation is reflected as a liability on our balance sheet. As of June 30, 2019, the Remaining Consideration, which reflects the net present value of the $303.5 million Deferred Purchase Price Obligation, was $292.1 million on the unaudited condensed consolidated balance sheet using a discount rate of 5.25%. We have presented the Deferred Purchase Price Obligation as a current liability based on the expected settlement on or before June 30, 2020.</w:t>
      </w:r>
    </w:p>
    <w:p>
      <w:pPr>
        <w:spacing w:after="0" w:line="93" w:lineRule="exact"/>
        <w:rPr>
          <w:rFonts w:ascii="Arial" w:cs="Arial" w:eastAsia="Arial" w:hAnsi="Arial"/>
          <w:sz w:val="18"/>
          <w:szCs w:val="18"/>
          <w:color w:val="auto"/>
        </w:rPr>
      </w:pPr>
    </w:p>
    <w:p>
      <w:pPr>
        <w:ind w:left="800" w:right="60" w:hanging="400"/>
        <w:spacing w:after="0" w:line="238"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March 22, 2019, pursuant to an equity restructuring agreement with the General Partner and SMP Holdings, we cancelled our IDRs and converted our 2% economic GP interest into a non-economic GP interest in exchange for 8,750,000 SMLP common units, which were issued to SMP Holdings in the Equity Restructuring. As a result of the Equity Restructuring, the general partner units and IDRs were eliminated, are no longer outstanding, and no longer participate in distributions of cash from SMLP. ECP continues to control the non-economic GP interest in SMLP.</w:t>
      </w:r>
    </w:p>
    <w:p>
      <w:pPr>
        <w:spacing w:after="0" w:line="94" w:lineRule="exact"/>
        <w:rPr>
          <w:rFonts w:ascii="Arial" w:cs="Arial" w:eastAsia="Arial" w:hAnsi="Arial"/>
          <w:sz w:val="18"/>
          <w:szCs w:val="18"/>
          <w:color w:val="auto"/>
        </w:rPr>
      </w:pPr>
    </w:p>
    <w:p>
      <w:pPr>
        <w:ind w:left="800" w:right="80" w:hanging="400"/>
        <w:spacing w:after="0" w:line="237" w:lineRule="auto"/>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 March 2019, certain events, facts and circumstances occurred which indicated that certain long-lived assets in the DJ Basin and Barnett Shale reporting segments could be impaired. Consequently, we performed a recoverability assessment of certain assets within these reporting segments. In the DJ Basin, we determined certain processing plant assets related to our existing 20 MMcf/d plant would no longer be operational due to our expansion plans for the Niobrara G&amp;P system and we recorded an impairment charge of $34.7 million related to these assets. In the Barnett Shale, we determined certain compressor station assets would be shut down and de-commissioned and we recorded an impairment charge of $10.2 million related to these assets.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Three and six months ended June 30, 2018. </w:t>
      </w:r>
      <w:r>
        <w:rPr>
          <w:rFonts w:ascii="Arial" w:cs="Arial" w:eastAsia="Arial" w:hAnsi="Arial"/>
          <w:sz w:val="18"/>
          <w:szCs w:val="18"/>
          <w:color w:val="auto"/>
        </w:rPr>
        <w:t>The following items are reflected in our financial results:</w:t>
      </w:r>
    </w:p>
    <w:p>
      <w:pPr>
        <w:spacing w:after="0" w:line="139" w:lineRule="exact"/>
        <w:rPr>
          <w:sz w:val="20"/>
          <w:szCs w:val="20"/>
          <w:color w:val="auto"/>
        </w:rPr>
      </w:pPr>
    </w:p>
    <w:p>
      <w:pPr>
        <w:ind w:left="800" w:hanging="400"/>
        <w:spacing w:after="0" w:line="255" w:lineRule="auto"/>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During the three and six months ended June 30, 2018, we recognized $6.0 million and $8.4 million, respectively in gathering services and related fees from MVC shortfall adjustments. Under Topic 606, we recognize customer obligations under their MVCs as revenue and contract assets when (i) we consider it remote that the customer will utilize shortfall payments to offset gathering or processing fees in excess of its MVCs in subsequent periods; (ii) the customer incurs a shortfall in a contract with no banking mechanism or claw back provision; (iii) the customer’s banking mechanism has expired; or (iv) it is remote that the customer will use its unexercised right.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Trends and Outlook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Our business has been, and we expect our future business to continue to be, affected by the following key trends:</w:t>
      </w:r>
    </w:p>
    <w:p>
      <w:pPr>
        <w:spacing w:after="0" w:line="104" w:lineRule="exact"/>
        <w:rPr>
          <w:sz w:val="20"/>
          <w:szCs w:val="20"/>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Natural gas, NGL and crude oil supply and demand dynamics;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from U.S. shale plays;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Capital markets activity and cost of capital;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Shifts in operating costs and inflation.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6" w:name="page37"/>
    <w:bookmarkEnd w:id="36"/>
    <w:p>
      <w:pPr>
        <w:jc w:val="both"/>
        <w:ind w:right="180"/>
        <w:spacing w:after="0"/>
        <w:rPr>
          <w:sz w:val="20"/>
          <w:szCs w:val="20"/>
          <w:color w:val="auto"/>
        </w:rPr>
      </w:pPr>
      <w:r>
        <w:rPr>
          <w:rFonts w:ascii="Arial" w:cs="Arial" w:eastAsia="Arial" w:hAnsi="Arial"/>
          <w:sz w:val="18"/>
          <w:szCs w:val="18"/>
          <w:color w:val="auto"/>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2018 Annual Report.</w:t>
      </w:r>
    </w:p>
    <w:p>
      <w:pPr>
        <w:spacing w:after="0" w:line="63"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How We Evaluate Our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We conduct and report our operations in the midstream energy industry through eight reportable segments:</w:t>
      </w:r>
    </w:p>
    <w:p>
      <w:pPr>
        <w:spacing w:after="0" w:line="104" w:lineRule="exact"/>
        <w:rPr>
          <w:sz w:val="20"/>
          <w:szCs w:val="20"/>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Utica Shale, which is served by Summit Utica;</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Ohio Gathering, which includes our ownership interest in OGC and OCC;</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Williston Basin, which is served by Polar and Divide and Bison Midstream;</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DJ Basin, which is served by Niobrara G&amp;P;</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Permian Basin, which is served by Summit Permian;</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Piceance Basin, which is served by Grand River;</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Barnett Shale, which is served by DFW Midstream;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Marcellus Shale, which is served by Mountaineer Midstream.</w:t>
      </w:r>
    </w:p>
    <w:p>
      <w:pPr>
        <w:spacing w:after="0" w:line="11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Additionally, until March 22, 2019, we owned Tioga Midstream, a crude oil, produced water and associated natural gas gathering system operating in the Williston Basin, which includes the Bakken and Three Forks shale formations in northwestern North Dakota. Refer to Note 17 to the unaudited condensed consolidated financial statements for details on the sale of Tioga Midstream.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Each of our reportable segments provides midstream services in a specific geographic area. Our reportable segments reflect the way in which we internally report the financial information used to make decisions and allocate resources in connection with our operations (see Note 4 to the unaudited condensed consolidated financial statements).</w:t>
      </w:r>
    </w:p>
    <w:p>
      <w:pPr>
        <w:spacing w:after="0" w:line="95"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Our management uses a variety of financial and operational metrics to analyze our consolidated and segment performance. We view these metrics as important factors in evaluating our profitability and determining the amounts of cash distributions to pay to our unitholders. These metrics include:</w:t>
      </w:r>
    </w:p>
    <w:p>
      <w:pPr>
        <w:spacing w:after="0" w:line="95" w:lineRule="exact"/>
        <w:rPr>
          <w:sz w:val="20"/>
          <w:szCs w:val="20"/>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throughput volume;</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operation and maintenance expenses;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segment adjusted EBITDA.</w:t>
      </w:r>
    </w:p>
    <w:p>
      <w:pPr>
        <w:spacing w:after="0" w:line="117" w:lineRule="exact"/>
        <w:rPr>
          <w:sz w:val="20"/>
          <w:szCs w:val="20"/>
          <w:color w:val="auto"/>
        </w:rPr>
      </w:pPr>
    </w:p>
    <w:p>
      <w:pPr>
        <w:ind w:right="940"/>
        <w:spacing w:after="0" w:line="246" w:lineRule="auto"/>
        <w:rPr>
          <w:sz w:val="20"/>
          <w:szCs w:val="20"/>
          <w:color w:val="auto"/>
        </w:rPr>
      </w:pPr>
      <w:r>
        <w:rPr>
          <w:rFonts w:ascii="Arial" w:cs="Arial" w:eastAsia="Arial" w:hAnsi="Arial"/>
          <w:sz w:val="18"/>
          <w:szCs w:val="18"/>
          <w:color w:val="auto"/>
        </w:rPr>
        <w:t>We review these metrics on a regular basis for consistency and trend analysis. There have been no changes in the composition or characteristics of these metrics during the three and six months ended June 30, 2019.</w:t>
      </w:r>
    </w:p>
    <w:p>
      <w:pPr>
        <w:spacing w:after="0" w:line="67" w:lineRule="exact"/>
        <w:rPr>
          <w:sz w:val="20"/>
          <w:szCs w:val="20"/>
          <w:color w:val="auto"/>
        </w:rPr>
      </w:pPr>
    </w:p>
    <w:p>
      <w:pPr>
        <w:spacing w:after="0" w:line="247" w:lineRule="auto"/>
        <w:rPr>
          <w:sz w:val="20"/>
          <w:szCs w:val="20"/>
          <w:color w:val="auto"/>
        </w:rPr>
      </w:pPr>
      <w:r>
        <w:rPr>
          <w:rFonts w:ascii="Arial" w:cs="Arial" w:eastAsia="Arial" w:hAnsi="Arial"/>
          <w:sz w:val="18"/>
          <w:szCs w:val="18"/>
          <w:b w:val="1"/>
          <w:bCs w:val="1"/>
          <w:i w:val="1"/>
          <w:iCs w:val="1"/>
          <w:color w:val="auto"/>
        </w:rPr>
        <w:t xml:space="preserve">Additional Information. </w:t>
      </w:r>
      <w:r>
        <w:rPr>
          <w:rFonts w:ascii="Arial" w:cs="Arial" w:eastAsia="Arial" w:hAnsi="Arial"/>
          <w:sz w:val="18"/>
          <w:szCs w:val="18"/>
          <w:color w:val="auto"/>
        </w:rPr>
        <w:t>For additional information, see the "Results of Operations" section herein and the notes to the unaudited condensed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financial statements. For additional information on how these metrics help us manage our business, see the "How We Evaluate Our Operations" section of MD&amp;A included in the 2018 Annual Report. For information on impending accounting changes that are expected to materially impact our financial results reported in future periods, see Note 2 to the unaudited condensed consolidated financial statements.</w:t>
      </w:r>
    </w:p>
    <w:p>
      <w:pPr>
        <w:spacing w:after="0" w:line="1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476"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22"/>
          <w:szCs w:val="22"/>
          <w:b w:val="1"/>
          <w:bCs w:val="1"/>
          <w:color w:val="auto"/>
        </w:rPr>
        <w:t>Results of Operations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Overview for the Three and Six Months Ended June 30, 2019 and 2018</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consolidated and operating data.</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7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Pr>
          <w:p>
            <w:pPr>
              <w:spacing w:after="0"/>
              <w:rPr>
                <w:sz w:val="15"/>
                <w:szCs w:val="15"/>
                <w:color w:val="auto"/>
              </w:rPr>
            </w:pPr>
          </w:p>
        </w:tc>
        <w:tc>
          <w:tcPr>
            <w:tcW w:w="2480" w:type="dxa"/>
            <w:vAlign w:val="bottom"/>
            <w:gridSpan w:val="4"/>
          </w:tcPr>
          <w:p>
            <w:pPr>
              <w:jc w:val="right"/>
              <w:ind w:right="49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75,107</w:t>
            </w:r>
          </w:p>
        </w:tc>
        <w:tc>
          <w:tcPr>
            <w:tcW w:w="1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89,585</w:t>
            </w:r>
          </w:p>
        </w:tc>
        <w:tc>
          <w:tcPr>
            <w:tcW w:w="140" w:type="dxa"/>
            <w:vAlign w:val="bottom"/>
          </w:tcPr>
          <w:p>
            <w:pPr>
              <w:spacing w:after="0"/>
              <w:rPr>
                <w:sz w:val="18"/>
                <w:szCs w:val="18"/>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162,071</w:t>
            </w:r>
          </w:p>
        </w:tc>
        <w:tc>
          <w:tcPr>
            <w:tcW w:w="12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173,946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18,291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31,891</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56,219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58,008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6,288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6,707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12,804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Total revenues</w:t>
            </w:r>
          </w:p>
        </w:tc>
        <w:tc>
          <w:tcPr>
            <w:tcW w:w="88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99,686</w:t>
            </w:r>
          </w:p>
        </w:tc>
        <w:tc>
          <w:tcPr>
            <w:tcW w:w="14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128,183</w:t>
            </w: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231,094</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245,503</w:t>
            </w:r>
          </w:p>
        </w:tc>
        <w:tc>
          <w:tcPr>
            <w:tcW w:w="0" w:type="dxa"/>
            <w:vAlign w:val="bottom"/>
          </w:tcPr>
          <w:p>
            <w:pPr>
              <w:spacing w:after="0"/>
              <w:rPr>
                <w:sz w:val="1"/>
                <w:szCs w:val="1"/>
                <w:color w:val="auto"/>
              </w:rPr>
            </w:pPr>
          </w:p>
        </w:tc>
      </w:tr>
      <w:tr>
        <w:trPr>
          <w:trHeight w:val="210"/>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11,571</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24,384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43,330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44,670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23,718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24,466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47,940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10,214</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13,484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27,495</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27,926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26,800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26,784</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54,527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53,461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Transaction costs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950</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(Gain) loss on asset sales, net</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587</w:t>
            </w:r>
          </w:p>
        </w:tc>
        <w:tc>
          <w:tcPr>
            <w:tcW w:w="14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45,021</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Total costs and expenses</w:t>
            </w:r>
          </w:p>
        </w:tc>
        <w:tc>
          <w:tcPr>
            <w:tcW w:w="88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72,086</w:t>
            </w:r>
          </w:p>
        </w:tc>
        <w:tc>
          <w:tcPr>
            <w:tcW w:w="14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89,767</w:t>
            </w:r>
          </w:p>
        </w:tc>
        <w:tc>
          <w:tcPr>
            <w:tcW w:w="14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218,015</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175,702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292</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(17,941)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(14,837)</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(35,468)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Deferred Purchase Price Obligation</w:t>
            </w:r>
          </w:p>
        </w:tc>
        <w:tc>
          <w:tcPr>
            <w:tcW w:w="88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(3,712)</w:t>
            </w:r>
          </w:p>
        </w:tc>
        <w:tc>
          <w:tcPr>
            <w:tcW w:w="14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(69,305)</w:t>
            </w:r>
          </w:p>
        </w:tc>
        <w:tc>
          <w:tcPr>
            <w:tcW w:w="140" w:type="dxa"/>
            <w:vAlign w:val="bottom"/>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(8,139)</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(90,963)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00" w:type="dxa"/>
            <w:vAlign w:val="bottom"/>
          </w:tcPr>
          <w:p>
            <w:pPr>
              <w:ind w:left="240"/>
              <w:spacing w:after="0"/>
              <w:rPr>
                <w:sz w:val="20"/>
                <w:szCs w:val="20"/>
                <w:color w:val="auto"/>
              </w:rPr>
            </w:pPr>
            <w:r>
              <w:rPr>
                <w:rFonts w:ascii="Arial" w:cs="Arial" w:eastAsia="Arial" w:hAnsi="Arial"/>
                <w:sz w:val="18"/>
                <w:szCs w:val="18"/>
                <w:color w:val="auto"/>
              </w:rPr>
              <w:t>Income (loss) before income taxes and loss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440"/>
              <w:spacing w:after="0" w:line="203" w:lineRule="exact"/>
              <w:rPr>
                <w:sz w:val="20"/>
                <w:szCs w:val="20"/>
                <w:color w:val="auto"/>
              </w:rPr>
            </w:pPr>
            <w:r>
              <w:rPr>
                <w:rFonts w:ascii="Arial" w:cs="Arial" w:eastAsia="Arial" w:hAnsi="Arial"/>
                <w:sz w:val="18"/>
                <w:szCs w:val="18"/>
                <w:color w:val="auto"/>
              </w:rPr>
              <w:t>from equity method investees</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6,030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(45,699)</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(30,236)</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(51,101)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(1,142)</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Loss from equity method investees</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(3,920)</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FF0FC"/>
              <w:bottom w:val="single" w:sz="8" w:color="CFF0FC"/>
            </w:tcBorders>
            <w:shd w:val="clear" w:color="auto" w:fill="CFF0FC"/>
          </w:tcPr>
          <w:p>
            <w:pPr>
              <w:ind w:left="360"/>
              <w:spacing w:after="0"/>
              <w:rPr>
                <w:sz w:val="20"/>
                <w:szCs w:val="20"/>
                <w:color w:val="auto"/>
              </w:rPr>
            </w:pPr>
            <w:r>
              <w:rPr>
                <w:rFonts w:ascii="Arial" w:cs="Arial" w:eastAsia="Arial" w:hAnsi="Arial"/>
                <w:sz w:val="18"/>
                <w:szCs w:val="18"/>
                <w:color w:val="auto"/>
              </w:rPr>
              <w:t>Net income (loss)</w:t>
            </w:r>
          </w:p>
        </w:tc>
        <w:tc>
          <w:tcPr>
            <w:tcW w:w="8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4,809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(49,913)</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(32,105)</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(53,758)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Volume throughput (1):</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Aggregate average daily throughput - natural</w:t>
            </w: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tcPr>
          <w:p>
            <w:pPr>
              <w:ind w:left="180"/>
              <w:spacing w:after="0" w:line="203" w:lineRule="exact"/>
              <w:rPr>
                <w:sz w:val="20"/>
                <w:szCs w:val="20"/>
                <w:color w:val="auto"/>
              </w:rPr>
            </w:pPr>
            <w:r>
              <w:rPr>
                <w:rFonts w:ascii="Arial" w:cs="Arial" w:eastAsia="Arial" w:hAnsi="Arial"/>
                <w:sz w:val="18"/>
                <w:szCs w:val="18"/>
                <w:color w:val="auto"/>
              </w:rPr>
              <w:t>gas (MMcf/d)</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1,368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1,797</w:t>
            </w: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1,419</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31"/>
              <w:spacing w:after="0" w:line="203" w:lineRule="exact"/>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 liquids</w:t>
            </w: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FF0FC"/>
          </w:tcPr>
          <w:p>
            <w:pPr>
              <w:ind w:left="180"/>
              <w:spacing w:after="0" w:line="203" w:lineRule="exact"/>
              <w:rPr>
                <w:sz w:val="20"/>
                <w:szCs w:val="20"/>
                <w:color w:val="auto"/>
              </w:rPr>
            </w:pPr>
            <w:r>
              <w:rPr>
                <w:rFonts w:ascii="Arial" w:cs="Arial" w:eastAsia="Arial" w:hAnsi="Arial"/>
                <w:sz w:val="18"/>
                <w:szCs w:val="18"/>
                <w:color w:val="auto"/>
              </w:rPr>
              <w:t>(Mbbl/d)</w:t>
            </w:r>
          </w:p>
        </w:tc>
        <w:tc>
          <w:tcPr>
            <w:tcW w:w="8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94.3</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88.9</w:t>
            </w:r>
          </w:p>
        </w:tc>
        <w:tc>
          <w:tcPr>
            <w:tcW w:w="1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98.6</w:t>
            </w:r>
          </w:p>
        </w:tc>
        <w:tc>
          <w:tcPr>
            <w:tcW w:w="1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(1) Exclusive of volume throughput for Ohio Gathering. For additional information, see the "Ohio Gathering" section herein.</w:t>
      </w:r>
    </w:p>
    <w:p>
      <w:pPr>
        <w:spacing w:after="0" w:line="88"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b w:val="1"/>
          <w:bCs w:val="1"/>
          <w:i w:val="1"/>
          <w:iCs w:val="1"/>
          <w:color w:val="auto"/>
        </w:rPr>
        <w:t xml:space="preserve">Volumes – Gas. </w:t>
      </w:r>
      <w:r>
        <w:rPr>
          <w:rFonts w:ascii="Arial" w:cs="Arial" w:eastAsia="Arial" w:hAnsi="Arial"/>
          <w:sz w:val="18"/>
          <w:szCs w:val="18"/>
          <w:color w:val="auto"/>
        </w:rPr>
        <w:t>Natural gas throughput volumes decreased 429 MMcf/d compared to the three months ended June 30,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68" w:lineRule="exact"/>
        <w:rPr>
          <w:sz w:val="20"/>
          <w:szCs w:val="20"/>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177 MMcf/d for the Marcellus Shale segment.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155 MMcf/d for the Utica Shale segment.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volume throughput decrease of 98 MMcf/d for the Piceance Basin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Natural gas throughput volumes decreased 348 MMcf/d compared to the six months ended June 30, 2018, primarily reflecting:</w:t>
      </w:r>
    </w:p>
    <w:p>
      <w:pPr>
        <w:spacing w:after="0" w:line="104" w:lineRule="exact"/>
        <w:rPr>
          <w:sz w:val="20"/>
          <w:szCs w:val="20"/>
          <w:color w:val="auto"/>
        </w:rPr>
      </w:pPr>
    </w:p>
    <w:p>
      <w:pPr>
        <w:ind w:left="800" w:hanging="40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volume throughput decrease of 160 MMcf/d for the Marcellus Shale segment.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volume throughput decrease of 113 MMcf/d for the Utica Shale segment.</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volume throughput decrease of 89 MMcf/d for the Piceance Basin segment.</w:t>
      </w:r>
    </w:p>
    <w:p>
      <w:pPr>
        <w:spacing w:after="0" w:line="9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Volumes – Liquids. </w:t>
      </w:r>
      <w:r>
        <w:rPr>
          <w:rFonts w:ascii="Arial" w:cs="Arial" w:eastAsia="Arial" w:hAnsi="Arial"/>
          <w:sz w:val="18"/>
          <w:szCs w:val="18"/>
          <w:color w:val="auto"/>
        </w:rPr>
        <w:t>Crude oil and produced water throughput volumes in the Williston Basin segment increased 5.4 Mbbl/d and 11.7 Mbbl/d,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compared to the three and six months ended June 30, 2018.</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38" w:name="page39"/>
    <w:bookmarkEnd w:id="38"/>
    <w:p>
      <w:pPr>
        <w:ind w:right="440"/>
        <w:spacing w:after="0" w:line="246" w:lineRule="auto"/>
        <w:rPr>
          <w:sz w:val="20"/>
          <w:szCs w:val="20"/>
          <w:color w:val="auto"/>
        </w:rPr>
      </w:pPr>
      <w:r>
        <w:rPr>
          <w:rFonts w:ascii="Arial" w:cs="Arial" w:eastAsia="Arial" w:hAnsi="Arial"/>
          <w:sz w:val="18"/>
          <w:szCs w:val="18"/>
          <w:color w:val="auto"/>
        </w:rPr>
        <w:t>For additional information on volumes, see the "Segment Overview for the Three and Six Months Ended June 30, 2019 and 2018" section herein.</w:t>
      </w:r>
    </w:p>
    <w:p>
      <w:pPr>
        <w:spacing w:after="0" w:line="67"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Total revenues decreased $28.5 million compared to the three months ended June 30, 2018 primarily comprised of a $14.5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in gathering services and related fees and a $13.6 million decrease in natural gas, NGLs and condensate sales.</w:t>
      </w:r>
    </w:p>
    <w:p>
      <w:pPr>
        <w:spacing w:after="0" w:line="54"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$14.5 million compared to the three months ended June 30, 2018, primarily reflecting:</w:t>
      </w:r>
    </w:p>
    <w:p>
      <w:pPr>
        <w:spacing w:after="0" w:line="89" w:lineRule="exact"/>
        <w:rPr>
          <w:sz w:val="20"/>
          <w:szCs w:val="20"/>
          <w:color w:val="auto"/>
        </w:rPr>
      </w:pPr>
    </w:p>
    <w:p>
      <w:pPr>
        <w:ind w:left="800" w:right="200" w:hanging="400"/>
        <w:spacing w:after="0" w:line="238"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$7.4 million decrease in gathering services and related fees in the Williston Basin primarily reflecting (i) $5.4 million in lower MVC shortfall revenue attributable to the timing of revenue recognition and (ii) a $3.0 million decrease in gathering services and related fees attributable to the sale of the Tioga Midstream system on March 22, 2019, whose 2019 financial results are included for the period from January 1, 2019 through March 22, 2019. This was partially offset by an increase relating to higher liquids volume throughput in the Williston Basin due to increased drilling activity.</w:t>
      </w:r>
    </w:p>
    <w:p>
      <w:pPr>
        <w:spacing w:after="0" w:line="94" w:lineRule="exact"/>
        <w:rPr>
          <w:rFonts w:ascii="Arial" w:cs="Arial" w:eastAsia="Arial" w:hAnsi="Arial"/>
          <w:sz w:val="18"/>
          <w:szCs w:val="18"/>
          <w:color w:val="auto"/>
        </w:rPr>
      </w:pPr>
    </w:p>
    <w:p>
      <w:pPr>
        <w:ind w:left="800" w:right="40" w:hanging="400"/>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$3.1 million decrease in gathering services and related fees in the Piceance Basin relating to lower volume throughput due to lower drilling activity and natural production declines.</w:t>
      </w:r>
    </w:p>
    <w:p>
      <w:pPr>
        <w:spacing w:after="0" w:line="88" w:lineRule="exact"/>
        <w:rPr>
          <w:rFonts w:ascii="Arial" w:cs="Arial" w:eastAsia="Arial" w:hAnsi="Arial"/>
          <w:sz w:val="18"/>
          <w:szCs w:val="18"/>
          <w:color w:val="auto"/>
        </w:rPr>
      </w:pPr>
    </w:p>
    <w:p>
      <w:pPr>
        <w:ind w:left="800" w:right="140" w:hanging="400"/>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$2.8 million decrease in gathering services and related fees in the Utica Shale due to natural production declines on existing wells partially offset by the completion of new wells at the end of the fourth quarter of 2018 and in the first half of 2019.</w:t>
      </w:r>
    </w:p>
    <w:p>
      <w:pPr>
        <w:spacing w:after="0" w:line="88" w:lineRule="exact"/>
        <w:rPr>
          <w:rFonts w:ascii="Arial" w:cs="Arial" w:eastAsia="Arial" w:hAnsi="Arial"/>
          <w:sz w:val="18"/>
          <w:szCs w:val="18"/>
          <w:color w:val="auto"/>
        </w:rPr>
      </w:pPr>
    </w:p>
    <w:p>
      <w:pPr>
        <w:ind w:left="800" w:hanging="400"/>
        <w:spacing w:after="0" w:line="239"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$1.5 million decrease in gathering services and related fees in the Barnett Shale primarily reflecting lower volume throughput and lower gathering rate mix. Also impacting 2019 revenues was the presentation of $1.2 million of gathering services as a reduction to cost of natural gas and NGLs due to the transfer of certain marketing arrangements from Corporate and Other to our DFW Midstream operations.</w:t>
      </w:r>
    </w:p>
    <w:p>
      <w:pPr>
        <w:spacing w:after="0" w:line="93" w:lineRule="exact"/>
        <w:rPr>
          <w:rFonts w:ascii="Arial" w:cs="Arial" w:eastAsia="Arial" w:hAnsi="Arial"/>
          <w:sz w:val="18"/>
          <w:szCs w:val="18"/>
          <w:color w:val="auto"/>
        </w:rPr>
      </w:pPr>
    </w:p>
    <w:p>
      <w:pPr>
        <w:ind w:left="800" w:right="480" w:hanging="400"/>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$2.2 million decrease in gathering services and related fees in the Marcellus Shale relating to lower volume throughput due to natural production declines.</w:t>
      </w:r>
    </w:p>
    <w:p>
      <w:pPr>
        <w:spacing w:after="0" w:line="88" w:lineRule="exact"/>
        <w:rPr>
          <w:rFonts w:ascii="Arial" w:cs="Arial" w:eastAsia="Arial" w:hAnsi="Arial"/>
          <w:sz w:val="18"/>
          <w:szCs w:val="18"/>
          <w:color w:val="auto"/>
        </w:rPr>
      </w:pPr>
    </w:p>
    <w:p>
      <w:pPr>
        <w:ind w:left="800" w:right="200" w:hanging="400"/>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$1.5 million increase in gathering services and related fees in the DJ Basin relating to higher volume throughput due to increased drilling activity and a more favorable volume mix from customers, partially offset by natural production declines.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$0.6 million in gathering services and related fees in the Permian Basin (commissioned in the fourth quarter of 2018).</w:t>
      </w:r>
    </w:p>
    <w:p>
      <w:pPr>
        <w:spacing w:after="0" w:line="117"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$13.6 million compared to the three months ended June 30, 2018, primarily reflecting lower natural gas, NGL and crude oil marketing services.</w:t>
      </w:r>
    </w:p>
    <w:p>
      <w:pPr>
        <w:spacing w:after="0" w:line="8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Total revenues decreased $14.4 million compared to the six months ended June 30, 2018 primarily comprised of an $11.9 million decrease in gathering services and related fees and a $1.8 million decrease in natural gas, NGLs and condensate sales.</w:t>
      </w:r>
    </w:p>
    <w:p>
      <w:pPr>
        <w:spacing w:after="0" w:line="75"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u w:val="single" w:color="auto"/>
          <w:color w:val="auto"/>
        </w:rPr>
        <w:t>Gathering Services and Related Fees</w:t>
      </w:r>
      <w:r>
        <w:rPr>
          <w:rFonts w:ascii="Arial" w:cs="Arial" w:eastAsia="Arial" w:hAnsi="Arial"/>
          <w:sz w:val="18"/>
          <w:szCs w:val="18"/>
          <w:color w:val="auto"/>
        </w:rPr>
        <w:t>. Gathering services and related fees decreased $11.9 million compared to the six months ended June 30, 2018, primarily reflecting:</w:t>
      </w:r>
    </w:p>
    <w:p>
      <w:pPr>
        <w:spacing w:after="0" w:line="89" w:lineRule="exact"/>
        <w:rPr>
          <w:sz w:val="20"/>
          <w:szCs w:val="20"/>
          <w:color w:val="auto"/>
        </w:rPr>
      </w:pPr>
    </w:p>
    <w:p>
      <w:pPr>
        <w:ind w:left="800" w:hanging="400"/>
        <w:spacing w:after="0" w:line="239"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$5.4 million decrease in gathering services and related fees in the Utica Shale due to a combination of natural production declines on existing wells together with increased temporary production curtailments associated with infill drilling, completion activity and other operational downtime associated with customers on existing pad sites, partially offset by the completion of new wells at the end of the fourth quarter of 2018 and in the first half of 2019.</w:t>
      </w:r>
    </w:p>
    <w:p>
      <w:pPr>
        <w:spacing w:after="0" w:line="93" w:lineRule="exact"/>
        <w:rPr>
          <w:rFonts w:ascii="Arial" w:cs="Arial" w:eastAsia="Arial" w:hAnsi="Arial"/>
          <w:sz w:val="18"/>
          <w:szCs w:val="18"/>
          <w:color w:val="auto"/>
        </w:rPr>
      </w:pPr>
    </w:p>
    <w:p>
      <w:pPr>
        <w:ind w:left="800" w:right="40" w:hanging="400"/>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$4.4 million decrease in gathering services and related fees in the Piceance Basin relating to lower volume throughput due to lower drilling activity and natural production declines.</w:t>
      </w:r>
    </w:p>
    <w:p>
      <w:pPr>
        <w:spacing w:after="0" w:line="88" w:lineRule="exact"/>
        <w:rPr>
          <w:rFonts w:ascii="Arial" w:cs="Arial" w:eastAsia="Arial" w:hAnsi="Arial"/>
          <w:sz w:val="18"/>
          <w:szCs w:val="18"/>
          <w:color w:val="auto"/>
        </w:rPr>
      </w:pPr>
    </w:p>
    <w:p>
      <w:pPr>
        <w:ind w:left="800" w:right="480" w:hanging="400"/>
        <w:spacing w:after="0" w:line="246"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$3.8 million decrease in gathering services and related fees in the Marcellus Shale relating to lower volume throughput due to natural production declines.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39" w:name="page40"/>
    <w:bookmarkEnd w:id="39"/>
    <w:p>
      <w:pPr>
        <w:ind w:left="800" w:hanging="400"/>
        <w:spacing w:after="0" w:line="23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$2.1 million decrease in gathering services and related fees in the Barnett Shale primarily reflecting lower volume throughput and lower gathering rate mix. Also impacting 2019 revenues was the presentation of $1.2 million of gathering services as a reduction to cost of natural gas and NGLs due to the transfer of certain marketing arrangements from Corporate and Other to our DFW Midstream operations.</w:t>
      </w:r>
    </w:p>
    <w:p>
      <w:pPr>
        <w:spacing w:after="0" w:line="93" w:lineRule="exact"/>
        <w:rPr>
          <w:rFonts w:ascii="Arial" w:cs="Arial" w:eastAsia="Arial" w:hAnsi="Arial"/>
          <w:sz w:val="18"/>
          <w:szCs w:val="18"/>
          <w:color w:val="auto"/>
        </w:rPr>
      </w:pPr>
    </w:p>
    <w:p>
      <w:pPr>
        <w:ind w:left="800" w:right="200" w:hanging="400"/>
        <w:spacing w:after="0" w:line="246"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$3.1 million increase in gathering services and related fees in the DJ Basin relating to higher volume throughput due to increased drilling activity and a more favorable volume mix from customers, partially offset by natural production declines.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$1.0 million in gathering services and related fees in the Permian Basin (commissioned in the fourth quarter of 2018).</w:t>
      </w:r>
    </w:p>
    <w:p>
      <w:pPr>
        <w:spacing w:after="0" w:line="117" w:lineRule="exact"/>
        <w:rPr>
          <w:rFonts w:ascii="Arial" w:cs="Arial" w:eastAsia="Arial" w:hAnsi="Arial"/>
          <w:sz w:val="18"/>
          <w:szCs w:val="18"/>
          <w:color w:val="auto"/>
        </w:rPr>
      </w:pPr>
    </w:p>
    <w:p>
      <w:pPr>
        <w:ind w:left="800" w:right="60" w:hanging="400"/>
        <w:spacing w:after="0" w:line="239" w:lineRule="auto"/>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$0.6 million increase in gathering services and related fees in the Williston Basin primarily reflecting higher liquids volume throughput due to increased drilling activity. This was partially offset by a $4.4 million decrease in gathering services and related fees attributable to the sale of the Tioga Midstream system on March 22, 2019, whose 2019 financial results are included for the period from January 1, 2019 through March 22, 2019.</w:t>
      </w:r>
    </w:p>
    <w:p>
      <w:pPr>
        <w:spacing w:after="0" w:line="94"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u w:val="single" w:color="auto"/>
          <w:color w:val="auto"/>
        </w:rPr>
        <w:t>Natural Gas, NGLs and Condensate Sales</w:t>
      </w:r>
      <w:r>
        <w:rPr>
          <w:rFonts w:ascii="Arial" w:cs="Arial" w:eastAsia="Arial" w:hAnsi="Arial"/>
          <w:sz w:val="18"/>
          <w:szCs w:val="18"/>
          <w:color w:val="auto"/>
        </w:rPr>
        <w:t>. Natural gas, NGLs and condensate sales decreased $1.8 million compared to the six months ended June 30, 2018, primarily reflecting lower natural gas, NGL and crude oil marketing services.</w:t>
      </w:r>
    </w:p>
    <w:p>
      <w:pPr>
        <w:spacing w:after="0" w:line="67"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b w:val="1"/>
          <w:bCs w:val="1"/>
          <w:i w:val="1"/>
          <w:iCs w:val="1"/>
          <w:color w:val="auto"/>
        </w:rPr>
        <w:t xml:space="preserve">Costs and Expenses. </w:t>
      </w:r>
      <w:r>
        <w:rPr>
          <w:rFonts w:ascii="Arial" w:cs="Arial" w:eastAsia="Arial" w:hAnsi="Arial"/>
          <w:sz w:val="18"/>
          <w:szCs w:val="18"/>
          <w:color w:val="auto"/>
        </w:rPr>
        <w:t>Total costs and expenses decreased $17.7 million, compared to the three months ended June 30, 2018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reflecting:</w:t>
      </w:r>
    </w:p>
    <w:p>
      <w:pPr>
        <w:spacing w:after="0" w:line="54" w:lineRule="exact"/>
        <w:rPr>
          <w:sz w:val="20"/>
          <w:szCs w:val="20"/>
          <w:color w:val="auto"/>
        </w:rPr>
      </w:pPr>
    </w:p>
    <w:p>
      <w:pPr>
        <w:ind w:left="800" w:right="280" w:hanging="400"/>
        <w:spacing w:after="0" w:line="262"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$12.8 million decrease in natural gas, NGLs and condensate purchases primarily driven by lower natural gas, NGL and crude oil marketing activity.</w:t>
      </w:r>
    </w:p>
    <w:p>
      <w:pPr>
        <w:spacing w:after="0" w:line="74" w:lineRule="exact"/>
        <w:rPr>
          <w:rFonts w:ascii="Arial" w:cs="Arial" w:eastAsia="Arial" w:hAnsi="Arial"/>
          <w:sz w:val="18"/>
          <w:szCs w:val="18"/>
          <w:color w:val="auto"/>
        </w:rPr>
      </w:pPr>
    </w:p>
    <w:p>
      <w:pPr>
        <w:ind w:left="800" w:right="240" w:hanging="400"/>
        <w:spacing w:after="0" w:line="246"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$3.3 million decrease in general and administrative expense due to a $2.0 million decrease in compensation expense and a $1.3 million decrease in professional service fees.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$0.7 million decrease in operation and maintenance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Total costs and expenses increased $42.3 million, compared to the six months ended June 30, 2018 primarily reflecting:</w:t>
      </w:r>
    </w:p>
    <w:p>
      <w:pPr>
        <w:spacing w:after="0" w:line="117" w:lineRule="exact"/>
        <w:rPr>
          <w:sz w:val="20"/>
          <w:szCs w:val="20"/>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recognition of $34.7 million of certain long-lived asset impairments in the DJ Basin.</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recognition of $10.2 million of certain long-lived asset impairments in the Barnett Shale.</w:t>
      </w:r>
    </w:p>
    <w:p>
      <w:pPr>
        <w:spacing w:after="0" w:line="117" w:lineRule="exact"/>
        <w:rPr>
          <w:rFonts w:ascii="Arial" w:cs="Arial" w:eastAsia="Arial" w:hAnsi="Arial"/>
          <w:sz w:val="18"/>
          <w:szCs w:val="18"/>
          <w:color w:val="auto"/>
        </w:rPr>
      </w:pPr>
    </w:p>
    <w:p>
      <w:pPr>
        <w:ind w:left="800" w:right="160" w:hanging="400"/>
        <w:spacing w:after="0" w:line="262"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$1.1 million increase in depreciation and amortization, which was primarily driven by the assets placed into service in the Permian Basin.</w:t>
      </w:r>
    </w:p>
    <w:p>
      <w:pPr>
        <w:spacing w:after="0" w:line="74" w:lineRule="exact"/>
        <w:rPr>
          <w:rFonts w:ascii="Arial" w:cs="Arial" w:eastAsia="Arial" w:hAnsi="Arial"/>
          <w:sz w:val="18"/>
          <w:szCs w:val="18"/>
          <w:color w:val="auto"/>
        </w:rPr>
      </w:pPr>
    </w:p>
    <w:p>
      <w:pPr>
        <w:jc w:val="both"/>
        <w:ind w:left="800" w:right="6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$0.4 million decrease in general and administrative expense primarily due to a $1.7 million decrease in compensation expense and a $1.6 million decrease in professional service fees, partially offset by the recognition of $3.4 million in severance expense relating to our former Chief Executive Officer.</w:t>
      </w:r>
    </w:p>
    <w:p>
      <w:pPr>
        <w:spacing w:after="0" w:line="94" w:lineRule="exact"/>
        <w:rPr>
          <w:rFonts w:ascii="Arial" w:cs="Arial" w:eastAsia="Arial" w:hAnsi="Arial"/>
          <w:sz w:val="18"/>
          <w:szCs w:val="18"/>
          <w:color w:val="auto"/>
        </w:rPr>
      </w:pPr>
    </w:p>
    <w:p>
      <w:pPr>
        <w:ind w:left="800" w:right="380" w:hanging="400"/>
        <w:spacing w:after="0" w:line="262"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$1.3 million decrease in natural gas, NGLs and condensate purchases primarily driven by lower natural gas, NGL and crude oil marketing activity.</w:t>
      </w:r>
    </w:p>
    <w:p>
      <w:pPr>
        <w:spacing w:after="0" w:line="74" w:lineRule="exact"/>
        <w:rPr>
          <w:rFonts w:ascii="Arial" w:cs="Arial" w:eastAsia="Arial" w:hAnsi="Arial"/>
          <w:sz w:val="18"/>
          <w:szCs w:val="18"/>
          <w:color w:val="auto"/>
        </w:rPr>
      </w:pPr>
    </w:p>
    <w:p>
      <w:pPr>
        <w:ind w:left="800" w:hanging="400"/>
        <w:spacing w:after="0"/>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$1.1 million decrease in operation and maintenance expense.</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decreased $12.8 million and $1.3 million compared to the three and six months ended June 30, 2018, primarily driven by lower natural gas, NGL and crude oil marketing activity.</w:t>
      </w:r>
    </w:p>
    <w:p>
      <w:pPr>
        <w:spacing w:after="0" w:line="7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u w:val="single" w:color="auto"/>
          <w:color w:val="auto"/>
        </w:rPr>
        <w:t>Operation and Maintenance</w:t>
      </w:r>
      <w:r>
        <w:rPr>
          <w:rFonts w:ascii="Arial" w:cs="Arial" w:eastAsia="Arial" w:hAnsi="Arial"/>
          <w:sz w:val="18"/>
          <w:szCs w:val="18"/>
          <w:color w:val="auto"/>
        </w:rPr>
        <w:t>. Operation and maintenance expense decreased $0.7 million and $1.1 million compared to the three and six months ended June 30, 2018.</w:t>
      </w:r>
    </w:p>
    <w:p>
      <w:pPr>
        <w:spacing w:after="0" w:line="8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$3.3 million compared to the three months ended June 30, 2018 due to a $2.0 million decrease in compensation expense and a $1.3 million decrease in professional service fees.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40" w:name="page41"/>
    <w:bookmarkEnd w:id="40"/>
    <w:p>
      <w:pPr>
        <w:ind w:right="80"/>
        <w:spacing w:after="0"/>
        <w:rPr>
          <w:sz w:val="20"/>
          <w:szCs w:val="20"/>
          <w:color w:val="auto"/>
        </w:rPr>
      </w:pPr>
      <w:r>
        <w:rPr>
          <w:rFonts w:ascii="Arial" w:cs="Arial" w:eastAsia="Arial" w:hAnsi="Arial"/>
          <w:sz w:val="18"/>
          <w:szCs w:val="18"/>
          <w:color w:val="auto"/>
        </w:rPr>
        <w:t>General and administrative expense decreased $0.4 million compared to the six months ended June 30, 2018 primarily due to a $1.7 million decrease in compensation expense and a $1.6 million decrease in professional service fees, partially offset by the recognition of $3.4 million in severance expense relating to our former Chief Executive Officer.</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Depreciation and amortization expense increased $1.1 million compared to the six months ended June 30, 2018, primarily due to the assets placed into service in the Permian Basin.</w:t>
      </w:r>
    </w:p>
    <w:p>
      <w:pPr>
        <w:spacing w:after="0" w:line="89" w:lineRule="exact"/>
        <w:rPr>
          <w:sz w:val="20"/>
          <w:szCs w:val="20"/>
          <w:color w:val="auto"/>
        </w:rPr>
      </w:pPr>
    </w:p>
    <w:p>
      <w:pPr>
        <w:ind w:right="700"/>
        <w:spacing w:after="0" w:line="24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six months ended June 30, 2019 relate to financial advisory costs primarily associated with the Equity Restructuring.</w:t>
      </w:r>
    </w:p>
    <w:p>
      <w:pPr>
        <w:spacing w:after="0" w:line="89" w:lineRule="exact"/>
        <w:rPr>
          <w:sz w:val="20"/>
          <w:szCs w:val="20"/>
          <w:color w:val="auto"/>
        </w:rPr>
      </w:pPr>
    </w:p>
    <w:p>
      <w:pPr>
        <w:ind w:right="680"/>
        <w:spacing w:after="0" w:line="262"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$3.1 million and $5.5 million compared to the three and six months ended June 30, 2018, primarily as a result of a higher average outstanding balance on the Revolving Credit Facility.</w:t>
      </w:r>
    </w:p>
    <w:p>
      <w:pPr>
        <w:spacing w:after="0" w:line="75" w:lineRule="exact"/>
        <w:rPr>
          <w:sz w:val="20"/>
          <w:szCs w:val="20"/>
          <w:color w:val="auto"/>
        </w:rPr>
      </w:pPr>
    </w:p>
    <w:p>
      <w:pPr>
        <w:jc w:val="both"/>
        <w:ind w:right="400"/>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and six months ended June 30, 2019 represents the change in present value to Remaining Consideration in connection with the 2016 Drop Down (see Note 17 to the unaudited condensed consolidated financial statements).</w:t>
      </w:r>
    </w:p>
    <w:p>
      <w:pPr>
        <w:spacing w:after="0" w:line="95"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For additional information, see the "Segment Overview for the Three and Six Months Ended June 30, 2019 and 2018" and "Corporate and Other Overview for the Three and Six Months Ended June 30, 2019 and 2018" sections herein.</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Overview for the Three and Six Months Ended June 30, 2019 and 2018</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Utica Shale. </w:t>
      </w:r>
      <w:r>
        <w:rPr>
          <w:rFonts w:ascii="Arial" w:cs="Arial" w:eastAsia="Arial" w:hAnsi="Arial"/>
          <w:sz w:val="18"/>
          <w:szCs w:val="18"/>
          <w:color w:val="auto"/>
        </w:rPr>
        <w:t>The Utica Shale reportable segment includes the Summit Utica system. Volume throughput for our Summit Utica system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8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Utica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80" w:type="dxa"/>
            <w:vAlign w:val="bottom"/>
          </w:tcPr>
          <w:p>
            <w:pPr>
              <w:spacing w:after="0"/>
              <w:rPr>
                <w:sz w:val="14"/>
                <w:szCs w:val="14"/>
                <w:color w:val="auto"/>
              </w:rPr>
            </w:pPr>
          </w:p>
        </w:tc>
        <w:tc>
          <w:tcPr>
            <w:tcW w:w="238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4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38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80" w:type="dxa"/>
            <w:vAlign w:val="bottom"/>
            <w:tcBorders>
              <w:bottom w:val="single" w:sz="8" w:color="CFF0FC"/>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5040" w:type="dxa"/>
            <w:vAlign w:val="bottom"/>
            <w:gridSpan w:val="2"/>
            <w:shd w:val="clear" w:color="auto" w:fill="CFF0FC"/>
          </w:tcPr>
          <w:p>
            <w:pPr>
              <w:jc w:val="right"/>
              <w:ind w:right="2208"/>
              <w:spacing w:after="0"/>
              <w:rPr>
                <w:sz w:val="20"/>
                <w:szCs w:val="20"/>
                <w:color w:val="auto"/>
              </w:rPr>
            </w:pPr>
            <w:r>
              <w:rPr>
                <w:rFonts w:ascii="Arial" w:cs="Arial" w:eastAsia="Arial" w:hAnsi="Arial"/>
                <w:sz w:val="18"/>
                <w:szCs w:val="18"/>
                <w:color w:val="auto"/>
                <w:w w:val="99"/>
              </w:rPr>
              <w:t>Average daily throughput (MMcf/d)</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260</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415</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(37%)</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273</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Volume throughput declined compared to the three and six months ended June 30, 2018 due to natural production declines from existing wells on pad sites connected to the Summit Utica, partially offset by the completion of new wells at the end of the fourth quarter of 2018 and in the first half of 2019. For the six months ended June 30, 2019, volume throughput was impacted by an increase in temporary production curtailments associated with infill drilling, completion activity and other operational downtime associated with customers on existing pad sites.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Utica Shale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Utica Shale</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36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6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7,591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10,422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15,086</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20,463</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3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7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7,591</w:t>
            </w:r>
          </w:p>
        </w:tc>
        <w:tc>
          <w:tcPr>
            <w:tcW w:w="12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7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10,422</w:t>
            </w:r>
          </w:p>
        </w:tc>
        <w:tc>
          <w:tcPr>
            <w:tcW w:w="130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15,086</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20,463</w:t>
            </w:r>
          </w:p>
        </w:tc>
        <w:tc>
          <w:tcPr>
            <w:tcW w:w="1220" w:type="dxa"/>
            <w:vAlign w:val="bottom"/>
            <w:tcBorders>
              <w:top w:val="single" w:sz="8" w:color="CFF0FC"/>
            </w:tcBorders>
            <w:shd w:val="clear" w:color="auto" w:fill="CFF0FC"/>
          </w:tcPr>
          <w:p>
            <w:pPr>
              <w:jc w:val="center"/>
              <w:ind w:left="14"/>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1,090</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2,087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2,309</w:t>
            </w:r>
          </w:p>
        </w:tc>
        <w:tc>
          <w:tcPr>
            <w:tcW w:w="122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1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207</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6"/>
        </w:trPr>
        <w:tc>
          <w:tcPr>
            <w:tcW w:w="36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4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2,033</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3,831</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3,886</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74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2,870</w:t>
            </w:r>
          </w:p>
        </w:tc>
        <w:tc>
          <w:tcPr>
            <w:tcW w:w="12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3,228</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6,075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6,402</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3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2,033</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3,831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3,886</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7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1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w:t>
            </w:r>
          </w:p>
        </w:tc>
        <w:tc>
          <w:tcPr>
            <w:tcW w:w="130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9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6,640</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9,223</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12,833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17,938</w:t>
            </w:r>
          </w:p>
        </w:tc>
        <w:tc>
          <w:tcPr>
            <w:tcW w:w="1220" w:type="dxa"/>
            <w:vAlign w:val="bottom"/>
          </w:tcPr>
          <w:p>
            <w:pPr>
              <w:jc w:val="center"/>
              <w:ind w:left="14"/>
              <w:spacing w:after="0"/>
              <w:rPr>
                <w:sz w:val="20"/>
                <w:szCs w:val="20"/>
                <w:color w:val="auto"/>
              </w:rPr>
            </w:pPr>
            <w:r>
              <w:rPr>
                <w:rFonts w:ascii="Arial" w:cs="Arial" w:eastAsia="Arial" w:hAnsi="Arial"/>
                <w:sz w:val="18"/>
                <w:szCs w:val="18"/>
                <w:color w:val="auto"/>
                <w:w w:val="99"/>
              </w:rPr>
              <w:t>(28%)</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1" w:name="page42"/>
    <w:bookmarkEnd w:id="41"/>
    <w:p>
      <w:pPr>
        <w:ind w:right="60"/>
        <w:spacing w:after="0" w:line="246" w:lineRule="auto"/>
        <w:rPr>
          <w:sz w:val="20"/>
          <w:szCs w:val="20"/>
          <w:color w:val="auto"/>
        </w:rPr>
      </w:pPr>
      <w:r>
        <w:rPr>
          <w:rFonts w:ascii="Arial" w:cs="Arial" w:eastAsia="Arial" w:hAnsi="Arial"/>
          <w:sz w:val="18"/>
          <w:szCs w:val="18"/>
          <w:u w:val="single" w:color="auto"/>
          <w:color w:val="auto"/>
        </w:rPr>
        <w:t>Three and Six months ended June 30, 2019</w:t>
      </w:r>
      <w:r>
        <w:rPr>
          <w:rFonts w:ascii="Arial" w:cs="Arial" w:eastAsia="Arial" w:hAnsi="Arial"/>
          <w:sz w:val="18"/>
          <w:szCs w:val="18"/>
          <w:color w:val="auto"/>
        </w:rPr>
        <w:t>. Segment adjusted EBITDA decreased $2.6 million and $5.1 million compared to the three and six months ended June 30, 2018 primarily due to volume throughput declines discussed above.</w:t>
      </w:r>
    </w:p>
    <w:p>
      <w:pPr>
        <w:spacing w:after="0" w:line="6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Ohio Gathering. </w:t>
      </w:r>
      <w:r>
        <w:rPr>
          <w:rFonts w:ascii="Arial" w:cs="Arial" w:eastAsia="Arial" w:hAnsi="Arial"/>
          <w:sz w:val="18"/>
          <w:szCs w:val="18"/>
          <w:color w:val="auto"/>
        </w:rPr>
        <w:t>The Ohio Gathering reportable segment includes OGC and OCC. We account for our investment in Ohio Gathering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equity method. We recognize our proportionate share of earnings or loss in net income on a one-month lag based on the financial information available to us during the reporting period.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Gross volume throughput for Ohio Gathering, based on a one-month lag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580"/>
              <w:spacing w:after="0"/>
              <w:rPr>
                <w:sz w:val="20"/>
                <w:szCs w:val="20"/>
                <w:color w:val="auto"/>
              </w:rPr>
            </w:pPr>
            <w:r>
              <w:rPr>
                <w:rFonts w:ascii="Arial" w:cs="Arial" w:eastAsia="Arial" w:hAnsi="Arial"/>
                <w:sz w:val="14"/>
                <w:szCs w:val="14"/>
                <w:b w:val="1"/>
                <w:bCs w:val="1"/>
                <w:color w:val="auto"/>
              </w:rPr>
              <w:t>Ohio Gathering</w:t>
            </w:r>
          </w:p>
        </w:tc>
        <w:tc>
          <w:tcPr>
            <w:tcW w:w="10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w:t>
            </w:r>
          </w:p>
        </w:tc>
        <w:tc>
          <w:tcPr>
            <w:tcW w:w="222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vMerge w:val="restart"/>
          </w:tcPr>
          <w:p>
            <w:pPr>
              <w:jc w:val="center"/>
              <w:ind w:left="2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8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center"/>
              <w:ind w:left="2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60" w:type="dxa"/>
            <w:vAlign w:val="bottom"/>
            <w:gridSpan w:val="2"/>
            <w:shd w:val="clear" w:color="auto" w:fill="CFF0FC"/>
          </w:tcPr>
          <w:p>
            <w:pPr>
              <w:jc w:val="right"/>
              <w:ind w:right="2128"/>
              <w:spacing w:after="0"/>
              <w:rPr>
                <w:sz w:val="20"/>
                <w:szCs w:val="20"/>
                <w:color w:val="auto"/>
              </w:rPr>
            </w:pPr>
            <w:r>
              <w:rPr>
                <w:rFonts w:ascii="Arial" w:cs="Arial" w:eastAsia="Arial" w:hAnsi="Arial"/>
                <w:sz w:val="18"/>
                <w:szCs w:val="18"/>
                <w:color w:val="auto"/>
                <w:w w:val="99"/>
              </w:rPr>
              <w:t>Average daily throughput (MMcf/d)</w:t>
            </w:r>
          </w:p>
        </w:tc>
        <w:tc>
          <w:tcPr>
            <w:tcW w:w="4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713</w:t>
            </w: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727</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749</w:t>
            </w:r>
          </w:p>
        </w:tc>
        <w:tc>
          <w:tcPr>
            <w:tcW w:w="1220" w:type="dxa"/>
            <w:vAlign w:val="bottom"/>
            <w:shd w:val="clear" w:color="auto" w:fill="CFF0FC"/>
          </w:tcPr>
          <w:p>
            <w:pPr>
              <w:jc w:val="center"/>
              <w:ind w:left="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Volume throughput for Ohio Gathering decreased compared to the three and six months ended June 30, 2018 as a result of natural production declines on existing wells on the system, partially offset by the completion of new wells.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Ohio Gathering reportable segment, based on a one-month lag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Ohio Gathering</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176"/>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vMerge w:val="restart"/>
          </w:tcPr>
          <w:p>
            <w:pPr>
              <w:jc w:val="center"/>
              <w:ind w:left="1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Proportional adjusted EBITDA for equity</w:t>
            </w: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FF0FC"/>
          </w:tcPr>
          <w:p>
            <w:pPr>
              <w:ind w:left="200"/>
              <w:spacing w:after="0" w:line="203" w:lineRule="exact"/>
              <w:rPr>
                <w:sz w:val="20"/>
                <w:szCs w:val="20"/>
                <w:color w:val="auto"/>
              </w:rPr>
            </w:pPr>
            <w:r>
              <w:rPr>
                <w:rFonts w:ascii="Arial" w:cs="Arial" w:eastAsia="Arial" w:hAnsi="Arial"/>
                <w:sz w:val="18"/>
                <w:szCs w:val="18"/>
                <w:color w:val="auto"/>
              </w:rPr>
              <w:t>method investees</w:t>
            </w:r>
          </w:p>
        </w:tc>
        <w:tc>
          <w:tcPr>
            <w:tcW w:w="640" w:type="dxa"/>
            <w:vAlign w:val="bottom"/>
            <w:gridSpan w:val="2"/>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9,939</w:t>
            </w:r>
          </w:p>
        </w:tc>
        <w:tc>
          <w:tcPr>
            <w:tcW w:w="32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8,935</w:t>
            </w:r>
          </w:p>
        </w:tc>
        <w:tc>
          <w:tcPr>
            <w:tcW w:w="136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11%</w:t>
            </w:r>
          </w:p>
        </w:tc>
        <w:tc>
          <w:tcPr>
            <w:tcW w:w="1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19,149</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ind w:right="36"/>
              <w:spacing w:after="0" w:line="203" w:lineRule="exact"/>
              <w:rPr>
                <w:sz w:val="20"/>
                <w:szCs w:val="20"/>
                <w:color w:val="auto"/>
              </w:rPr>
            </w:pPr>
            <w:r>
              <w:rPr>
                <w:rFonts w:ascii="Arial" w:cs="Arial" w:eastAsia="Arial" w:hAnsi="Arial"/>
                <w:sz w:val="18"/>
                <w:szCs w:val="18"/>
                <w:color w:val="auto"/>
              </w:rPr>
              <w:t>19,412</w:t>
            </w:r>
          </w:p>
        </w:tc>
        <w:tc>
          <w:tcPr>
            <w:tcW w:w="1200" w:type="dxa"/>
            <w:vAlign w:val="bottom"/>
            <w:shd w:val="clear" w:color="auto" w:fill="CFF0FC"/>
          </w:tcPr>
          <w:p>
            <w:pPr>
              <w:jc w:val="center"/>
              <w:ind w:left="19"/>
              <w:spacing w:after="0" w:line="203"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
              <w:spacing w:after="0"/>
              <w:rPr>
                <w:sz w:val="20"/>
                <w:szCs w:val="20"/>
                <w:color w:val="auto"/>
              </w:rPr>
            </w:pPr>
            <w:r>
              <w:rPr>
                <w:rFonts w:ascii="Arial" w:cs="Arial" w:eastAsia="Arial" w:hAnsi="Arial"/>
                <w:sz w:val="18"/>
                <w:szCs w:val="18"/>
                <w:color w:val="auto"/>
              </w:rPr>
              <w:t>9,939</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8,935</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9"/>
              <w:spacing w:after="0"/>
              <w:rPr>
                <w:sz w:val="20"/>
                <w:szCs w:val="20"/>
                <w:color w:val="auto"/>
              </w:rPr>
            </w:pPr>
            <w:r>
              <w:rPr>
                <w:rFonts w:ascii="Arial" w:cs="Arial" w:eastAsia="Arial" w:hAnsi="Arial"/>
                <w:sz w:val="18"/>
                <w:szCs w:val="18"/>
                <w:color w:val="auto"/>
              </w:rPr>
              <w:t>19,149</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19,412</w:t>
            </w:r>
          </w:p>
        </w:tc>
        <w:tc>
          <w:tcPr>
            <w:tcW w:w="1200" w:type="dxa"/>
            <w:vAlign w:val="bottom"/>
          </w:tcPr>
          <w:p>
            <w:pPr>
              <w:jc w:val="center"/>
              <w:ind w:left="19"/>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Segment adjusted EBITDA for Ohio Gathering increased $1.0 million compared to the three months ended June 30, 2018 primarily as a result of lower expenses.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Segment adjusted EBITDA for Ohio Gathering decreased $0.3 million compared to the six months ended June 30, 2018.</w:t>
      </w:r>
    </w:p>
    <w:p>
      <w:pPr>
        <w:spacing w:after="0" w:line="8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b w:val="1"/>
          <w:bCs w:val="1"/>
          <w:i w:val="1"/>
          <w:iCs w:val="1"/>
          <w:color w:val="auto"/>
        </w:rPr>
        <w:t xml:space="preserve">Williston Basin. </w:t>
      </w:r>
      <w:r>
        <w:rPr>
          <w:rFonts w:ascii="Arial" w:cs="Arial" w:eastAsia="Arial" w:hAnsi="Arial"/>
          <w:sz w:val="18"/>
          <w:szCs w:val="18"/>
          <w:color w:val="auto"/>
        </w:rPr>
        <w:t>The Polar and Divide, Bison Midstream and Tioga Midstream (through March 22, 2019; refer to Note 17 for details on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sale of Tioga Midstream) systems provide our midstream services for the Williston Basin reportable segment. Volume throughput for our Williston Basin reportable segment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Williston Basin</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60" w:type="dxa"/>
            <w:vAlign w:val="bottom"/>
          </w:tcPr>
          <w:p>
            <w:pPr>
              <w:spacing w:after="0"/>
              <w:rPr>
                <w:sz w:val="14"/>
                <w:szCs w:val="14"/>
                <w:color w:val="auto"/>
              </w:rPr>
            </w:pPr>
          </w:p>
        </w:tc>
        <w:tc>
          <w:tcPr>
            <w:tcW w:w="2380" w:type="dxa"/>
            <w:vAlign w:val="bottom"/>
            <w:gridSpan w:val="4"/>
          </w:tcPr>
          <w:p>
            <w:pPr>
              <w:ind w:left="60"/>
              <w:spacing w:after="0"/>
              <w:rPr>
                <w:sz w:val="20"/>
                <w:szCs w:val="20"/>
                <w:color w:val="auto"/>
              </w:rPr>
            </w:pPr>
            <w:r>
              <w:rPr>
                <w:rFonts w:ascii="Arial" w:cs="Arial" w:eastAsia="Arial" w:hAnsi="Arial"/>
                <w:sz w:val="14"/>
                <w:szCs w:val="14"/>
                <w:b w:val="1"/>
                <w:bCs w:val="1"/>
                <w:color w:val="auto"/>
              </w:rPr>
              <w:t>Three months ended June 30,</w:t>
            </w:r>
          </w:p>
        </w:tc>
        <w:tc>
          <w:tcPr>
            <w:tcW w:w="12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Percentage</w:t>
            </w:r>
          </w:p>
        </w:tc>
        <w:tc>
          <w:tcPr>
            <w:tcW w:w="23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14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60" w:type="dxa"/>
            <w:vAlign w:val="bottom"/>
          </w:tcPr>
          <w:p>
            <w:pPr>
              <w:spacing w:after="0"/>
              <w:rPr>
                <w:sz w:val="15"/>
                <w:szCs w:val="15"/>
                <w:color w:val="auto"/>
              </w:rPr>
            </w:pPr>
          </w:p>
        </w:tc>
        <w:tc>
          <w:tcPr>
            <w:tcW w:w="108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108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Change</w:t>
            </w:r>
          </w:p>
        </w:tc>
        <w:tc>
          <w:tcPr>
            <w:tcW w:w="1060" w:type="dxa"/>
            <w:vAlign w:val="bottom"/>
          </w:tcPr>
          <w:p>
            <w:pPr>
              <w:jc w:val="right"/>
              <w:ind w:right="3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5"/>
                <w:szCs w:val="15"/>
                <w:color w:val="auto"/>
              </w:rPr>
            </w:pPr>
          </w:p>
        </w:tc>
        <w:tc>
          <w:tcPr>
            <w:tcW w:w="1060" w:type="dxa"/>
            <w:vAlign w:val="bottom"/>
          </w:tcPr>
          <w:p>
            <w:pPr>
              <w:jc w:val="right"/>
              <w:ind w:right="356"/>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5"/>
                <w:szCs w:val="15"/>
                <w:color w:val="auto"/>
              </w:rPr>
            </w:pPr>
          </w:p>
        </w:tc>
        <w:tc>
          <w:tcPr>
            <w:tcW w:w="1140" w:type="dxa"/>
            <w:vAlign w:val="bottom"/>
          </w:tcPr>
          <w:p>
            <w:pPr>
              <w:jc w:val="right"/>
              <w:ind w:right="2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0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natural gas (MMcf/d)</w:t>
            </w:r>
          </w:p>
        </w:tc>
        <w:tc>
          <w:tcPr>
            <w:tcW w:w="1080" w:type="dxa"/>
            <w:vAlign w:val="bottom"/>
            <w:shd w:val="clear" w:color="auto" w:fill="CFF0FC"/>
          </w:tcPr>
          <w:p>
            <w:pPr>
              <w:jc w:val="right"/>
              <w:ind w:right="359"/>
              <w:spacing w:after="0" w:line="203" w:lineRule="exact"/>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56"/>
              <w:spacing w:after="0" w:line="203" w:lineRule="exact"/>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21"/>
              <w:spacing w:after="0" w:line="203" w:lineRule="exact"/>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9"/>
              <w:spacing w:after="0" w:line="203" w:lineRule="exact"/>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56"/>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259"/>
              <w:spacing w:after="0" w:line="203"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Aggregate average daily throughput -</w:t>
            </w: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36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liquids (Mbbl/d)</w:t>
            </w:r>
          </w:p>
        </w:tc>
        <w:tc>
          <w:tcPr>
            <w:tcW w:w="1080" w:type="dxa"/>
            <w:vAlign w:val="bottom"/>
            <w:shd w:val="clear" w:color="auto" w:fill="CFF0FC"/>
          </w:tcPr>
          <w:p>
            <w:pPr>
              <w:jc w:val="right"/>
              <w:ind w:right="299"/>
              <w:spacing w:after="0" w:line="203" w:lineRule="exact"/>
              <w:rPr>
                <w:sz w:val="20"/>
                <w:szCs w:val="20"/>
                <w:color w:val="auto"/>
              </w:rPr>
            </w:pPr>
            <w:r>
              <w:rPr>
                <w:rFonts w:ascii="Arial" w:cs="Arial" w:eastAsia="Arial" w:hAnsi="Arial"/>
                <w:sz w:val="18"/>
                <w:szCs w:val="18"/>
                <w:color w:val="auto"/>
              </w:rPr>
              <w:t>94.3</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276"/>
              <w:spacing w:after="0" w:line="203" w:lineRule="exact"/>
              <w:rPr>
                <w:sz w:val="20"/>
                <w:szCs w:val="20"/>
                <w:color w:val="auto"/>
              </w:rPr>
            </w:pPr>
            <w:r>
              <w:rPr>
                <w:rFonts w:ascii="Arial" w:cs="Arial" w:eastAsia="Arial" w:hAnsi="Arial"/>
                <w:sz w:val="18"/>
                <w:szCs w:val="18"/>
                <w:color w:val="auto"/>
              </w:rPr>
              <w:t>88.9</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41"/>
              <w:spacing w:after="0" w:line="203"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79"/>
              <w:spacing w:after="0" w:line="203" w:lineRule="exact"/>
              <w:rPr>
                <w:sz w:val="20"/>
                <w:szCs w:val="20"/>
                <w:color w:val="auto"/>
              </w:rPr>
            </w:pPr>
            <w:r>
              <w:rPr>
                <w:rFonts w:ascii="Arial" w:cs="Arial" w:eastAsia="Arial" w:hAnsi="Arial"/>
                <w:sz w:val="18"/>
                <w:szCs w:val="18"/>
                <w:color w:val="auto"/>
              </w:rPr>
              <w:t>98.6</w:t>
            </w: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276"/>
              <w:spacing w:after="0" w:line="203" w:lineRule="exact"/>
              <w:rPr>
                <w:sz w:val="20"/>
                <w:szCs w:val="20"/>
                <w:color w:val="auto"/>
              </w:rPr>
            </w:pPr>
            <w:r>
              <w:rPr>
                <w:rFonts w:ascii="Arial" w:cs="Arial" w:eastAsia="Arial" w:hAnsi="Arial"/>
                <w:sz w:val="18"/>
                <w:szCs w:val="18"/>
                <w:color w:val="auto"/>
              </w:rPr>
              <w:t>86.9</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319"/>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u w:val="single" w:color="auto"/>
          <w:color w:val="auto"/>
        </w:rPr>
        <w:t>Natural gas</w:t>
      </w:r>
      <w:r>
        <w:rPr>
          <w:rFonts w:ascii="Arial" w:cs="Arial" w:eastAsia="Arial" w:hAnsi="Arial"/>
          <w:sz w:val="18"/>
          <w:szCs w:val="18"/>
          <w:color w:val="auto"/>
        </w:rPr>
        <w:t>. Natural gas volume throughput decreased compared to the three and six months ended June 30, 2018 primarily reflecting natural production declines, the sale of Tioga Midstream and operational downtime on the Bison Midstream system.</w:t>
      </w:r>
    </w:p>
    <w:p>
      <w:pPr>
        <w:spacing w:after="0" w:line="89" w:lineRule="exact"/>
        <w:rPr>
          <w:sz w:val="20"/>
          <w:szCs w:val="20"/>
          <w:color w:val="auto"/>
        </w:rPr>
      </w:pPr>
    </w:p>
    <w:p>
      <w:pPr>
        <w:ind w:right="400"/>
        <w:spacing w:after="0"/>
        <w:rPr>
          <w:sz w:val="20"/>
          <w:szCs w:val="20"/>
          <w:color w:val="auto"/>
        </w:rPr>
      </w:pPr>
      <w:r>
        <w:rPr>
          <w:rFonts w:ascii="Arial" w:cs="Arial" w:eastAsia="Arial" w:hAnsi="Arial"/>
          <w:sz w:val="18"/>
          <w:szCs w:val="18"/>
          <w:u w:val="single" w:color="auto"/>
          <w:color w:val="auto"/>
        </w:rPr>
        <w:t>Liquids</w:t>
      </w:r>
      <w:r>
        <w:rPr>
          <w:rFonts w:ascii="Arial" w:cs="Arial" w:eastAsia="Arial" w:hAnsi="Arial"/>
          <w:sz w:val="18"/>
          <w:szCs w:val="18"/>
          <w:color w:val="auto"/>
        </w:rPr>
        <w:t>. The increase in liquids volume throughput compared to the three and six months ended June 30, 2018, primarily reflected well completion activity by existing customers on our Polar and Divide system in 2018 and in the first half of 2019 as well as the addition of new customers, partially offset by the sale of Tioga Midstream and natural production declines.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Financial data for our Williston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Williston Basin</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Borders>
              <w:bottom w:val="single" w:sz="8" w:color="auto"/>
            </w:tcBorders>
            <w:gridSpan w:val="5"/>
          </w:tcPr>
          <w:p>
            <w:pPr>
              <w:jc w:val="right"/>
              <w:ind w:right="91"/>
              <w:spacing w:after="0"/>
              <w:rPr>
                <w:sz w:val="20"/>
                <w:szCs w:val="20"/>
                <w:color w:val="auto"/>
              </w:rPr>
            </w:pPr>
            <w:r>
              <w:rPr>
                <w:rFonts w:ascii="Arial" w:cs="Arial" w:eastAsia="Arial" w:hAnsi="Arial"/>
                <w:sz w:val="14"/>
                <w:szCs w:val="14"/>
                <w:b w:val="1"/>
                <w:bCs w:val="1"/>
                <w:color w:val="auto"/>
              </w:rPr>
              <w:t>Three months ended June 30,</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Six months ended June 30,</w:t>
            </w:r>
          </w:p>
        </w:tc>
        <w:tc>
          <w:tcPr>
            <w:tcW w:w="12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500" w:type="dxa"/>
            <w:vAlign w:val="bottom"/>
            <w:gridSpan w:val="4"/>
          </w:tcPr>
          <w:p>
            <w:pPr>
              <w:jc w:val="center"/>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15,685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23,106</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41,391</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40,772</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3,768</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7,350</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(49%)</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9,353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15,196</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(38%)</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2,670</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2,960</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(10%)</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5,578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5,872</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22,123</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33,416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(34%)</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56,322</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61,840</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1,052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4,200</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(75%)</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3,761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8,808</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(57%)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5,706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5,885</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12,222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12,710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597</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(38%)</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1,364</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4,734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5,622</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(16%)</w:t>
            </w:r>
          </w:p>
        </w:tc>
        <w:tc>
          <w:tcPr>
            <w:tcW w:w="120" w:type="dxa"/>
            <w:vAlign w:val="bottom"/>
          </w:tcPr>
          <w:p>
            <w:pPr>
              <w:spacing w:after="0"/>
              <w:rPr>
                <w:sz w:val="18"/>
                <w:szCs w:val="18"/>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10,170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11,231</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(Gain) loss on asset sales, net</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62</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62</w:t>
            </w: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5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11,696</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16,366</w:t>
            </w: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(29%)</w:t>
            </w: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25,740</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34,175</w:t>
            </w:r>
          </w:p>
        </w:tc>
        <w:tc>
          <w:tcPr>
            <w:tcW w:w="122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0"/>
        </w:trPr>
        <w:tc>
          <w:tcPr>
            <w:tcW w:w="382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4,734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5,622</w:t>
            </w: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10,170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11,231</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tcPr>
          <w:p>
            <w:pPr>
              <w:ind w:left="140"/>
              <w:spacing w:after="0"/>
              <w:rPr>
                <w:sz w:val="20"/>
                <w:szCs w:val="20"/>
                <w:color w:val="auto"/>
              </w:rPr>
            </w:pPr>
            <w:r>
              <w:rPr>
                <w:rFonts w:ascii="Arial" w:cs="Arial" w:eastAsia="Arial" w:hAnsi="Arial"/>
                <w:sz w:val="18"/>
                <w:szCs w:val="18"/>
                <w:color w:val="auto"/>
              </w:rPr>
              <w:t>Adjustments related to MVC shortfall</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340"/>
              <w:spacing w:after="0" w:line="203" w:lineRule="exact"/>
              <w:rPr>
                <w:sz w:val="20"/>
                <w:szCs w:val="20"/>
                <w:color w:val="auto"/>
              </w:rPr>
            </w:pPr>
            <w:r>
              <w:rPr>
                <w:rFonts w:ascii="Arial" w:cs="Arial" w:eastAsia="Arial" w:hAnsi="Arial"/>
                <w:sz w:val="18"/>
                <w:szCs w:val="18"/>
                <w:color w:val="auto"/>
              </w:rPr>
              <w:t>payments</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1"/>
              <w:spacing w:after="0" w:line="203" w:lineRule="exact"/>
              <w:rPr>
                <w:sz w:val="20"/>
                <w:szCs w:val="20"/>
                <w:color w:val="auto"/>
              </w:rPr>
            </w:pPr>
            <w:r>
              <w:rPr>
                <w:rFonts w:ascii="Arial" w:cs="Arial" w:eastAsia="Arial" w:hAnsi="Arial"/>
                <w:sz w:val="18"/>
                <w:szCs w:val="18"/>
                <w:color w:val="auto"/>
              </w:rPr>
              <w:t>2,081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(3,386)</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(3,468)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(3,386)</w:t>
            </w: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(425)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(318)</w:t>
            </w:r>
          </w:p>
        </w:tc>
        <w:tc>
          <w:tcPr>
            <w:tcW w:w="1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(775)</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(572)</w:t>
            </w: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140"/>
              <w:spacing w:after="0"/>
              <w:rPr>
                <w:sz w:val="20"/>
                <w:szCs w:val="20"/>
                <w:color w:val="auto"/>
              </w:rPr>
            </w:pPr>
            <w:r>
              <w:rPr>
                <w:rFonts w:ascii="Arial" w:cs="Arial" w:eastAsia="Arial" w:hAnsi="Arial"/>
                <w:sz w:val="18"/>
                <w:szCs w:val="18"/>
                <w:color w:val="auto"/>
              </w:rPr>
              <w:t>(Gain) loss on asset sales,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62</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5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7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16,650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19,030</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35,384</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35,000</w:t>
            </w:r>
          </w:p>
        </w:tc>
        <w:tc>
          <w:tcPr>
            <w:tcW w:w="122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232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u w:val="single" w:color="auto"/>
          <w:color w:val="auto"/>
        </w:rPr>
        <w:t>Three months ended June 30, 2019</w:t>
      </w:r>
      <w:r>
        <w:rPr>
          <w:rFonts w:ascii="Arial" w:cs="Arial" w:eastAsia="Arial" w:hAnsi="Arial"/>
          <w:sz w:val="18"/>
          <w:szCs w:val="18"/>
          <w:color w:val="auto"/>
        </w:rPr>
        <w:t>. Segment adjusted EBITDA decreased $2.4 million compared to the three months ended June 30, 2018 primarily reflecting:</w:t>
      </w:r>
    </w:p>
    <w:p>
      <w:pPr>
        <w:spacing w:after="0" w:line="75" w:lineRule="exact"/>
        <w:rPr>
          <w:sz w:val="20"/>
          <w:szCs w:val="20"/>
          <w:color w:val="auto"/>
        </w:rPr>
      </w:pPr>
    </w:p>
    <w:p>
      <w:pPr>
        <w:ind w:left="800" w:right="80" w:hanging="400"/>
        <w:spacing w:after="0" w:line="23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$2.3 million of segment adjusted EBITDA contributed by the Tioga Midstream system for the three months ended June 30, 2018 with no corresponding contribution in the three months ended June 30, 2019 due to the sale of Tioga Midstream on March 22, 2019. We also experienced lower natural gas volume throughput primarily reflecting natural production declines and operational downtime on the Bison Midstream system. The operational downtime was due to third party maintenance on infrastructure located downstream of the Bison Midstream system, which created an operational disruption on the Bison Midstream system for approximately 15 days during the quarter. This was partially offset by higher liquids volume throughput on our Polar and Divide system due to increased drilling activity in 2018 and in the first half of 2019.</w:t>
      </w:r>
    </w:p>
    <w:p>
      <w:pPr>
        <w:spacing w:after="0" w:line="9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u w:val="single" w:color="auto"/>
          <w:color w:val="auto"/>
        </w:rPr>
        <w:t>Six months ended June 30, 2019</w:t>
      </w:r>
      <w:r>
        <w:rPr>
          <w:rFonts w:ascii="Arial" w:cs="Arial" w:eastAsia="Arial" w:hAnsi="Arial"/>
          <w:sz w:val="18"/>
          <w:szCs w:val="18"/>
          <w:color w:val="auto"/>
        </w:rPr>
        <w:t>. Segment adjusted EBITDA increased $0.4 million compared to the six months ended June 30, 2018 primarily reflecting:</w:t>
      </w:r>
    </w:p>
    <w:p>
      <w:pPr>
        <w:spacing w:after="0" w:line="75" w:lineRule="exact"/>
        <w:rPr>
          <w:sz w:val="20"/>
          <w:szCs w:val="20"/>
          <w:color w:val="auto"/>
        </w:rPr>
      </w:pPr>
    </w:p>
    <w:p>
      <w:pPr>
        <w:ind w:left="800" w:right="40" w:hanging="400"/>
        <w:spacing w:after="0" w:line="253"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Higher liquids volume throughput on our Polar and Divide system due to increased drilling activity in 2018 and in the first half of 2019. This was partially offset by a decrease of $3.4 million of segment adjusted EBITDA contributed by the Tioga Midstream system compared to the six months ended June 30, 2018 due to the sale of Tioga Midstream on March 22, 2019. We also experienced lower natural gas volume throughput primarily reflecting natural production declines and operational downtime on the Bison Midstream system. The operational downtime was due to third party maintenance on infrastructure located downstream of the Bison Midstream system, which created an operational disruption on the Bison Midstream system for approximately 15 days during the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3" w:name="page44"/>
    <w:bookmarkEnd w:id="43"/>
    <w:p>
      <w:pPr>
        <w:ind w:left="800" w:right="260" w:hanging="400"/>
        <w:spacing w:after="0" w:line="239" w:lineRule="auto"/>
        <w:tabs>
          <w:tab w:leader="none" w:pos="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March 22, 2019, we sold the Tioga Midstream system and recorded a gain on sale of $0.9 million based on the difference between the consideration received and the then carrying value for Tioga Midstream at closing. The financial results of Tioga Midstream are included in our unaudited condensed consolidated financial statements for the period from January 1, 2019 through March 22, 2019.</w:t>
      </w:r>
    </w:p>
    <w:p>
      <w:pPr>
        <w:spacing w:after="0" w:line="7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 xml:space="preserve">DJ Basin. </w:t>
      </w:r>
      <w:r>
        <w:rPr>
          <w:rFonts w:ascii="Arial" w:cs="Arial" w:eastAsia="Arial" w:hAnsi="Arial"/>
          <w:sz w:val="18"/>
          <w:szCs w:val="18"/>
          <w:color w:val="auto"/>
        </w:rPr>
        <w:t>The Niobrara G&amp;P systems provide midstream services for the DJ Basin reportable segment. Volume throughput for our DJ Basin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reportable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DJ Basin</w:t>
            </w:r>
          </w:p>
        </w:tc>
        <w:tc>
          <w:tcPr>
            <w:tcW w:w="10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Percentage</w:t>
            </w:r>
          </w:p>
        </w:tc>
        <w:tc>
          <w:tcPr>
            <w:tcW w:w="234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28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5020" w:type="dxa"/>
            <w:vAlign w:val="bottom"/>
            <w:gridSpan w:val="2"/>
            <w:shd w:val="clear" w:color="auto" w:fill="CFF0FC"/>
          </w:tcPr>
          <w:p>
            <w:pPr>
              <w:jc w:val="right"/>
              <w:ind w:right="2948"/>
              <w:spacing w:after="0"/>
              <w:rPr>
                <w:sz w:val="20"/>
                <w:szCs w:val="20"/>
                <w:color w:val="auto"/>
              </w:rPr>
            </w:pPr>
            <w:r>
              <w:rPr>
                <w:rFonts w:ascii="Arial" w:cs="Arial" w:eastAsia="Arial" w:hAnsi="Arial"/>
                <w:sz w:val="18"/>
                <w:szCs w:val="18"/>
                <w:color w:val="auto"/>
                <w:w w:val="98"/>
              </w:rPr>
              <w:t>Average daily throughput</w:t>
            </w:r>
          </w:p>
        </w:tc>
        <w:tc>
          <w:tcPr>
            <w:tcW w:w="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20" w:type="dxa"/>
            <w:vAlign w:val="bottom"/>
            <w:gridSpan w:val="2"/>
            <w:shd w:val="clear" w:color="auto" w:fill="CFF0FC"/>
          </w:tcPr>
          <w:p>
            <w:pPr>
              <w:jc w:val="right"/>
              <w:ind w:right="4028"/>
              <w:spacing w:after="0" w:line="203" w:lineRule="exact"/>
              <w:rPr>
                <w:sz w:val="20"/>
                <w:szCs w:val="20"/>
                <w:color w:val="auto"/>
              </w:rPr>
            </w:pPr>
            <w:r>
              <w:rPr>
                <w:rFonts w:ascii="Arial" w:cs="Arial" w:eastAsia="Arial" w:hAnsi="Arial"/>
                <w:sz w:val="18"/>
                <w:szCs w:val="18"/>
                <w:color w:val="auto"/>
              </w:rPr>
              <w:t>(MMcf/d)</w:t>
            </w:r>
          </w:p>
        </w:tc>
        <w:tc>
          <w:tcPr>
            <w:tcW w:w="400" w:type="dxa"/>
            <w:vAlign w:val="bottom"/>
            <w:shd w:val="clear" w:color="auto" w:fill="CFF0FC"/>
          </w:tcPr>
          <w:p>
            <w:pPr>
              <w:jc w:val="right"/>
              <w:ind w:right="50"/>
              <w:spacing w:after="0" w:line="203" w:lineRule="exact"/>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25%</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21</w:t>
            </w:r>
          </w:p>
        </w:tc>
        <w:tc>
          <w:tcPr>
            <w:tcW w:w="1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40%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Volume throughput increased during the three and six months ended June 30, 2018, compared to the prior periods, primarily as a result of ongoing drilling and completion activity across our service area partially offset by natural production declines.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DJ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4"/>
                <w:szCs w:val="14"/>
                <w:b w:val="1"/>
                <w:bCs w:val="1"/>
                <w:color w:val="auto"/>
              </w:rPr>
              <w:t>DJ Basin</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20" w:type="dxa"/>
            <w:vAlign w:val="bottom"/>
            <w:gridSpan w:val="3"/>
          </w:tcPr>
          <w:p>
            <w:pPr>
              <w:jc w:val="right"/>
              <w:ind w:right="352"/>
              <w:spacing w:after="0"/>
              <w:rPr>
                <w:sz w:val="20"/>
                <w:szCs w:val="20"/>
                <w:color w:val="auto"/>
              </w:rPr>
            </w:pPr>
            <w:r>
              <w:rPr>
                <w:rFonts w:ascii="Arial" w:cs="Arial" w:eastAsia="Arial" w:hAnsi="Arial"/>
                <w:sz w:val="14"/>
                <w:szCs w:val="14"/>
                <w:b w:val="1"/>
                <w:bCs w:val="1"/>
                <w:color w:val="auto"/>
              </w:rPr>
              <w:t>(Dollars in thousands)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4,021</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2,509</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60%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7,745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4,688</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79</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28%</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159</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5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969</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2,041</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1,726</w:t>
            </w: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5,156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3,557</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45%</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9,972</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6,573</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14</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2,028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1,630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24%</w:t>
            </w: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3,877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3,106</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25%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835</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(93%)</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957</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(86%)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(41%)</w:t>
            </w: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Long-lived asset impairment</w:t>
            </w:r>
          </w:p>
        </w:tc>
        <w:tc>
          <w:tcPr>
            <w:tcW w:w="5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34,759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5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2,590</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3,256</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(20%)</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40,041</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5,642</w:t>
            </w:r>
          </w:p>
        </w:tc>
        <w:tc>
          <w:tcPr>
            <w:tcW w:w="120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99"/>
              </w:rPr>
              <w:t>610%</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784</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1,263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(126)</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(464)</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(216)</w:t>
            </w: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Long-lived asset impairment</w:t>
            </w:r>
          </w:p>
        </w:tc>
        <w:tc>
          <w:tcPr>
            <w:tcW w:w="5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34,759</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Segment adjusted EBITDA</w:t>
            </w:r>
          </w:p>
        </w:tc>
        <w:tc>
          <w:tcPr>
            <w:tcW w:w="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2,816</w:t>
            </w: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959</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194%</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5,489</w:t>
            </w:r>
          </w:p>
        </w:tc>
        <w:tc>
          <w:tcPr>
            <w:tcW w:w="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2,280</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141%</w:t>
            </w:r>
          </w:p>
        </w:tc>
        <w:tc>
          <w:tcPr>
            <w:tcW w:w="0" w:type="dxa"/>
            <w:vAlign w:val="bottom"/>
          </w:tcPr>
          <w:p>
            <w:pPr>
              <w:spacing w:after="0"/>
              <w:rPr>
                <w:sz w:val="1"/>
                <w:szCs w:val="1"/>
                <w:color w:val="auto"/>
              </w:rPr>
            </w:pPr>
          </w:p>
        </w:tc>
      </w:tr>
      <w:tr>
        <w:trPr>
          <w:trHeight w:val="20"/>
        </w:trPr>
        <w:tc>
          <w:tcPr>
            <w:tcW w:w="840" w:type="dxa"/>
            <w:vAlign w:val="bottom"/>
            <w:tcBorders>
              <w:top w:val="single" w:sz="8" w:color="CFF0FC"/>
            </w:tcBorders>
          </w:tcPr>
          <w:p>
            <w:pPr>
              <w:spacing w:after="0" w:line="20" w:lineRule="exact"/>
              <w:rPr>
                <w:sz w:val="1"/>
                <w:szCs w:val="1"/>
                <w:color w:val="auto"/>
              </w:rPr>
            </w:pPr>
          </w:p>
        </w:tc>
        <w:tc>
          <w:tcPr>
            <w:tcW w:w="29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1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u w:val="single" w:color="auto"/>
          <w:color w:val="auto"/>
        </w:rPr>
        <w:t>Three months ended June 30, 2019</w:t>
      </w:r>
      <w:r>
        <w:rPr>
          <w:rFonts w:ascii="Arial" w:cs="Arial" w:eastAsia="Arial" w:hAnsi="Arial"/>
          <w:sz w:val="18"/>
          <w:szCs w:val="18"/>
          <w:color w:val="auto"/>
        </w:rPr>
        <w:t>. Segment adjusted EBITDA increased $1.9 million compared to the three months ended June 30, 2018, primarily reflecting:</w:t>
      </w:r>
    </w:p>
    <w:p>
      <w:pPr>
        <w:spacing w:after="0" w:line="75" w:lineRule="exact"/>
        <w:rPr>
          <w:sz w:val="20"/>
          <w:szCs w:val="20"/>
          <w:color w:val="auto"/>
        </w:rPr>
      </w:pPr>
    </w:p>
    <w:p>
      <w:pPr>
        <w:ind w:left="800" w:right="720" w:hanging="400"/>
        <w:spacing w:after="0" w:line="246" w:lineRule="auto"/>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$1.5 million increase in gathering services and related fees primarily as a result of volume growth from ongoing drilling and completion activity and a more favorable volume mix from customers, partially offset by natural production declines.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$0.8 million decrease in general and administrative expense primarily due to lower professional service fees.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$0.4 million increase in operation and maintenance expense primarily due to higher costs to support increased volumes.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4" w:name="page45"/>
    <w:bookmarkEnd w:id="44"/>
    <w:p>
      <w:pPr>
        <w:ind w:right="700"/>
        <w:spacing w:after="0" w:line="262" w:lineRule="auto"/>
        <w:rPr>
          <w:sz w:val="20"/>
          <w:szCs w:val="20"/>
          <w:color w:val="auto"/>
        </w:rPr>
      </w:pPr>
      <w:r>
        <w:rPr>
          <w:rFonts w:ascii="Arial" w:cs="Arial" w:eastAsia="Arial" w:hAnsi="Arial"/>
          <w:sz w:val="18"/>
          <w:szCs w:val="18"/>
          <w:u w:val="single" w:color="auto"/>
          <w:color w:val="auto"/>
        </w:rPr>
        <w:t>Six months ended June 30, 2019</w:t>
      </w:r>
      <w:r>
        <w:rPr>
          <w:rFonts w:ascii="Arial" w:cs="Arial" w:eastAsia="Arial" w:hAnsi="Arial"/>
          <w:sz w:val="18"/>
          <w:szCs w:val="18"/>
          <w:color w:val="auto"/>
        </w:rPr>
        <w:t>. Segment adjusted EBITDA increased $3.2 million compared to the six months ended June 30, 2018, primarily reflecting:</w:t>
      </w:r>
    </w:p>
    <w:p>
      <w:pPr>
        <w:spacing w:after="0" w:line="75" w:lineRule="exact"/>
        <w:rPr>
          <w:sz w:val="20"/>
          <w:szCs w:val="20"/>
          <w:color w:val="auto"/>
        </w:rPr>
      </w:pPr>
    </w:p>
    <w:p>
      <w:pPr>
        <w:ind w:left="800" w:right="720" w:hanging="400"/>
        <w:spacing w:after="0" w:line="246" w:lineRule="auto"/>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$3.1 million increase in gathering services and related fees primarily as a result of volume growth from ongoing drilling and completion activity and a more favorable volume mix from customers, partially offset by natural production declines.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$0.8 million decrease in general and administrative expense primarily due to lower professional service fees.</w:t>
      </w:r>
    </w:p>
    <w:p>
      <w:pPr>
        <w:spacing w:after="0" w:line="117" w:lineRule="exact"/>
        <w:rPr>
          <w:rFonts w:ascii="Arial" w:cs="Arial" w:eastAsia="Arial" w:hAnsi="Arial"/>
          <w:sz w:val="18"/>
          <w:szCs w:val="18"/>
          <w:color w:val="auto"/>
        </w:rPr>
      </w:pPr>
    </w:p>
    <w:p>
      <w:pPr>
        <w:ind w:right="1260" w:firstLine="400"/>
        <w:spacing w:after="0" w:line="360" w:lineRule="auto"/>
        <w:tabs>
          <w:tab w:leader="none" w:pos="7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$0.8 million increase in operation and maintenance expense primarily due to higher costs to support volume growth. Other items to note:</w:t>
      </w:r>
    </w:p>
    <w:p>
      <w:pPr>
        <w:spacing w:after="0" w:line="13" w:lineRule="exact"/>
        <w:rPr>
          <w:rFonts w:ascii="Arial" w:cs="Arial" w:eastAsia="Arial" w:hAnsi="Arial"/>
          <w:sz w:val="18"/>
          <w:szCs w:val="18"/>
          <w:color w:val="auto"/>
        </w:rPr>
      </w:pPr>
    </w:p>
    <w:p>
      <w:pPr>
        <w:ind w:left="800" w:right="400" w:hanging="400"/>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the quarter ended March 31, 2019, we impaired certain long-lived assets in the DJ Basin (see Note 5 to the unaudited condensed consolidated financial statements). The impairment had no impact on segment adjusted EBITDA for the three and six months ended June 30, 2019.</w:t>
      </w:r>
    </w:p>
    <w:p>
      <w:pPr>
        <w:spacing w:after="0" w:line="73"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i w:val="1"/>
          <w:iCs w:val="1"/>
          <w:color w:val="auto"/>
        </w:rPr>
        <w:t xml:space="preserve">Permian Basin. </w:t>
      </w:r>
      <w:r>
        <w:rPr>
          <w:rFonts w:ascii="Arial" w:cs="Arial" w:eastAsia="Arial" w:hAnsi="Arial"/>
          <w:sz w:val="18"/>
          <w:szCs w:val="18"/>
          <w:color w:val="auto"/>
        </w:rPr>
        <w:t>The Summit Permian system provides our midstream services for the Permian Basin reportable segment, which commenced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late in the fourth quarter of 2018.</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Average daily volume throughput during the three and six months ended June 30, 2019 totaled 17 MMcf/d and 16 MMcf/d,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Permian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3"/>
          </w:tcPr>
          <w:p>
            <w:pPr>
              <w:jc w:val="right"/>
              <w:ind w:right="156"/>
              <w:spacing w:after="0"/>
              <w:rPr>
                <w:sz w:val="20"/>
                <w:szCs w:val="20"/>
                <w:color w:val="auto"/>
              </w:rPr>
            </w:pPr>
            <w:r>
              <w:rPr>
                <w:rFonts w:ascii="Arial" w:cs="Arial" w:eastAsia="Arial" w:hAnsi="Arial"/>
                <w:sz w:val="14"/>
                <w:szCs w:val="14"/>
                <w:b w:val="1"/>
                <w:bCs w:val="1"/>
                <w:color w:val="auto"/>
              </w:rPr>
              <w:t>Permian Basin</w:t>
            </w:r>
          </w:p>
        </w:tc>
        <w:tc>
          <w:tcPr>
            <w:tcW w:w="1480" w:type="dxa"/>
            <w:vAlign w:val="bottom"/>
            <w:tcBorders>
              <w:bottom w:val="single" w:sz="8" w:color="auto"/>
            </w:tcBorders>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center"/>
              <w:ind w:right="480"/>
              <w:spacing w:after="0" w:line="156" w:lineRule="exact"/>
              <w:rPr>
                <w:sz w:val="20"/>
                <w:szCs w:val="20"/>
                <w:color w:val="auto"/>
              </w:rPr>
            </w:pPr>
            <w:r>
              <w:rPr>
                <w:rFonts w:ascii="Arial" w:cs="Arial" w:eastAsia="Arial" w:hAnsi="Arial"/>
                <w:sz w:val="14"/>
                <w:szCs w:val="14"/>
                <w:b w:val="1"/>
                <w:bCs w:val="1"/>
                <w:color w:val="auto"/>
              </w:rPr>
              <w:t>Three months ended</w:t>
            </w:r>
          </w:p>
        </w:tc>
        <w:tc>
          <w:tcPr>
            <w:tcW w:w="2060" w:type="dxa"/>
            <w:vAlign w:val="bottom"/>
            <w:gridSpan w:val="2"/>
          </w:tcPr>
          <w:p>
            <w:pPr>
              <w:jc w:val="right"/>
              <w:ind w:right="91"/>
              <w:spacing w:after="0" w:line="156" w:lineRule="exact"/>
              <w:rPr>
                <w:sz w:val="20"/>
                <w:szCs w:val="20"/>
                <w:color w:val="auto"/>
              </w:rPr>
            </w:pPr>
            <w:r>
              <w:rPr>
                <w:rFonts w:ascii="Arial" w:cs="Arial" w:eastAsia="Arial" w:hAnsi="Arial"/>
                <w:sz w:val="14"/>
                <w:szCs w:val="14"/>
                <w:b w:val="1"/>
                <w:bCs w:val="1"/>
                <w:color w:val="auto"/>
              </w:rPr>
              <w:t>Six months ended June 30,</w:t>
            </w:r>
          </w:p>
        </w:tc>
      </w:tr>
      <w:tr>
        <w:trPr>
          <w:trHeight w:val="175"/>
        </w:trPr>
        <w:tc>
          <w:tcPr>
            <w:tcW w:w="52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2"/>
          </w:tcPr>
          <w:p>
            <w:pPr>
              <w:jc w:val="center"/>
              <w:ind w:right="480"/>
              <w:spacing w:after="0"/>
              <w:rPr>
                <w:sz w:val="20"/>
                <w:szCs w:val="20"/>
                <w:color w:val="auto"/>
              </w:rPr>
            </w:pPr>
            <w:r>
              <w:rPr>
                <w:rFonts w:ascii="Arial" w:cs="Arial" w:eastAsia="Arial" w:hAnsi="Arial"/>
                <w:sz w:val="14"/>
                <w:szCs w:val="14"/>
                <w:b w:val="1"/>
                <w:bCs w:val="1"/>
                <w:color w:val="auto"/>
              </w:rPr>
              <w:t>June 30, 2019</w:t>
            </w:r>
          </w:p>
        </w:tc>
        <w:tc>
          <w:tcPr>
            <w:tcW w:w="5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851"/>
              <w:spacing w:after="0"/>
              <w:rPr>
                <w:sz w:val="20"/>
                <w:szCs w:val="20"/>
                <w:color w:val="auto"/>
              </w:rPr>
            </w:pPr>
            <w:r>
              <w:rPr>
                <w:rFonts w:ascii="Arial" w:cs="Arial" w:eastAsia="Arial" w:hAnsi="Arial"/>
                <w:sz w:val="14"/>
                <w:szCs w:val="14"/>
                <w:b w:val="1"/>
                <w:bCs w:val="1"/>
                <w:color w:val="auto"/>
              </w:rPr>
              <w:t>2019</w:t>
            </w:r>
          </w:p>
        </w:tc>
      </w:tr>
      <w:tr>
        <w:trPr>
          <w:trHeight w:val="210"/>
        </w:trPr>
        <w:tc>
          <w:tcPr>
            <w:tcW w:w="52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40" w:type="dxa"/>
            <w:vAlign w:val="bottom"/>
            <w:gridSpan w:val="3"/>
          </w:tcPr>
          <w:p>
            <w:pPr>
              <w:jc w:val="right"/>
              <w:ind w:right="156"/>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Gathering services and related fees</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586</w:t>
            </w:r>
          </w:p>
        </w:tc>
        <w:tc>
          <w:tcPr>
            <w:tcW w:w="200" w:type="dxa"/>
            <w:vAlign w:val="bottom"/>
          </w:tcPr>
          <w:p>
            <w:pPr>
              <w:spacing w:after="0"/>
              <w:rPr>
                <w:sz w:val="18"/>
                <w:szCs w:val="18"/>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952</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2,406</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6,627</w:t>
            </w:r>
          </w:p>
        </w:tc>
      </w:tr>
      <w:tr>
        <w:trPr>
          <w:trHeight w:val="21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revenues</w:t>
            </w:r>
          </w:p>
        </w:tc>
        <w:tc>
          <w:tcPr>
            <w:tcW w:w="19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81</w:t>
            </w:r>
          </w:p>
        </w:tc>
      </w:tr>
      <w:tr>
        <w:trPr>
          <w:trHeight w:val="21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9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3,041</w:t>
            </w:r>
          </w:p>
        </w:tc>
        <w:tc>
          <w:tcPr>
            <w:tcW w:w="2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7,660</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1,882</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6,127</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Operation and maintenance</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1,733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2,624</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82</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115</w:t>
            </w: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ind w:right="34"/>
              <w:spacing w:after="0"/>
              <w:rPr>
                <w:sz w:val="20"/>
                <w:szCs w:val="20"/>
                <w:color w:val="auto"/>
              </w:rPr>
            </w:pPr>
            <w:r>
              <w:rPr>
                <w:rFonts w:ascii="Arial" w:cs="Arial" w:eastAsia="Arial" w:hAnsi="Arial"/>
                <w:sz w:val="18"/>
                <w:szCs w:val="18"/>
                <w:color w:val="auto"/>
              </w:rPr>
              <w:t>1,163</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jc w:val="right"/>
              <w:ind w:right="51"/>
              <w:spacing w:after="0"/>
              <w:rPr>
                <w:sz w:val="20"/>
                <w:szCs w:val="20"/>
                <w:color w:val="auto"/>
              </w:rPr>
            </w:pPr>
            <w:r>
              <w:rPr>
                <w:rFonts w:ascii="Arial" w:cs="Arial" w:eastAsia="Arial" w:hAnsi="Arial"/>
                <w:sz w:val="18"/>
                <w:szCs w:val="18"/>
                <w:color w:val="auto"/>
              </w:rPr>
              <w:t>2,235</w:t>
            </w:r>
          </w:p>
        </w:tc>
      </w:tr>
      <w:tr>
        <w:trPr>
          <w:trHeight w:val="21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Gain on asset sales, net</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Long-lived asset impairment</w:t>
            </w:r>
          </w:p>
        </w:tc>
        <w:tc>
          <w:tcPr>
            <w:tcW w:w="192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8</w:t>
            </w:r>
          </w:p>
        </w:tc>
      </w:tr>
      <w:tr>
        <w:trPr>
          <w:trHeight w:val="210"/>
        </w:trPr>
        <w:tc>
          <w:tcPr>
            <w:tcW w:w="52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19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4,748</w:t>
            </w:r>
          </w:p>
        </w:tc>
        <w:tc>
          <w:tcPr>
            <w:tcW w:w="2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10,989</w:t>
            </w:r>
          </w:p>
        </w:tc>
      </w:tr>
      <w:tr>
        <w:trPr>
          <w:trHeight w:val="210"/>
        </w:trPr>
        <w:tc>
          <w:tcPr>
            <w:tcW w:w="5200" w:type="dxa"/>
            <w:vAlign w:val="bottom"/>
          </w:tcPr>
          <w:p>
            <w:pPr>
              <w:spacing w:after="0"/>
              <w:rPr>
                <w:sz w:val="20"/>
                <w:szCs w:val="20"/>
                <w:color w:val="auto"/>
              </w:rPr>
            </w:pPr>
            <w:r>
              <w:rPr>
                <w:rFonts w:ascii="Arial" w:cs="Arial" w:eastAsia="Arial" w:hAnsi="Arial"/>
                <w:sz w:val="18"/>
                <w:szCs w:val="18"/>
                <w:b w:val="1"/>
                <w:bCs w:val="1"/>
                <w:color w:val="auto"/>
              </w:rPr>
              <w:t>Add:</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1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1,163</w:t>
            </w:r>
          </w:p>
        </w:tc>
        <w:tc>
          <w:tcPr>
            <w:tcW w:w="2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2,235</w:t>
            </w:r>
          </w:p>
        </w:tc>
      </w:tr>
      <w:tr>
        <w:trPr>
          <w:trHeight w:val="216"/>
        </w:trPr>
        <w:tc>
          <w:tcPr>
            <w:tcW w:w="5200" w:type="dxa"/>
            <w:vAlign w:val="bottom"/>
          </w:tcPr>
          <w:p>
            <w:pPr>
              <w:ind w:left="140"/>
              <w:spacing w:after="0"/>
              <w:rPr>
                <w:sz w:val="20"/>
                <w:szCs w:val="20"/>
                <w:color w:val="auto"/>
              </w:rPr>
            </w:pPr>
            <w:r>
              <w:rPr>
                <w:rFonts w:ascii="Arial" w:cs="Arial" w:eastAsia="Arial" w:hAnsi="Arial"/>
                <w:sz w:val="18"/>
                <w:szCs w:val="18"/>
                <w:color w:val="auto"/>
              </w:rPr>
              <w:t>Gain on asset sales, net</w:t>
            </w:r>
          </w:p>
        </w:tc>
        <w:tc>
          <w:tcPr>
            <w:tcW w:w="1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5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19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8</w:t>
            </w:r>
          </w:p>
        </w:tc>
      </w:tr>
      <w:tr>
        <w:trPr>
          <w:trHeight w:val="210"/>
        </w:trPr>
        <w:tc>
          <w:tcPr>
            <w:tcW w:w="5200" w:type="dxa"/>
            <w:vAlign w:val="bottom"/>
          </w:tcPr>
          <w:p>
            <w:pPr>
              <w:ind w:left="260"/>
              <w:spacing w:after="0"/>
              <w:rPr>
                <w:sz w:val="20"/>
                <w:szCs w:val="20"/>
                <w:color w:val="auto"/>
              </w:rPr>
            </w:pPr>
            <w:r>
              <w:rPr>
                <w:rFonts w:ascii="Arial" w:cs="Arial" w:eastAsia="Arial" w:hAnsi="Arial"/>
                <w:sz w:val="18"/>
                <w:szCs w:val="18"/>
                <w:color w:val="auto"/>
              </w:rPr>
              <w:t>Segment adjusted EBITDA</w:t>
            </w:r>
          </w:p>
        </w:tc>
        <w:tc>
          <w:tcPr>
            <w:tcW w:w="2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Pr>
          <w:p>
            <w:pPr>
              <w:spacing w:after="0"/>
              <w:rPr>
                <w:sz w:val="18"/>
                <w:szCs w:val="18"/>
                <w:color w:val="auto"/>
              </w:rPr>
            </w:pPr>
          </w:p>
        </w:tc>
        <w:tc>
          <w:tcPr>
            <w:tcW w:w="580" w:type="dxa"/>
            <w:vAlign w:val="bottom"/>
          </w:tcPr>
          <w:p>
            <w:pPr>
              <w:jc w:val="right"/>
              <w:ind w:right="396"/>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(1,206)</w:t>
            </w:r>
          </w:p>
        </w:tc>
      </w:tr>
      <w:tr>
        <w:trPr>
          <w:trHeight w:val="20"/>
        </w:trPr>
        <w:tc>
          <w:tcPr>
            <w:tcW w:w="52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80"/>
        <w:spacing w:after="0"/>
        <w:rPr>
          <w:sz w:val="20"/>
          <w:szCs w:val="20"/>
          <w:color w:val="auto"/>
        </w:rPr>
      </w:pPr>
      <w:r>
        <w:rPr>
          <w:rFonts w:ascii="Arial" w:cs="Arial" w:eastAsia="Arial" w:hAnsi="Arial"/>
          <w:sz w:val="18"/>
          <w:szCs w:val="18"/>
          <w:u w:val="single" w:color="auto"/>
          <w:color w:val="auto"/>
        </w:rPr>
        <w:t>Three and Six months ended June 30, 2019</w:t>
      </w:r>
      <w:r>
        <w:rPr>
          <w:rFonts w:ascii="Arial" w:cs="Arial" w:eastAsia="Arial" w:hAnsi="Arial"/>
          <w:sz w:val="18"/>
          <w:szCs w:val="18"/>
          <w:color w:val="auto"/>
        </w:rPr>
        <w:t>. Segment adjusted EBITDA totaled ($0.7) million and ($1.2) million for the three and six months ended June 30, 2019, respectively, primarily reflecting fixed operating costs associated with commissioning and operating the Lane processing plant and certain inefficiencies and higher fuel costs associated with lower plant utilization and initial production volumes.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5" w:name="page46"/>
    <w:bookmarkEnd w:id="45"/>
    <w:p>
      <w:pPr>
        <w:ind w:right="20"/>
        <w:spacing w:after="0" w:line="271" w:lineRule="auto"/>
        <w:rPr>
          <w:sz w:val="20"/>
          <w:szCs w:val="20"/>
          <w:color w:val="auto"/>
        </w:rPr>
      </w:pPr>
      <w:r>
        <w:rPr>
          <w:rFonts w:ascii="Arial" w:cs="Arial" w:eastAsia="Arial" w:hAnsi="Arial"/>
          <w:sz w:val="18"/>
          <w:szCs w:val="18"/>
          <w:b w:val="1"/>
          <w:bCs w:val="1"/>
          <w:i w:val="1"/>
          <w:iCs w:val="1"/>
          <w:color w:val="auto"/>
        </w:rPr>
        <w:t xml:space="preserve">Piceance Basin. </w:t>
      </w:r>
      <w:r>
        <w:rPr>
          <w:rFonts w:ascii="Arial" w:cs="Arial" w:eastAsia="Arial" w:hAnsi="Arial"/>
          <w:sz w:val="18"/>
          <w:szCs w:val="18"/>
          <w:color w:val="auto"/>
        </w:rPr>
        <w:t>The Grand River system provides midstream services for the Piceance Basin reportable segment. Volume throughput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Piceance Basin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8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Piceance Basin</w:t>
            </w: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00" w:type="dxa"/>
            <w:vAlign w:val="bottom"/>
          </w:tcPr>
          <w:p>
            <w:pPr>
              <w:spacing w:after="0"/>
              <w:rPr>
                <w:sz w:val="14"/>
                <w:szCs w:val="14"/>
                <w:color w:val="auto"/>
              </w:rPr>
            </w:pPr>
          </w:p>
        </w:tc>
        <w:tc>
          <w:tcPr>
            <w:tcW w:w="26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13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Percentage</w:t>
            </w:r>
          </w:p>
        </w:tc>
        <w:tc>
          <w:tcPr>
            <w:tcW w:w="24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800" w:type="dxa"/>
            <w:vAlign w:val="bottom"/>
            <w:tcBorders>
              <w:bottom w:val="single" w:sz="8" w:color="CFF0FC"/>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FF0FC"/>
            </w:tcBorders>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540" w:type="dxa"/>
            <w:vAlign w:val="bottom"/>
            <w:gridSpan w:val="2"/>
            <w:shd w:val="clear" w:color="auto" w:fill="CFF0FC"/>
          </w:tcPr>
          <w:p>
            <w:pPr>
              <w:jc w:val="right"/>
              <w:ind w:right="1588"/>
              <w:spacing w:after="0"/>
              <w:rPr>
                <w:sz w:val="20"/>
                <w:szCs w:val="20"/>
                <w:color w:val="auto"/>
              </w:rPr>
            </w:pPr>
            <w:r>
              <w:rPr>
                <w:rFonts w:ascii="Arial" w:cs="Arial" w:eastAsia="Arial" w:hAnsi="Arial"/>
                <w:sz w:val="18"/>
                <w:szCs w:val="18"/>
                <w:color w:val="auto"/>
                <w:w w:val="99"/>
              </w:rPr>
              <w:t>Aggregate average daily throughput</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gridSpan w:val="2"/>
            <w:shd w:val="clear" w:color="auto" w:fill="CFF0FC"/>
          </w:tcPr>
          <w:p>
            <w:pPr>
              <w:jc w:val="right"/>
              <w:ind w:right="3548"/>
              <w:spacing w:after="0" w:line="203" w:lineRule="exact"/>
              <w:rPr>
                <w:sz w:val="20"/>
                <w:szCs w:val="20"/>
                <w:color w:val="auto"/>
              </w:rPr>
            </w:pPr>
            <w:r>
              <w:rPr>
                <w:rFonts w:ascii="Arial" w:cs="Arial" w:eastAsia="Arial" w:hAnsi="Arial"/>
                <w:sz w:val="18"/>
                <w:szCs w:val="18"/>
                <w:color w:val="auto"/>
              </w:rPr>
              <w:t>(MMcf/d)</w:t>
            </w:r>
          </w:p>
        </w:tc>
        <w:tc>
          <w:tcPr>
            <w:tcW w:w="46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462</w:t>
            </w:r>
          </w:p>
        </w:tc>
        <w:tc>
          <w:tcPr>
            <w:tcW w:w="12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560</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(18%)</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42"/>
              <w:spacing w:after="0" w:line="203" w:lineRule="exact"/>
              <w:rPr>
                <w:sz w:val="20"/>
                <w:szCs w:val="20"/>
                <w:color w:val="auto"/>
              </w:rPr>
            </w:pPr>
            <w:r>
              <w:rPr>
                <w:rFonts w:ascii="Arial" w:cs="Arial" w:eastAsia="Arial" w:hAnsi="Arial"/>
                <w:sz w:val="18"/>
                <w:szCs w:val="18"/>
                <w:color w:val="auto"/>
              </w:rPr>
              <w:t>473</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9"/>
              <w:spacing w:after="0" w:line="203" w:lineRule="exact"/>
              <w:rPr>
                <w:sz w:val="20"/>
                <w:szCs w:val="20"/>
                <w:color w:val="auto"/>
              </w:rPr>
            </w:pPr>
            <w:r>
              <w:rPr>
                <w:rFonts w:ascii="Arial" w:cs="Arial" w:eastAsia="Arial" w:hAnsi="Arial"/>
                <w:sz w:val="18"/>
                <w:szCs w:val="18"/>
                <w:color w:val="auto"/>
              </w:rPr>
              <w:t>562</w:t>
            </w:r>
          </w:p>
        </w:tc>
        <w:tc>
          <w:tcPr>
            <w:tcW w:w="120" w:type="dxa"/>
            <w:vAlign w:val="bottom"/>
            <w:shd w:val="clear" w:color="auto" w:fill="CFF0FC"/>
          </w:tcPr>
          <w:p>
            <w:pPr>
              <w:spacing w:after="0"/>
              <w:rPr>
                <w:sz w:val="17"/>
                <w:szCs w:val="17"/>
                <w:color w:val="auto"/>
              </w:rPr>
            </w:pPr>
          </w:p>
        </w:tc>
        <w:tc>
          <w:tcPr>
            <w:tcW w:w="1160" w:type="dxa"/>
            <w:vAlign w:val="bottom"/>
            <w:shd w:val="clear" w:color="auto" w:fill="CFF0FC"/>
          </w:tcPr>
          <w:p>
            <w:pPr>
              <w:jc w:val="center"/>
              <w:spacing w:after="0" w:line="203" w:lineRule="exact"/>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Volume throughput decreased compared to the three and six months ended June 30, 2018, primarily as a result of natural production declines and operational downtime, partially offset by drilling and completion activity that occurred across our service area through the third quarter of 2018.</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Piceance Basin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rPr>
              <w:t>Piceance Basin</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rPr>
              <w:t>Three months ended June 30,</w:t>
            </w:r>
          </w:p>
        </w:tc>
        <w:tc>
          <w:tcPr>
            <w:tcW w:w="1280" w:type="dxa"/>
            <w:vAlign w:val="bottom"/>
            <w:vMerge w:val="restart"/>
          </w:tcPr>
          <w:p>
            <w:pPr>
              <w:jc w:val="center"/>
              <w:ind w:left="95"/>
              <w:spacing w:after="0"/>
              <w:rPr>
                <w:sz w:val="20"/>
                <w:szCs w:val="20"/>
                <w:color w:val="auto"/>
              </w:rPr>
            </w:pPr>
            <w:r>
              <w:rPr>
                <w:rFonts w:ascii="Arial" w:cs="Arial" w:eastAsia="Arial" w:hAnsi="Arial"/>
                <w:sz w:val="14"/>
                <w:szCs w:val="14"/>
                <w:b w:val="1"/>
                <w:bCs w:val="1"/>
                <w:color w:val="auto"/>
              </w:rPr>
              <w:t>Percentage</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Borders>
              <w:bottom w:val="single" w:sz="8" w:color="auto"/>
            </w:tcBorders>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center"/>
              <w:ind w:left="75"/>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7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(Dollars in thousands)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30,555</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33,661</w:t>
            </w:r>
          </w:p>
        </w:tc>
        <w:tc>
          <w:tcPr>
            <w:tcW w:w="1280" w:type="dxa"/>
            <w:vAlign w:val="bottom"/>
          </w:tcPr>
          <w:p>
            <w:pPr>
              <w:jc w:val="center"/>
              <w:ind w:left="95"/>
              <w:spacing w:after="0"/>
              <w:rPr>
                <w:sz w:val="20"/>
                <w:szCs w:val="20"/>
                <w:color w:val="auto"/>
              </w:rPr>
            </w:pPr>
            <w:r>
              <w:rPr>
                <w:rFonts w:ascii="Arial" w:cs="Arial" w:eastAsia="Arial" w:hAnsi="Arial"/>
                <w:sz w:val="18"/>
                <w:szCs w:val="18"/>
                <w:color w:val="auto"/>
                <w:w w:val="99"/>
              </w:rPr>
              <w:t>(9%)</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62,395</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66,776</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200"/>
              <w:spacing w:after="0" w:line="203" w:lineRule="exact"/>
              <w:rPr>
                <w:sz w:val="20"/>
                <w:szCs w:val="20"/>
                <w:color w:val="auto"/>
              </w:rPr>
            </w:pPr>
            <w:r>
              <w:rPr>
                <w:rFonts w:ascii="Arial" w:cs="Arial" w:eastAsia="Arial" w:hAnsi="Arial"/>
                <w:sz w:val="18"/>
                <w:szCs w:val="18"/>
                <w:color w:val="auto"/>
              </w:rPr>
              <w:t>sales</w:t>
            </w: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2,104</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4,596</w:t>
            </w:r>
          </w:p>
        </w:tc>
        <w:tc>
          <w:tcPr>
            <w:tcW w:w="1280" w:type="dxa"/>
            <w:vAlign w:val="bottom"/>
            <w:shd w:val="clear" w:color="auto" w:fill="CFF0FC"/>
          </w:tcPr>
          <w:p>
            <w:pPr>
              <w:jc w:val="center"/>
              <w:ind w:left="75"/>
              <w:spacing w:after="0" w:line="203" w:lineRule="exact"/>
              <w:rPr>
                <w:sz w:val="20"/>
                <w:szCs w:val="20"/>
                <w:color w:val="auto"/>
              </w:rPr>
            </w:pPr>
            <w:r>
              <w:rPr>
                <w:rFonts w:ascii="Arial" w:cs="Arial" w:eastAsia="Arial" w:hAnsi="Arial"/>
                <w:sz w:val="18"/>
                <w:szCs w:val="18"/>
                <w:color w:val="auto"/>
                <w:w w:val="99"/>
              </w:rPr>
              <w:t>(54%)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32"/>
              <w:spacing w:after="0" w:line="203" w:lineRule="exact"/>
              <w:rPr>
                <w:sz w:val="20"/>
                <w:szCs w:val="20"/>
                <w:color w:val="auto"/>
              </w:rPr>
            </w:pPr>
            <w:r>
              <w:rPr>
                <w:rFonts w:ascii="Arial" w:cs="Arial" w:eastAsia="Arial" w:hAnsi="Arial"/>
                <w:sz w:val="18"/>
                <w:szCs w:val="18"/>
                <w:color w:val="auto"/>
              </w:rPr>
              <w:t>4,406</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8,841</w:t>
            </w:r>
          </w:p>
        </w:tc>
        <w:tc>
          <w:tcPr>
            <w:tcW w:w="1260" w:type="dxa"/>
            <w:vAlign w:val="bottom"/>
            <w:gridSpan w:val="2"/>
            <w:shd w:val="clear" w:color="auto" w:fill="CFF0FC"/>
          </w:tcPr>
          <w:p>
            <w:pPr>
              <w:jc w:val="center"/>
              <w:ind w:left="10"/>
              <w:spacing w:after="0" w:line="203" w:lineRule="exact"/>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945</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1,178</w:t>
            </w:r>
          </w:p>
        </w:tc>
        <w:tc>
          <w:tcPr>
            <w:tcW w:w="1280" w:type="dxa"/>
            <w:vAlign w:val="bottom"/>
            <w:tcBorders>
              <w:bottom w:val="single" w:sz="8" w:color="CFF0FC"/>
            </w:tcBorders>
          </w:tcPr>
          <w:p>
            <w:pPr>
              <w:jc w:val="center"/>
              <w:ind w:left="75"/>
              <w:spacing w:after="0"/>
              <w:rPr>
                <w:sz w:val="20"/>
                <w:szCs w:val="20"/>
                <w:color w:val="auto"/>
              </w:rPr>
            </w:pPr>
            <w:r>
              <w:rPr>
                <w:rFonts w:ascii="Arial" w:cs="Arial" w:eastAsia="Arial" w:hAnsi="Arial"/>
                <w:sz w:val="18"/>
                <w:szCs w:val="18"/>
                <w:color w:val="auto"/>
                <w:w w:val="99"/>
              </w:rPr>
              <w:t>(20%)</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2,083</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2,389</w:t>
            </w:r>
          </w:p>
        </w:tc>
        <w:tc>
          <w:tcPr>
            <w:tcW w:w="126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33,604</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39,435</w:t>
            </w:r>
          </w:p>
        </w:tc>
        <w:tc>
          <w:tcPr>
            <w:tcW w:w="12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9"/>
              </w:rPr>
              <w:t>(15%)</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68,884</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78,006</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2,952</w:t>
            </w:r>
          </w:p>
        </w:tc>
        <w:tc>
          <w:tcPr>
            <w:tcW w:w="12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9"/>
              </w:rPr>
              <w:t>(57%)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2,753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5,513</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7,108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9,538</w:t>
            </w:r>
          </w:p>
        </w:tc>
        <w:tc>
          <w:tcPr>
            <w:tcW w:w="1280" w:type="dxa"/>
            <w:vAlign w:val="bottom"/>
          </w:tcPr>
          <w:p>
            <w:pPr>
              <w:jc w:val="center"/>
              <w:ind w:left="75"/>
              <w:spacing w:after="0"/>
              <w:rPr>
                <w:sz w:val="20"/>
                <w:szCs w:val="20"/>
                <w:color w:val="auto"/>
              </w:rPr>
            </w:pPr>
            <w:r>
              <w:rPr>
                <w:rFonts w:ascii="Arial" w:cs="Arial" w:eastAsia="Arial" w:hAnsi="Arial"/>
                <w:sz w:val="18"/>
                <w:szCs w:val="18"/>
                <w:color w:val="auto"/>
                <w:w w:val="99"/>
              </w:rPr>
              <w:t>(25%)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14,407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17,382</w:t>
            </w:r>
          </w:p>
        </w:tc>
        <w:tc>
          <w:tcPr>
            <w:tcW w:w="12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(17%)</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383</w:t>
            </w:r>
          </w:p>
        </w:tc>
        <w:tc>
          <w:tcPr>
            <w:tcW w:w="12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w w:val="99"/>
              </w:rPr>
              <w:t>(21%)</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596</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709</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11,666</w:t>
            </w:r>
          </w:p>
        </w:tc>
        <w:tc>
          <w:tcPr>
            <w:tcW w:w="1280" w:type="dxa"/>
            <w:vAlign w:val="bottom"/>
          </w:tcPr>
          <w:p>
            <w:pPr>
              <w:jc w:val="center"/>
              <w:ind w:left="95"/>
              <w:spacing w:after="0"/>
              <w:rPr>
                <w:sz w:val="20"/>
                <w:szCs w:val="20"/>
                <w:color w:val="auto"/>
              </w:rPr>
            </w:pPr>
            <w:r>
              <w:rPr>
                <w:rFonts w:ascii="Arial" w:cs="Arial" w:eastAsia="Arial" w:hAnsi="Arial"/>
                <w:sz w:val="18"/>
                <w:szCs w:val="18"/>
                <w:color w:val="auto"/>
                <w:w w:val="99"/>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23,601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23,440</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on asset sales, net</w:t>
            </w:r>
          </w:p>
        </w:tc>
        <w:tc>
          <w:tcPr>
            <w:tcW w:w="1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center"/>
              <w:ind w:left="75"/>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7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20,503</w:t>
            </w:r>
          </w:p>
        </w:tc>
        <w:tc>
          <w:tcPr>
            <w:tcW w:w="1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24,539</w:t>
            </w:r>
          </w:p>
        </w:tc>
        <w:tc>
          <w:tcPr>
            <w:tcW w:w="1280" w:type="dxa"/>
            <w:vAlign w:val="bottom"/>
            <w:tcBorders>
              <w:bottom w:val="single" w:sz="8" w:color="CFF0FC"/>
            </w:tcBorders>
          </w:tcPr>
          <w:p>
            <w:pPr>
              <w:jc w:val="center"/>
              <w:ind w:left="75"/>
              <w:spacing w:after="0"/>
              <w:rPr>
                <w:sz w:val="20"/>
                <w:szCs w:val="20"/>
                <w:color w:val="auto"/>
              </w:rPr>
            </w:pPr>
            <w:r>
              <w:rPr>
                <w:rFonts w:ascii="Arial" w:cs="Arial" w:eastAsia="Arial" w:hAnsi="Arial"/>
                <w:sz w:val="18"/>
                <w:szCs w:val="18"/>
                <w:color w:val="auto"/>
                <w:w w:val="99"/>
              </w:rPr>
              <w:t>(16%)</w:t>
            </w: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41,360</w:t>
            </w:r>
          </w:p>
        </w:tc>
        <w:tc>
          <w:tcPr>
            <w:tcW w:w="1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47,044</w:t>
            </w:r>
          </w:p>
        </w:tc>
        <w:tc>
          <w:tcPr>
            <w:tcW w:w="126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11,810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11,666</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23,601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23,440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Loss on asset sales, net</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MVC</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shortfall payments</w:t>
            </w:r>
          </w:p>
        </w:tc>
        <w:tc>
          <w:tcPr>
            <w:tcW w:w="140" w:type="dxa"/>
            <w:vAlign w:val="bottom"/>
          </w:tcPr>
          <w:p>
            <w:pPr>
              <w:spacing w:after="0"/>
              <w:rPr>
                <w:sz w:val="17"/>
                <w:szCs w:val="17"/>
                <w:color w:val="auto"/>
              </w:rPr>
            </w:pPr>
          </w:p>
        </w:tc>
        <w:tc>
          <w:tcPr>
            <w:tcW w:w="118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(93)</w:t>
            </w:r>
          </w:p>
        </w:tc>
        <w:tc>
          <w:tcPr>
            <w:tcW w:w="1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Arial" w:cs="Arial" w:eastAsia="Arial" w:hAnsi="Arial"/>
                <w:sz w:val="18"/>
                <w:szCs w:val="18"/>
                <w:color w:val="auto"/>
              </w:rPr>
              <w:t>(93)</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14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(330)</w:t>
            </w: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245</w:t>
            </w:r>
          </w:p>
        </w:tc>
        <w:tc>
          <w:tcPr>
            <w:tcW w:w="1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(442)</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51"/>
              <w:spacing w:after="0" w:line="203" w:lineRule="exact"/>
              <w:rPr>
                <w:sz w:val="20"/>
                <w:szCs w:val="20"/>
                <w:color w:val="auto"/>
              </w:rPr>
            </w:pPr>
            <w:r>
              <w:rPr>
                <w:rFonts w:ascii="Arial" w:cs="Arial" w:eastAsia="Arial" w:hAnsi="Arial"/>
                <w:sz w:val="18"/>
                <w:szCs w:val="18"/>
                <w:color w:val="auto"/>
              </w:rPr>
              <w:t>319</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24,584</w:t>
            </w:r>
          </w:p>
        </w:tc>
        <w:tc>
          <w:tcPr>
            <w:tcW w:w="1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26,714</w:t>
            </w:r>
          </w:p>
        </w:tc>
        <w:tc>
          <w:tcPr>
            <w:tcW w:w="1280" w:type="dxa"/>
            <w:vAlign w:val="bottom"/>
          </w:tcPr>
          <w:p>
            <w:pPr>
              <w:jc w:val="center"/>
              <w:ind w:left="95"/>
              <w:spacing w:after="0"/>
              <w:rPr>
                <w:sz w:val="20"/>
                <w:szCs w:val="20"/>
                <w:color w:val="auto"/>
              </w:rPr>
            </w:pPr>
            <w:r>
              <w:rPr>
                <w:rFonts w:ascii="Arial" w:cs="Arial" w:eastAsia="Arial" w:hAnsi="Arial"/>
                <w:sz w:val="18"/>
                <w:szCs w:val="18"/>
                <w:color w:val="auto"/>
                <w:w w:val="99"/>
              </w:rPr>
              <w:t>(8%)</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50,583</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54,628</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u w:val="single" w:color="auto"/>
          <w:color w:val="auto"/>
        </w:rPr>
        <w:t>Three months ended June 30, 2019</w:t>
      </w:r>
      <w:r>
        <w:rPr>
          <w:rFonts w:ascii="Arial" w:cs="Arial" w:eastAsia="Arial" w:hAnsi="Arial"/>
          <w:sz w:val="18"/>
          <w:szCs w:val="18"/>
          <w:color w:val="auto"/>
        </w:rPr>
        <w:t>. Segment adjusted EBITDA decreased $2.1 million compared to the three months ended June 30, 2018, primarily reflecting:</w:t>
      </w:r>
    </w:p>
    <w:p>
      <w:pPr>
        <w:spacing w:after="0" w:line="102" w:lineRule="exact"/>
        <w:rPr>
          <w:sz w:val="20"/>
          <w:szCs w:val="20"/>
          <w:color w:val="auto"/>
        </w:rPr>
      </w:pPr>
    </w:p>
    <w:p>
      <w:pPr>
        <w:ind w:left="800" w:hanging="400"/>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$3.1 million decrease in gathering services and related fees as a result of natural production declines and operational downtime.</w:t>
      </w:r>
    </w:p>
    <w:p>
      <w:pPr>
        <w:spacing w:after="0" w:line="117" w:lineRule="exact"/>
        <w:rPr>
          <w:rFonts w:ascii="Arial" w:cs="Arial" w:eastAsia="Arial" w:hAnsi="Arial"/>
          <w:sz w:val="18"/>
          <w:szCs w:val="18"/>
          <w:color w:val="auto"/>
        </w:rPr>
      </w:pPr>
    </w:p>
    <w:p>
      <w:pPr>
        <w:ind w:left="800" w:right="240" w:hanging="400"/>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$0.8 million decrease in natural gas, NGLs and condensate activity (sales and purchases) as a result of lower volume throughput and lower commodity prices associated with the sale of NGLs and condensate.</w:t>
      </w:r>
    </w:p>
    <w:p>
      <w:pPr>
        <w:spacing w:after="0" w:line="88" w:lineRule="exact"/>
        <w:rPr>
          <w:rFonts w:ascii="Arial" w:cs="Arial" w:eastAsia="Arial" w:hAnsi="Arial"/>
          <w:sz w:val="18"/>
          <w:szCs w:val="18"/>
          <w:color w:val="auto"/>
        </w:rPr>
      </w:pPr>
    </w:p>
    <w:p>
      <w:pPr>
        <w:ind w:left="800" w:right="580" w:hanging="400"/>
        <w:spacing w:after="0" w:line="246"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$2.4 million decrease in operation and maintenance expense primarily due to a $1.6 million reduction in planned compressor overhaul maintenance costs and $0.5 million in lower compensation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46" w:name="page47"/>
    <w:bookmarkEnd w:id="46"/>
    <w:p>
      <w:pPr>
        <w:ind w:right="620"/>
        <w:spacing w:after="0" w:line="246" w:lineRule="auto"/>
        <w:rPr>
          <w:sz w:val="20"/>
          <w:szCs w:val="20"/>
          <w:color w:val="auto"/>
        </w:rPr>
      </w:pPr>
      <w:r>
        <w:rPr>
          <w:rFonts w:ascii="Arial" w:cs="Arial" w:eastAsia="Arial" w:hAnsi="Arial"/>
          <w:sz w:val="18"/>
          <w:szCs w:val="18"/>
          <w:u w:val="single" w:color="auto"/>
          <w:color w:val="auto"/>
        </w:rPr>
        <w:t>Six months ended June 30, 2019</w:t>
      </w:r>
      <w:r>
        <w:rPr>
          <w:rFonts w:ascii="Arial" w:cs="Arial" w:eastAsia="Arial" w:hAnsi="Arial"/>
          <w:sz w:val="18"/>
          <w:szCs w:val="18"/>
          <w:color w:val="auto"/>
        </w:rPr>
        <w:t>. Segment adjusted EBITDA decreased $4.0 million compared to the six months ended June 30, 2018, primarily reflecting:</w:t>
      </w:r>
    </w:p>
    <w:p>
      <w:pPr>
        <w:spacing w:after="0" w:line="102" w:lineRule="exact"/>
        <w:rPr>
          <w:sz w:val="20"/>
          <w:szCs w:val="20"/>
          <w:color w:val="auto"/>
        </w:rPr>
      </w:pPr>
    </w:p>
    <w:p>
      <w:pPr>
        <w:ind w:left="800" w:hanging="400"/>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$4.4 million decrease in gathering services and related fees as a result of natural production declines and operational downtime.</w:t>
      </w:r>
    </w:p>
    <w:p>
      <w:pPr>
        <w:spacing w:after="0" w:line="117" w:lineRule="exact"/>
        <w:rPr>
          <w:rFonts w:ascii="Arial" w:cs="Arial" w:eastAsia="Arial" w:hAnsi="Arial"/>
          <w:sz w:val="18"/>
          <w:szCs w:val="18"/>
          <w:color w:val="auto"/>
        </w:rPr>
      </w:pPr>
    </w:p>
    <w:p>
      <w:pPr>
        <w:ind w:left="800" w:right="240" w:hanging="400"/>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$1.7 million decrease in natural gas, NGLs and condensate activity (sales and purchases) as a result of lower volume throughput and lower commodity prices associated with the sale of NGLs and condensate.</w:t>
      </w:r>
    </w:p>
    <w:p>
      <w:pPr>
        <w:spacing w:after="0" w:line="88" w:lineRule="exact"/>
        <w:rPr>
          <w:rFonts w:ascii="Arial" w:cs="Arial" w:eastAsia="Arial" w:hAnsi="Arial"/>
          <w:sz w:val="18"/>
          <w:szCs w:val="18"/>
          <w:color w:val="auto"/>
        </w:rPr>
      </w:pPr>
    </w:p>
    <w:p>
      <w:pPr>
        <w:ind w:left="800" w:right="580" w:hanging="400"/>
        <w:spacing w:after="0" w:line="246"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$3.0 million decrease in operation and maintenance expense primarily due to a $1.8 million reduction in planned compressor overhaul maintenance costs, $0.7 million in lower compensation expense and $0.3 million in lower property taxes.</w:t>
      </w:r>
    </w:p>
    <w:p>
      <w:pPr>
        <w:spacing w:after="0" w:line="6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 xml:space="preserve">Barnett Shale. </w:t>
      </w:r>
      <w:r>
        <w:rPr>
          <w:rFonts w:ascii="Arial" w:cs="Arial" w:eastAsia="Arial" w:hAnsi="Arial"/>
          <w:sz w:val="18"/>
          <w:szCs w:val="18"/>
          <w:color w:val="auto"/>
        </w:rPr>
        <w:t>The DFW Midstream system provides our midstream services for the Barnett Shale reportable segment. Volume throughput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Barnett Shale reportable segment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Barnett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300" w:type="dxa"/>
            <w:vAlign w:val="bottom"/>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FF0FC"/>
          </w:tcPr>
          <w:p>
            <w:pPr>
              <w:jc w:val="right"/>
              <w:ind w:right="2148"/>
              <w:spacing w:after="0"/>
              <w:rPr>
                <w:sz w:val="20"/>
                <w:szCs w:val="20"/>
                <w:color w:val="auto"/>
              </w:rPr>
            </w:pPr>
            <w:r>
              <w:rPr>
                <w:rFonts w:ascii="Arial" w:cs="Arial" w:eastAsia="Arial" w:hAnsi="Arial"/>
                <w:sz w:val="18"/>
                <w:szCs w:val="18"/>
                <w:color w:val="auto"/>
                <w:w w:val="99"/>
              </w:rPr>
              <w:t>Average daily throughput (MMcf/d)</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251</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right="180"/>
        <w:spacing w:after="0" w:line="246" w:lineRule="auto"/>
        <w:rPr>
          <w:sz w:val="20"/>
          <w:szCs w:val="20"/>
          <w:color w:val="auto"/>
        </w:rPr>
      </w:pPr>
      <w:r>
        <w:rPr>
          <w:rFonts w:ascii="Arial" w:cs="Arial" w:eastAsia="Arial" w:hAnsi="Arial"/>
          <w:sz w:val="18"/>
          <w:szCs w:val="18"/>
          <w:color w:val="auto"/>
        </w:rPr>
        <w:t>Volume throughput declined compared to the three and six months ended June 30, 2018 reflecting natural production declines, partially offset by new volumes from well completion activity during the first quarter of 2019.</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Financial data for our Barnett Shale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Barnett Shale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31"/>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vMerge w:val="restart"/>
          </w:tcPr>
          <w:p>
            <w:pPr>
              <w:jc w:val="center"/>
              <w:ind w:left="1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8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11,428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14,080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24,453</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27,717</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Natural gas, NGLs and condensate sales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6,273</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381</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1546%</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6,877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926</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643%</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revenues (1)</w:t>
            </w:r>
          </w:p>
        </w:tc>
        <w:tc>
          <w:tcPr>
            <w:tcW w:w="5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1,646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1,694</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3,302</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3,682</w:t>
            </w:r>
          </w:p>
        </w:tc>
        <w:tc>
          <w:tcPr>
            <w:tcW w:w="120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19,347</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16,155</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34,632</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32,325</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Cost of natural gas and NGLs</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4,574</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4,574</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Operation and maintenance</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5,116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4,942</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10,614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11,115</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235</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546</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(15%)</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3,909</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7,817</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Loss (gain) on asset sales, net</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1200" w:type="dxa"/>
            <w:vAlign w:val="bottom"/>
            <w:shd w:val="clear" w:color="auto" w:fill="CFF0FC"/>
          </w:tcPr>
          <w:p>
            <w:pPr>
              <w:jc w:val="center"/>
              <w:ind w:left="13"/>
              <w:spacing w:after="0"/>
              <w:rPr>
                <w:sz w:val="20"/>
                <w:szCs w:val="20"/>
                <w:color w:val="auto"/>
              </w:rPr>
            </w:pPr>
            <w:r>
              <w:rPr>
                <w:rFonts w:ascii="Arial" w:cs="Arial" w:eastAsia="Arial" w:hAnsi="Arial"/>
                <w:sz w:val="18"/>
                <w:szCs w:val="18"/>
                <w:color w:val="auto"/>
                <w:w w:val="99"/>
              </w:rPr>
              <w:t>(109%)</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Long-lived asset impairment</w:t>
            </w:r>
          </w:p>
        </w:tc>
        <w:tc>
          <w:tcPr>
            <w:tcW w:w="50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10,236</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FF0FC"/>
            </w:tcBorders>
          </w:tcPr>
          <w:p>
            <w:pPr>
              <w:jc w:val="center"/>
              <w:ind w:left="13"/>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0"/>
        </w:trPr>
        <w:tc>
          <w:tcPr>
            <w:tcW w:w="37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Total costs and expenses</w:t>
            </w:r>
          </w:p>
        </w:tc>
        <w:tc>
          <w:tcPr>
            <w:tcW w:w="5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13,748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9,086</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33,642</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19,404</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73%</w:t>
            </w:r>
          </w:p>
        </w:tc>
        <w:tc>
          <w:tcPr>
            <w:tcW w:w="0" w:type="dxa"/>
            <w:vAlign w:val="bottom"/>
          </w:tcPr>
          <w:p>
            <w:pPr>
              <w:spacing w:after="0"/>
              <w:rPr>
                <w:sz w:val="1"/>
                <w:szCs w:val="1"/>
                <w:color w:val="auto"/>
              </w:rPr>
            </w:pPr>
          </w:p>
        </w:tc>
      </w:tr>
      <w:tr>
        <w:trPr>
          <w:trHeight w:val="210"/>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Add: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Depreciation and amortization</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4,167</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3,759</w:t>
            </w: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8,497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7,516</w:t>
            </w: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Adjustments related to MVC shortfall</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payments</w:t>
            </w: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32"/>
              <w:spacing w:after="0" w:line="203" w:lineRule="exact"/>
              <w:rPr>
                <w:sz w:val="20"/>
                <w:szCs w:val="20"/>
                <w:color w:val="auto"/>
              </w:rPr>
            </w:pPr>
            <w:r>
              <w:rPr>
                <w:rFonts w:ascii="Arial" w:cs="Arial" w:eastAsia="Arial" w:hAnsi="Arial"/>
                <w:sz w:val="18"/>
                <w:szCs w:val="18"/>
                <w:color w:val="auto"/>
              </w:rPr>
              <w:t>1,452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(63)</w:t>
            </w: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2"/>
              <w:spacing w:after="0" w:line="203" w:lineRule="exact"/>
              <w:rPr>
                <w:sz w:val="20"/>
                <w:szCs w:val="20"/>
                <w:color w:val="auto"/>
              </w:rPr>
            </w:pPr>
            <w:r>
              <w:rPr>
                <w:rFonts w:ascii="Arial" w:cs="Arial" w:eastAsia="Arial" w:hAnsi="Arial"/>
                <w:sz w:val="18"/>
                <w:szCs w:val="18"/>
                <w:color w:val="auto"/>
              </w:rPr>
              <w:t>2,905</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Arial" w:cs="Arial" w:eastAsia="Arial" w:hAnsi="Arial"/>
                <w:sz w:val="18"/>
                <w:szCs w:val="18"/>
                <w:color w:val="auto"/>
              </w:rPr>
              <w:t>(63)</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(26)</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328</w:t>
            </w:r>
          </w:p>
        </w:tc>
        <w:tc>
          <w:tcPr>
            <w:tcW w:w="13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1"/>
              <w:spacing w:after="0" w:line="203" w:lineRule="exact"/>
              <w:rPr>
                <w:sz w:val="20"/>
                <w:szCs w:val="20"/>
                <w:color w:val="auto"/>
              </w:rPr>
            </w:pPr>
            <w:r>
              <w:rPr>
                <w:rFonts w:ascii="Arial" w:cs="Arial" w:eastAsia="Arial" w:hAnsi="Arial"/>
                <w:sz w:val="18"/>
                <w:szCs w:val="18"/>
                <w:color w:val="auto"/>
              </w:rPr>
              <w:t>652</w:t>
            </w: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ind w:left="140"/>
              <w:spacing w:after="0"/>
              <w:rPr>
                <w:sz w:val="20"/>
                <w:szCs w:val="20"/>
                <w:color w:val="auto"/>
              </w:rPr>
            </w:pPr>
            <w:r>
              <w:rPr>
                <w:rFonts w:ascii="Arial" w:cs="Arial" w:eastAsia="Arial" w:hAnsi="Arial"/>
                <w:sz w:val="18"/>
                <w:szCs w:val="18"/>
                <w:color w:val="auto"/>
              </w:rPr>
              <w:t>Loss (gain) on asset sales, net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Long-lived asset impairment</w:t>
            </w:r>
          </w:p>
        </w:tc>
        <w:tc>
          <w:tcPr>
            <w:tcW w:w="50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10,236</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11,208</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11,093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22,582</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20,952</w:t>
            </w:r>
          </w:p>
        </w:tc>
        <w:tc>
          <w:tcPr>
            <w:tcW w:w="1200" w:type="dxa"/>
            <w:vAlign w:val="bottom"/>
          </w:tcPr>
          <w:p>
            <w:pPr>
              <w:jc w:val="center"/>
              <w:ind w:left="13"/>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Includes the amortization expense associated with our favorable and unfavorable (in 2018) gas gathering contracts as reported in other revenues.</w:t>
      </w:r>
    </w:p>
    <w:p>
      <w:pPr>
        <w:spacing w:after="0" w:line="218"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7" w:name="page48"/>
    <w:bookmarkEnd w:id="47"/>
    <w:p>
      <w:pPr>
        <w:ind w:right="720"/>
        <w:spacing w:after="0" w:line="246" w:lineRule="auto"/>
        <w:rPr>
          <w:sz w:val="20"/>
          <w:szCs w:val="20"/>
          <w:color w:val="auto"/>
        </w:rPr>
      </w:pPr>
      <w:r>
        <w:rPr>
          <w:rFonts w:ascii="Arial" w:cs="Arial" w:eastAsia="Arial" w:hAnsi="Arial"/>
          <w:sz w:val="18"/>
          <w:szCs w:val="18"/>
          <w:u w:val="single" w:color="auto"/>
          <w:color w:val="auto"/>
        </w:rPr>
        <w:t>Three months ended June 30, 2019</w:t>
      </w:r>
      <w:r>
        <w:rPr>
          <w:rFonts w:ascii="Arial" w:cs="Arial" w:eastAsia="Arial" w:hAnsi="Arial"/>
          <w:sz w:val="18"/>
          <w:szCs w:val="18"/>
          <w:color w:val="auto"/>
        </w:rPr>
        <w:t>. Segment adjusted EBITDA was flat compared to the three months ended June 30, 2018 primarily reflecting:</w:t>
      </w:r>
    </w:p>
    <w:p>
      <w:pPr>
        <w:spacing w:after="0" w:line="89" w:lineRule="exact"/>
        <w:rPr>
          <w:sz w:val="20"/>
          <w:szCs w:val="20"/>
          <w:color w:val="auto"/>
        </w:rPr>
      </w:pPr>
    </w:p>
    <w:p>
      <w:pPr>
        <w:ind w:left="800" w:hanging="400"/>
        <w:spacing w:after="0" w:line="238" w:lineRule="auto"/>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$1.5 million increase in adjustments related to MVC shortfall payments attributable to an expected cumulative shortfall payment from a certain customer due in the fourth quarter of 2019, offset by a $1.5 million decrease in gathering services and related fees primarily reflecting lower volume throughput and lower gathering rate mix. Also impacting 2019 revenues was the presentation of $1.2 million of gathering services as a reduction to cost of natural gas and NGLs due to the transfer of certain marketing arrangements from Corporate and Other to our DFW Midstream operations.</w:t>
      </w:r>
    </w:p>
    <w:p>
      <w:pPr>
        <w:spacing w:after="0" w:line="10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u w:val="single" w:color="auto"/>
          <w:color w:val="auto"/>
        </w:rPr>
        <w:t>Six months ended June 30, 2019</w:t>
      </w:r>
      <w:r>
        <w:rPr>
          <w:rFonts w:ascii="Arial" w:cs="Arial" w:eastAsia="Arial" w:hAnsi="Arial"/>
          <w:sz w:val="18"/>
          <w:szCs w:val="18"/>
          <w:color w:val="auto"/>
        </w:rPr>
        <w:t>. Segment adjusted EBITDA increased $1.6 million compared to the six months ended June 30, 2018 primarily reflecting:</w:t>
      </w:r>
    </w:p>
    <w:p>
      <w:pPr>
        <w:spacing w:after="0" w:line="75" w:lineRule="exact"/>
        <w:rPr>
          <w:sz w:val="20"/>
          <w:szCs w:val="20"/>
          <w:color w:val="auto"/>
        </w:rPr>
      </w:pPr>
    </w:p>
    <w:p>
      <w:pPr>
        <w:ind w:left="800" w:right="20" w:hanging="400"/>
        <w:spacing w:after="0" w:line="23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$2.9 million increase in adjustments related to MVC shortfall payments attributable to an expected cumulative shortfall payment from a certain customer due in the fourth quarter of 2019, partially offset by a $2.1 million decrease in gathering services and related fees primarily reflecting lower volume throughput and lower gathering rate mix. Also impacting 2019 revenues was the presentation of $1.2 million of gathering services as a reduction to cost of natural gas and NGLs due to the transfer of certain marketing arrangements from Corporate and Other to our DFW Midstream operations.</w:t>
      </w:r>
    </w:p>
    <w:p>
      <w:pPr>
        <w:spacing w:after="0" w:line="108" w:lineRule="exact"/>
        <w:rPr>
          <w:rFonts w:ascii="Arial" w:cs="Arial" w:eastAsia="Arial" w:hAnsi="Arial"/>
          <w:sz w:val="18"/>
          <w:szCs w:val="18"/>
          <w:color w:val="auto"/>
        </w:rPr>
      </w:pPr>
    </w:p>
    <w:p>
      <w:pPr>
        <w:ind w:left="800" w:hanging="400"/>
        <w:spacing w:after="0"/>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$0.5 million decrease in various operation and maintenance expenses.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Other items to note:</w:t>
      </w:r>
    </w:p>
    <w:p>
      <w:pPr>
        <w:spacing w:after="0" w:line="117" w:lineRule="exact"/>
        <w:rPr>
          <w:sz w:val="20"/>
          <w:szCs w:val="20"/>
          <w:color w:val="auto"/>
        </w:rPr>
      </w:pPr>
    </w:p>
    <w:p>
      <w:pPr>
        <w:jc w:val="both"/>
        <w:ind w:left="800" w:right="460" w:hanging="400"/>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March 2019, we impaired certain long-lived assets in the Barnett Shale (see Note 5 to the unaudited condensed consolidated financial statements). The impairment had no impact on segment adjusted EBITDA for the three and six months ended June 30, 2019.</w:t>
      </w:r>
    </w:p>
    <w:p>
      <w:pPr>
        <w:spacing w:after="0" w:line="73"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b w:val="1"/>
          <w:bCs w:val="1"/>
          <w:i w:val="1"/>
          <w:iCs w:val="1"/>
          <w:color w:val="auto"/>
        </w:rPr>
        <w:t xml:space="preserve">Marcellus Shale. </w:t>
      </w:r>
      <w:r>
        <w:rPr>
          <w:rFonts w:ascii="Arial" w:cs="Arial" w:eastAsia="Arial" w:hAnsi="Arial"/>
          <w:sz w:val="18"/>
          <w:szCs w:val="18"/>
          <w:color w:val="auto"/>
        </w:rPr>
        <w:t>The Mountaineer Midstream system provides our midstream services for the Marcellus Shale reportable segment. Volume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throughput for the Marcellus Shale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30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Marcellus Shale</w:t>
            </w:r>
          </w:p>
        </w:tc>
        <w:tc>
          <w:tcPr>
            <w:tcW w:w="10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460" w:type="dxa"/>
            <w:vAlign w:val="bottom"/>
            <w:gridSpan w:val="5"/>
          </w:tcPr>
          <w:p>
            <w:pPr>
              <w:ind w:left="100"/>
              <w:spacing w:after="0"/>
              <w:rPr>
                <w:sz w:val="20"/>
                <w:szCs w:val="20"/>
                <w:color w:val="auto"/>
              </w:rPr>
            </w:pPr>
            <w:r>
              <w:rPr>
                <w:rFonts w:ascii="Arial" w:cs="Arial" w:eastAsia="Arial" w:hAnsi="Arial"/>
                <w:sz w:val="14"/>
                <w:szCs w:val="14"/>
                <w:b w:val="1"/>
                <w:bCs w:val="1"/>
                <w:color w:val="auto"/>
              </w:rPr>
              <w:t>Three months ended June 30,</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Percentage</w:t>
            </w:r>
          </w:p>
        </w:tc>
        <w:tc>
          <w:tcPr>
            <w:tcW w:w="232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300" w:type="dxa"/>
            <w:vAlign w:val="bottom"/>
            <w:tcBorders>
              <w:bottom w:val="single" w:sz="8" w:color="CFF0FC"/>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5"/>
                <w:szCs w:val="15"/>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4980" w:type="dxa"/>
            <w:vAlign w:val="bottom"/>
            <w:gridSpan w:val="2"/>
            <w:shd w:val="clear" w:color="auto" w:fill="CFF0FC"/>
          </w:tcPr>
          <w:p>
            <w:pPr>
              <w:jc w:val="right"/>
              <w:ind w:right="2148"/>
              <w:spacing w:after="0"/>
              <w:rPr>
                <w:sz w:val="20"/>
                <w:szCs w:val="20"/>
                <w:color w:val="auto"/>
              </w:rPr>
            </w:pPr>
            <w:r>
              <w:rPr>
                <w:rFonts w:ascii="Arial" w:cs="Arial" w:eastAsia="Arial" w:hAnsi="Arial"/>
                <w:sz w:val="18"/>
                <w:szCs w:val="18"/>
                <w:color w:val="auto"/>
                <w:w w:val="99"/>
              </w:rPr>
              <w:t>Average daily throughput (MMcf/d)</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347</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524</w:t>
            </w: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(34%)</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42"/>
              <w:spacing w:after="0"/>
              <w:rPr>
                <w:sz w:val="20"/>
                <w:szCs w:val="20"/>
                <w:color w:val="auto"/>
              </w:rPr>
            </w:pPr>
            <w:r>
              <w:rPr>
                <w:rFonts w:ascii="Arial" w:cs="Arial" w:eastAsia="Arial" w:hAnsi="Arial"/>
                <w:sz w:val="18"/>
                <w:szCs w:val="18"/>
                <w:color w:val="auto"/>
              </w:rPr>
              <w:t>363</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(31%)</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Volume throughput decreased compared to the three and six months ended June 30, 2018 primarily due to natural production declines.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Financial data for our Marcellus Shale reportable segment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rPr>
              <w:t>Marcellus Shale</w:t>
            </w: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4"/>
                <w:szCs w:val="14"/>
                <w:b w:val="1"/>
                <w:bCs w:val="1"/>
                <w:color w:val="auto"/>
              </w:rPr>
              <w:t>Three months ended June 30,</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6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Borders>
              <w:bottom w:val="single" w:sz="8" w:color="auto"/>
            </w:tcBorders>
          </w:tcPr>
          <w:p>
            <w:pPr>
              <w:spacing w:after="0"/>
              <w:rPr>
                <w:sz w:val="18"/>
                <w:szCs w:val="18"/>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42"/>
        </w:trPr>
        <w:tc>
          <w:tcPr>
            <w:tcW w:w="8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84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5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Gathering services and related fees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5,897</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8,050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15,875</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0"/>
        </w:trPr>
        <w:tc>
          <w:tcPr>
            <w:tcW w:w="3560" w:type="dxa"/>
            <w:vAlign w:val="bottom"/>
            <w:tcBorders>
              <w:top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Total revenues</w:t>
            </w:r>
          </w:p>
        </w:tc>
        <w:tc>
          <w:tcPr>
            <w:tcW w:w="7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5,897</w:t>
            </w: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8,050</w:t>
            </w:r>
          </w:p>
        </w:tc>
        <w:tc>
          <w:tcPr>
            <w:tcW w:w="1360" w:type="dxa"/>
            <w:vAlign w:val="bottom"/>
            <w:tcBorders>
              <w:top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(27%)</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12,094</w:t>
            </w:r>
          </w:p>
        </w:tc>
        <w:tc>
          <w:tcPr>
            <w:tcW w:w="1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15,875</w:t>
            </w:r>
          </w:p>
        </w:tc>
        <w:tc>
          <w:tcPr>
            <w:tcW w:w="1200" w:type="dxa"/>
            <w:vAlign w:val="bottom"/>
            <w:tcBorders>
              <w:top w:val="single" w:sz="8" w:color="CFF0FC"/>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(24%)</w:t>
            </w:r>
          </w:p>
        </w:tc>
        <w:tc>
          <w:tcPr>
            <w:tcW w:w="0" w:type="dxa"/>
            <w:vAlign w:val="bottom"/>
          </w:tcPr>
          <w:p>
            <w:pPr>
              <w:spacing w:after="0"/>
              <w:rPr>
                <w:sz w:val="1"/>
                <w:szCs w:val="1"/>
                <w:color w:val="auto"/>
              </w:rPr>
            </w:pPr>
          </w:p>
        </w:tc>
      </w:tr>
      <w:tr>
        <w:trPr>
          <w:trHeight w:val="210"/>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Costs and expenses: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 and maintenance</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1,155</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1,400</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(18%)</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2,426</w:t>
            </w:r>
          </w:p>
        </w:tc>
        <w:tc>
          <w:tcPr>
            <w:tcW w:w="1200" w:type="dxa"/>
            <w:vAlign w:val="bottom"/>
            <w:gridSpan w:val="2"/>
            <w:shd w:val="clear" w:color="auto" w:fill="CFF0FC"/>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97</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211</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(10%)</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2,286</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2,274</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4,569</w:t>
            </w:r>
          </w:p>
        </w:tc>
        <w:tc>
          <w:tcPr>
            <w:tcW w:w="1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4,546</w:t>
            </w:r>
          </w:p>
        </w:tc>
        <w:tc>
          <w:tcPr>
            <w:tcW w:w="120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0"/>
        </w:trPr>
        <w:tc>
          <w:tcPr>
            <w:tcW w:w="35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Total costs and expenses</w:t>
            </w:r>
          </w:p>
        </w:tc>
        <w:tc>
          <w:tcPr>
            <w:tcW w:w="72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3,538</w:t>
            </w:r>
          </w:p>
        </w:tc>
        <w:tc>
          <w:tcPr>
            <w:tcW w:w="10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3,771</w:t>
            </w:r>
          </w:p>
        </w:tc>
        <w:tc>
          <w:tcPr>
            <w:tcW w:w="13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9"/>
              </w:rPr>
              <w:t>(6%)</w:t>
            </w: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6,867</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7,183</w:t>
            </w:r>
          </w:p>
        </w:tc>
        <w:tc>
          <w:tcPr>
            <w:tcW w:w="1200" w:type="dxa"/>
            <w:vAlign w:val="bottom"/>
            <w:tcBorders>
              <w:bottom w:val="single" w:sz="8" w:color="CFF0FC"/>
            </w:tcBorders>
            <w:gridSpan w:val="2"/>
          </w:tcPr>
          <w:p>
            <w:pPr>
              <w:jc w:val="center"/>
              <w:ind w:left="1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0"/>
        </w:trPr>
        <w:tc>
          <w:tcPr>
            <w:tcW w:w="35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Add:</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2,286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2,274</w:t>
            </w: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4,569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4,546</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Adjustments related to capital</w:t>
            </w:r>
          </w:p>
        </w:tc>
        <w:tc>
          <w:tcPr>
            <w:tcW w:w="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FF0FC"/>
          </w:tcPr>
          <w:p>
            <w:pPr>
              <w:ind w:left="340"/>
              <w:spacing w:after="0" w:line="203" w:lineRule="exact"/>
              <w:rPr>
                <w:sz w:val="20"/>
                <w:szCs w:val="20"/>
                <w:color w:val="auto"/>
              </w:rPr>
            </w:pPr>
            <w:r>
              <w:rPr>
                <w:rFonts w:ascii="Arial" w:cs="Arial" w:eastAsia="Arial" w:hAnsi="Arial"/>
                <w:sz w:val="18"/>
                <w:szCs w:val="18"/>
                <w:color w:val="auto"/>
              </w:rPr>
              <w:t>reimbursement activity</w:t>
            </w:r>
          </w:p>
        </w:tc>
        <w:tc>
          <w:tcPr>
            <w:tcW w:w="7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(10)</w:t>
            </w:r>
          </w:p>
        </w:tc>
        <w:tc>
          <w:tcPr>
            <w:tcW w:w="136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60" w:type="dxa"/>
            <w:vAlign w:val="bottom"/>
            <w:gridSpan w:val="2"/>
          </w:tcPr>
          <w:p>
            <w:pPr>
              <w:ind w:left="260"/>
              <w:spacing w:after="0"/>
              <w:rPr>
                <w:sz w:val="20"/>
                <w:szCs w:val="20"/>
                <w:color w:val="auto"/>
              </w:rPr>
            </w:pPr>
            <w:r>
              <w:rPr>
                <w:rFonts w:ascii="Arial" w:cs="Arial" w:eastAsia="Arial" w:hAnsi="Arial"/>
                <w:sz w:val="18"/>
                <w:szCs w:val="18"/>
                <w:color w:val="auto"/>
              </w:rPr>
              <w:t>Segment adjusted EBITDA</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4,635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6,543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9,777</w:t>
            </w:r>
          </w:p>
        </w:tc>
        <w:tc>
          <w:tcPr>
            <w:tcW w:w="1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13,219</w:t>
            </w:r>
          </w:p>
        </w:tc>
        <w:tc>
          <w:tcPr>
            <w:tcW w:w="1200" w:type="dxa"/>
            <w:vAlign w:val="bottom"/>
            <w:gridSpan w:val="2"/>
          </w:tcPr>
          <w:p>
            <w:pPr>
              <w:jc w:val="center"/>
              <w:spacing w:after="0"/>
              <w:rPr>
                <w:sz w:val="20"/>
                <w:szCs w:val="20"/>
                <w:color w:val="auto"/>
              </w:rPr>
            </w:pPr>
            <w:r>
              <w:rPr>
                <w:rFonts w:ascii="Arial" w:cs="Arial" w:eastAsia="Arial" w:hAnsi="Arial"/>
                <w:sz w:val="18"/>
                <w:szCs w:val="18"/>
                <w:color w:val="auto"/>
                <w:w w:val="99"/>
              </w:rPr>
              <w:t>(26%)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4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*Not considered meaningful</w:t>
      </w:r>
    </w:p>
    <w:p>
      <w:pPr>
        <w:spacing w:after="0" w:line="110"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u w:val="single" w:color="auto"/>
          <w:color w:val="auto"/>
        </w:rPr>
        <w:t>Three months ended June 30, 2019</w:t>
      </w:r>
      <w:r>
        <w:rPr>
          <w:rFonts w:ascii="Arial" w:cs="Arial" w:eastAsia="Arial" w:hAnsi="Arial"/>
          <w:sz w:val="18"/>
          <w:szCs w:val="18"/>
          <w:color w:val="auto"/>
        </w:rPr>
        <w:t>. Segment adjusted EBITDA decreased $1.9 million compared to the three months ended June 30, 2018 primarily reflecting:</w:t>
      </w:r>
    </w:p>
    <w:p>
      <w:pPr>
        <w:spacing w:after="0" w:line="89" w:lineRule="exact"/>
        <w:rPr>
          <w:sz w:val="20"/>
          <w:szCs w:val="20"/>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$2.2 million decrease in gathering services and related fees as a result of volume declines.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$0.2 million decrease in operation and maintenance expense.</w:t>
      </w:r>
    </w:p>
    <w:p>
      <w:pPr>
        <w:spacing w:after="0" w:line="117" w:lineRule="exact"/>
        <w:rPr>
          <w:sz w:val="20"/>
          <w:szCs w:val="20"/>
          <w:color w:val="auto"/>
        </w:rPr>
      </w:pPr>
    </w:p>
    <w:p>
      <w:pPr>
        <w:ind w:right="680"/>
        <w:spacing w:after="0" w:line="246" w:lineRule="auto"/>
        <w:rPr>
          <w:sz w:val="20"/>
          <w:szCs w:val="20"/>
          <w:color w:val="auto"/>
        </w:rPr>
      </w:pPr>
      <w:r>
        <w:rPr>
          <w:rFonts w:ascii="Arial" w:cs="Arial" w:eastAsia="Arial" w:hAnsi="Arial"/>
          <w:sz w:val="18"/>
          <w:szCs w:val="18"/>
          <w:u w:val="single" w:color="auto"/>
          <w:color w:val="auto"/>
        </w:rPr>
        <w:t>Six months ended June 30, 2019</w:t>
      </w:r>
      <w:r>
        <w:rPr>
          <w:rFonts w:ascii="Arial" w:cs="Arial" w:eastAsia="Arial" w:hAnsi="Arial"/>
          <w:sz w:val="18"/>
          <w:szCs w:val="18"/>
          <w:color w:val="auto"/>
        </w:rPr>
        <w:t>. Segment adjusted EBITDA decreased $3.4 million compared to the six months ended June 30, 2018 primarily reflecting:</w:t>
      </w:r>
    </w:p>
    <w:p>
      <w:pPr>
        <w:spacing w:after="0" w:line="89" w:lineRule="exact"/>
        <w:rPr>
          <w:sz w:val="20"/>
          <w:szCs w:val="20"/>
          <w:color w:val="auto"/>
        </w:rPr>
      </w:pPr>
    </w:p>
    <w:p>
      <w:pPr>
        <w:ind w:left="800" w:hanging="400"/>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$3.8 million decrease in gathering services and related fees as a result of volume declines.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$0.3 million decrease in operation and maintenance expense.</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and Other Overview for the Three and Six Months Ended June 30, 2019 and 2018</w:t>
      </w:r>
    </w:p>
    <w:p>
      <w:pPr>
        <w:spacing w:after="0" w:line="121" w:lineRule="exact"/>
        <w:rPr>
          <w:sz w:val="20"/>
          <w:szCs w:val="20"/>
          <w:color w:val="auto"/>
        </w:rPr>
      </w:pPr>
    </w:p>
    <w:p>
      <w:pPr>
        <w:ind w:right="80"/>
        <w:spacing w:after="0"/>
        <w:rPr>
          <w:sz w:val="20"/>
          <w:szCs w:val="20"/>
          <w:color w:val="auto"/>
        </w:rPr>
      </w:pPr>
      <w:r>
        <w:rPr>
          <w:rFonts w:ascii="Arial" w:cs="Arial" w:eastAsia="Arial" w:hAnsi="Arial"/>
          <w:sz w:val="18"/>
          <w:szCs w:val="18"/>
          <w:color w:val="auto"/>
        </w:rPr>
        <w:t>Corporate and Other represents those results that are not specifically attributable to a reportable segment or that have not been allocated to our reportable segments, including certain general and administrative expense items, natural gas and crude oil marketing services, transaction costs, interest expense and the change in the Deferred Purchase Price Obligation.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3"/>
          </w:tcPr>
          <w:p>
            <w:pPr>
              <w:jc w:val="right"/>
              <w:ind w:right="294"/>
              <w:spacing w:after="0"/>
              <w:rPr>
                <w:sz w:val="20"/>
                <w:szCs w:val="20"/>
                <w:color w:val="auto"/>
              </w:rPr>
            </w:pPr>
            <w:r>
              <w:rPr>
                <w:rFonts w:ascii="Arial" w:cs="Arial" w:eastAsia="Arial" w:hAnsi="Arial"/>
                <w:sz w:val="14"/>
                <w:szCs w:val="14"/>
                <w:b w:val="1"/>
                <w:bCs w:val="1"/>
                <w:color w:val="auto"/>
              </w:rPr>
              <w:t>Corporate and Other</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220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b w:val="1"/>
                <w:bCs w:val="1"/>
                <w:color w:val="auto"/>
              </w:rPr>
              <w:t>Three months ended June 30,</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Percentage</w:t>
            </w:r>
          </w:p>
        </w:tc>
        <w:tc>
          <w:tcPr>
            <w:tcW w:w="1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vMerge w:val="restart"/>
          </w:tcPr>
          <w:p>
            <w:pPr>
              <w:jc w:val="center"/>
              <w:ind w:left="14"/>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56"/>
        </w:trPr>
        <w:tc>
          <w:tcPr>
            <w:tcW w:w="4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2018</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ind w:left="1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4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340" w:type="dxa"/>
            <w:vAlign w:val="bottom"/>
            <w:gridSpan w:val="3"/>
          </w:tcPr>
          <w:p>
            <w:pPr>
              <w:jc w:val="right"/>
              <w:ind w:right="234"/>
              <w:spacing w:after="0"/>
              <w:rPr>
                <w:sz w:val="20"/>
                <w:szCs w:val="20"/>
                <w:color w:val="auto"/>
              </w:rPr>
            </w:pPr>
            <w:r>
              <w:rPr>
                <w:rFonts w:ascii="Arial" w:cs="Arial" w:eastAsia="Arial" w:hAnsi="Arial"/>
                <w:sz w:val="14"/>
                <w:szCs w:val="14"/>
                <w:b w:val="1"/>
                <w:bCs w:val="1"/>
                <w:color w:val="auto"/>
              </w:rPr>
              <w:t>(Dollars in thousands)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Total revenues</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2,927</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17,148</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26,444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30,421</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(13%)</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Cost of natural gas and NGLs</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2,783</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17,225</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(84%)</w:t>
            </w:r>
          </w:p>
        </w:tc>
        <w:tc>
          <w:tcPr>
            <w:tcW w:w="12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26,105</w:t>
            </w:r>
          </w:p>
        </w:tc>
        <w:tc>
          <w:tcPr>
            <w:tcW w:w="3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30,334</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2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8,988</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11,233</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25,128</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23,933</w:t>
            </w:r>
          </w:p>
        </w:tc>
        <w:tc>
          <w:tcPr>
            <w:tcW w:w="1200" w:type="dxa"/>
            <w:vAlign w:val="bottom"/>
            <w:shd w:val="clear" w:color="auto" w:fill="CFF0FC"/>
          </w:tcPr>
          <w:p>
            <w:pPr>
              <w:jc w:val="center"/>
              <w:ind w:left="14"/>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Transaction costs</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950</w:t>
            </w:r>
          </w:p>
        </w:tc>
        <w:tc>
          <w:tcPr>
            <w:tcW w:w="320" w:type="dxa"/>
            <w:vAlign w:val="bottom"/>
          </w:tcPr>
          <w:p>
            <w:pPr>
              <w:spacing w:after="0"/>
              <w:rPr>
                <w:sz w:val="18"/>
                <w:szCs w:val="18"/>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1200" w:type="dxa"/>
            <w:vAlign w:val="bottom"/>
            <w:shd w:val="clear" w:color="auto" w:fill="CFF0FC"/>
          </w:tcPr>
          <w:p>
            <w:pPr>
              <w:jc w:val="right"/>
              <w:ind w:right="194"/>
              <w:spacing w:after="0"/>
              <w:rPr>
                <w:sz w:val="20"/>
                <w:szCs w:val="20"/>
                <w:color w:val="auto"/>
              </w:rPr>
            </w:pPr>
            <w:r>
              <w:rPr>
                <w:rFonts w:ascii="Arial" w:cs="Arial" w:eastAsia="Arial" w:hAnsi="Arial"/>
                <w:sz w:val="18"/>
                <w:szCs w:val="18"/>
                <w:color w:val="auto"/>
              </w:rPr>
              <w:t>17,941</w:t>
            </w:r>
          </w:p>
        </w:tc>
        <w:tc>
          <w:tcPr>
            <w:tcW w:w="10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14,837</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21%</w:t>
            </w:r>
          </w:p>
        </w:tc>
        <w:tc>
          <w:tcPr>
            <w:tcW w:w="12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35,468</w:t>
            </w:r>
          </w:p>
        </w:tc>
        <w:tc>
          <w:tcPr>
            <w:tcW w:w="3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29,959</w:t>
            </w:r>
          </w:p>
        </w:tc>
        <w:tc>
          <w:tcPr>
            <w:tcW w:w="12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Deferred Purchase Price Obligation</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3,712</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69,305</w:t>
            </w:r>
          </w:p>
        </w:tc>
        <w:tc>
          <w:tcPr>
            <w:tcW w:w="1280" w:type="dxa"/>
            <w:vAlign w:val="bottom"/>
          </w:tcPr>
          <w:p>
            <w:pPr>
              <w:jc w:val="center"/>
              <w:spacing w:after="0"/>
              <w:rPr>
                <w:sz w:val="20"/>
                <w:szCs w:val="20"/>
                <w:color w:val="auto"/>
              </w:rPr>
            </w:pPr>
            <w:r>
              <w:rPr>
                <w:rFonts w:ascii="Arial" w:cs="Arial" w:eastAsia="Arial" w:hAnsi="Arial"/>
                <w:sz w:val="18"/>
                <w:szCs w:val="18"/>
                <w:color w:val="auto"/>
                <w:w w:val="84"/>
              </w:rPr>
              <w:t>*</w:t>
            </w:r>
          </w:p>
        </w:tc>
        <w:tc>
          <w:tcPr>
            <w:tcW w:w="120" w:type="dxa"/>
            <w:vAlign w:val="bottom"/>
          </w:tcPr>
          <w:p>
            <w:pPr>
              <w:spacing w:after="0"/>
              <w:rPr>
                <w:sz w:val="19"/>
                <w:szCs w:val="19"/>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8,139</w:t>
            </w:r>
          </w:p>
        </w:tc>
        <w:tc>
          <w:tcPr>
            <w:tcW w:w="320" w:type="dxa"/>
            <w:vAlign w:val="bottom"/>
          </w:tcPr>
          <w:p>
            <w:pPr>
              <w:spacing w:after="0"/>
              <w:rPr>
                <w:sz w:val="19"/>
                <w:szCs w:val="19"/>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90,963</w:t>
            </w:r>
          </w:p>
        </w:tc>
        <w:tc>
          <w:tcPr>
            <w:tcW w:w="1200" w:type="dxa"/>
            <w:vAlign w:val="bottom"/>
          </w:tcPr>
          <w:p>
            <w:pPr>
              <w:jc w:val="center"/>
              <w:ind w:left="14"/>
              <w:spacing w:after="0"/>
              <w:rPr>
                <w:sz w:val="20"/>
                <w:szCs w:val="20"/>
                <w:color w:val="auto"/>
              </w:rPr>
            </w:pPr>
            <w:r>
              <w:rPr>
                <w:rFonts w:ascii="Arial" w:cs="Arial" w:eastAsia="Arial" w:hAnsi="Arial"/>
                <w:sz w:val="18"/>
                <w:szCs w:val="18"/>
                <w:color w:val="auto"/>
                <w:w w:val="8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523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 Not considered meaningful</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49" w:name="page50"/>
    <w:bookmarkEnd w:id="49"/>
    <w:p>
      <w:pPr>
        <w:ind w:right="280"/>
        <w:spacing w:after="0"/>
        <w:rPr>
          <w:sz w:val="20"/>
          <w:szCs w:val="20"/>
          <w:color w:val="auto"/>
        </w:rPr>
      </w:pPr>
      <w:r>
        <w:rPr>
          <w:rFonts w:ascii="Arial" w:cs="Arial" w:eastAsia="Arial" w:hAnsi="Arial"/>
          <w:sz w:val="18"/>
          <w:szCs w:val="18"/>
          <w:u w:val="single" w:color="auto"/>
          <w:color w:val="auto"/>
        </w:rPr>
        <w:t>Total Revenues</w:t>
      </w:r>
      <w:r>
        <w:rPr>
          <w:rFonts w:ascii="Arial" w:cs="Arial" w:eastAsia="Arial" w:hAnsi="Arial"/>
          <w:sz w:val="18"/>
          <w:szCs w:val="18"/>
          <w:color w:val="auto"/>
        </w:rPr>
        <w:t>. Total revenues attributable to Corporate and Other was due to natural gas, NGL and crude oil marketing services (primarily natural gas sales). The decrease of $14.2 million and $4.0 million for the three and six months ended June 30, 2019, respectively, was attributable to lower natural gas, NGL and crude oil marketing activity.</w:t>
      </w:r>
    </w:p>
    <w:p>
      <w:pPr>
        <w:spacing w:after="0" w:line="95" w:lineRule="exact"/>
        <w:rPr>
          <w:sz w:val="20"/>
          <w:szCs w:val="20"/>
          <w:color w:val="auto"/>
        </w:rPr>
      </w:pPr>
    </w:p>
    <w:p>
      <w:pPr>
        <w:ind w:right="240"/>
        <w:spacing w:after="0"/>
        <w:rPr>
          <w:sz w:val="20"/>
          <w:szCs w:val="20"/>
          <w:color w:val="auto"/>
        </w:rPr>
      </w:pPr>
      <w:r>
        <w:rPr>
          <w:rFonts w:ascii="Arial" w:cs="Arial" w:eastAsia="Arial" w:hAnsi="Arial"/>
          <w:sz w:val="18"/>
          <w:szCs w:val="18"/>
          <w:u w:val="single" w:color="auto"/>
          <w:color w:val="auto"/>
        </w:rPr>
        <w:t>Cost of Natural Gas and NGLs</w:t>
      </w:r>
      <w:r>
        <w:rPr>
          <w:rFonts w:ascii="Arial" w:cs="Arial" w:eastAsia="Arial" w:hAnsi="Arial"/>
          <w:sz w:val="18"/>
          <w:szCs w:val="18"/>
          <w:color w:val="auto"/>
        </w:rPr>
        <w:t>. Cost of natural gas and NGLs attributable to Corporate and Other was due to natural gas, NGL and crude oil marketing services. The decrease of $14.4 million and $4.2 million for the three and six months ended June 30, 2019, respectively, was attributable to lower marketing activity.</w:t>
      </w:r>
    </w:p>
    <w:p>
      <w:pPr>
        <w:spacing w:after="0" w:line="95" w:lineRule="exact"/>
        <w:rPr>
          <w:sz w:val="20"/>
          <w:szCs w:val="20"/>
          <w:color w:val="auto"/>
        </w:rPr>
      </w:pPr>
    </w:p>
    <w:p>
      <w:pPr>
        <w:jc w:val="both"/>
        <w:ind w:right="160"/>
        <w:spacing w:after="0" w:line="246" w:lineRule="auto"/>
        <w:rPr>
          <w:sz w:val="20"/>
          <w:szCs w:val="20"/>
          <w:color w:val="auto"/>
        </w:rPr>
      </w:pPr>
      <w:r>
        <w:rPr>
          <w:rFonts w:ascii="Arial" w:cs="Arial" w:eastAsia="Arial" w:hAnsi="Arial"/>
          <w:sz w:val="18"/>
          <w:szCs w:val="18"/>
          <w:u w:val="single" w:color="auto"/>
          <w:color w:val="auto"/>
        </w:rPr>
        <w:t>General and Administrative</w:t>
      </w:r>
      <w:r>
        <w:rPr>
          <w:rFonts w:ascii="Arial" w:cs="Arial" w:eastAsia="Arial" w:hAnsi="Arial"/>
          <w:sz w:val="18"/>
          <w:szCs w:val="18"/>
          <w:color w:val="auto"/>
        </w:rPr>
        <w:t>. General and administrative expense decreased $2.2 million, compared to the three months ended June 30, 2018 primarily due to a $2.0 million decrease in compensation expense and a $0.4 million decrease in professional service fees.</w:t>
      </w:r>
    </w:p>
    <w:p>
      <w:pPr>
        <w:spacing w:after="0" w:line="89" w:lineRule="exact"/>
        <w:rPr>
          <w:sz w:val="20"/>
          <w:szCs w:val="20"/>
          <w:color w:val="auto"/>
        </w:rPr>
      </w:pPr>
    </w:p>
    <w:p>
      <w:pPr>
        <w:jc w:val="both"/>
        <w:ind w:right="180"/>
        <w:spacing w:after="0"/>
        <w:rPr>
          <w:sz w:val="20"/>
          <w:szCs w:val="20"/>
          <w:color w:val="auto"/>
        </w:rPr>
      </w:pPr>
      <w:r>
        <w:rPr>
          <w:rFonts w:ascii="Arial" w:cs="Arial" w:eastAsia="Arial" w:hAnsi="Arial"/>
          <w:sz w:val="18"/>
          <w:szCs w:val="18"/>
          <w:color w:val="auto"/>
        </w:rPr>
        <w:t>General and administrative expense increased $1.2 million, compared to the six months ended June 30, 2018 primarily due to the recognition of $3.4 million in severance expense relating to our former Chief Executive Officer partially offset by a $1.7 million decrease in compensation expense.</w:t>
      </w:r>
    </w:p>
    <w:p>
      <w:pPr>
        <w:spacing w:after="0" w:line="95"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u w:val="single" w:color="auto"/>
          <w:color w:val="auto"/>
        </w:rPr>
        <w:t>Transaction costs</w:t>
      </w:r>
      <w:r>
        <w:rPr>
          <w:rFonts w:ascii="Arial" w:cs="Arial" w:eastAsia="Arial" w:hAnsi="Arial"/>
          <w:sz w:val="18"/>
          <w:szCs w:val="18"/>
          <w:color w:val="auto"/>
        </w:rPr>
        <w:t>. Transaction costs recognized during the six months ended June 30, 2019 relate to financial advisory costs primarily associated with the Equity Restructuring.</w:t>
      </w:r>
    </w:p>
    <w:p>
      <w:pPr>
        <w:spacing w:after="0" w:line="89" w:lineRule="exact"/>
        <w:rPr>
          <w:sz w:val="20"/>
          <w:szCs w:val="20"/>
          <w:color w:val="auto"/>
        </w:rPr>
      </w:pPr>
    </w:p>
    <w:p>
      <w:pPr>
        <w:ind w:right="660"/>
        <w:spacing w:after="0" w:line="246" w:lineRule="auto"/>
        <w:rPr>
          <w:sz w:val="20"/>
          <w:szCs w:val="20"/>
          <w:color w:val="auto"/>
        </w:rPr>
      </w:pPr>
      <w:r>
        <w:rPr>
          <w:rFonts w:ascii="Arial" w:cs="Arial" w:eastAsia="Arial" w:hAnsi="Arial"/>
          <w:sz w:val="18"/>
          <w:szCs w:val="18"/>
          <w:u w:val="single" w:color="auto"/>
          <w:color w:val="auto"/>
        </w:rPr>
        <w:t>Interest Expense</w:t>
      </w:r>
      <w:r>
        <w:rPr>
          <w:rFonts w:ascii="Arial" w:cs="Arial" w:eastAsia="Arial" w:hAnsi="Arial"/>
          <w:sz w:val="18"/>
          <w:szCs w:val="18"/>
          <w:color w:val="auto"/>
        </w:rPr>
        <w:t>. Interest expense increased $3.1 million and $5.5 million compared to the three and six months ended June 30, 2018, respectively, primarily as a result of a higher average outstanding balance on the Revolving Credit Facility.</w:t>
      </w:r>
    </w:p>
    <w:p>
      <w:pPr>
        <w:spacing w:after="0" w:line="89" w:lineRule="exact"/>
        <w:rPr>
          <w:sz w:val="20"/>
          <w:szCs w:val="20"/>
          <w:color w:val="auto"/>
        </w:rPr>
      </w:pPr>
    </w:p>
    <w:p>
      <w:pPr>
        <w:jc w:val="both"/>
        <w:ind w:right="400"/>
        <w:spacing w:after="0"/>
        <w:rPr>
          <w:sz w:val="20"/>
          <w:szCs w:val="20"/>
          <w:color w:val="auto"/>
        </w:rPr>
      </w:pPr>
      <w:r>
        <w:rPr>
          <w:rFonts w:ascii="Arial" w:cs="Arial" w:eastAsia="Arial" w:hAnsi="Arial"/>
          <w:sz w:val="18"/>
          <w:szCs w:val="18"/>
          <w:u w:val="single" w:color="auto"/>
          <w:color w:val="auto"/>
        </w:rPr>
        <w:t>Deferred Purchase Price Obligation</w:t>
      </w:r>
      <w:r>
        <w:rPr>
          <w:rFonts w:ascii="Arial" w:cs="Arial" w:eastAsia="Arial" w:hAnsi="Arial"/>
          <w:sz w:val="18"/>
          <w:szCs w:val="18"/>
          <w:color w:val="auto"/>
        </w:rPr>
        <w:t>. Deferred Purchase Price Obligation recognized during the three and six months ended June 30, 2019 represents the change in present value to Remaining Consideration in connection with the 2016 Drop Down (see Note 17 to the unaudited condensed consolidated financial statements).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Liquidity and Capital Resources</w:t>
      </w:r>
    </w:p>
    <w:p>
      <w:pPr>
        <w:spacing w:after="0" w:line="13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Based on the terms of our Partnership Agreement, we expect that we will distribute to our unitholders most of the cash generated by our operations. As a result, we expect to fund future capital expenditures from cash and cash equivalents on hand, cash flows generated from our operations, borrowings under our Revolving Credit Facility, future issuances of debt, equity and preferred equity securities and proceeds from potential asset divestitures.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Markets Activity</w:t>
      </w:r>
    </w:p>
    <w:p>
      <w:pPr>
        <w:spacing w:after="0" w:line="121"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We had no capital markets activity during the six months ended June 30, 2019. For additional information, see the "Liquidity and Capital Resources—Capital Markets Activity" section of MD&amp;A included in the 2018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w:t>
      </w:r>
    </w:p>
    <w:p>
      <w:pPr>
        <w:spacing w:after="0" w:line="99"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i w:val="1"/>
          <w:iCs w:val="1"/>
          <w:color w:val="auto"/>
        </w:rPr>
        <w:t xml:space="preserve">Revolving Credit Facility. </w:t>
      </w:r>
      <w:r>
        <w:rPr>
          <w:rFonts w:ascii="Arial" w:cs="Arial" w:eastAsia="Arial" w:hAnsi="Arial"/>
          <w:sz w:val="18"/>
          <w:szCs w:val="18"/>
          <w:color w:val="auto"/>
        </w:rPr>
        <w:t>We have a $1.25 billion senior secured Revolving Credit Facility. As of June 30, 2019, the outstanding balance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Revolving Credit Facility was $573.0 million and the unused portion totaled $667.9 million, after giving effect to the issuance thereunder of a $9.1 million outstanding but undrawn irrevocable standby letter of credit. There were no defaults or events of default during the six months ended June 30, 2019, and, as of June 30, 2019, we were in compliance with the financial covenants in the Revolving Credit Facility. In June 2019, we executed the second amendment to the third amended and restated credit agreement that, among other things, made accommodations for the Agreement, and the transactions contemplated thereby, and designated Double E as an unrestricted subsidiary under the Revolving Credit Facility. See Notes 10 and 16 to the unaudited condensed consolidated financial statements for more information on the Revolving Credit Facility and the issuance of the $9.1 million letter of credit, respectively. A copy of the amendment is filed as Exhibit 10.2 to this report on Form 10-Q.</w:t>
      </w:r>
    </w:p>
    <w:p>
      <w:pPr>
        <w:spacing w:after="0" w:line="74"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 xml:space="preserve">Senior Notes. </w:t>
      </w:r>
      <w:r>
        <w:rPr>
          <w:rFonts w:ascii="Arial" w:cs="Arial" w:eastAsia="Arial" w:hAnsi="Arial"/>
          <w:sz w:val="18"/>
          <w:szCs w:val="18"/>
          <w:color w:val="auto"/>
        </w:rPr>
        <w:t>In February 2017, the Co-Issuers co-issued $500.0 million 5.75% Senior Notes. In July 2014, the Co-Issuers co-issued $300.0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of 5.50% Senior Notes. There were no defaults or events of default as of and for the six months ended June 30, 2019 on either series of senior notes.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our long-term debt, see Note 10 to the unaudited condensed consolidated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76"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t>Deferred Purchase Price Obligation</w:t>
      </w:r>
    </w:p>
    <w:p>
      <w:pPr>
        <w:spacing w:after="0" w:line="121" w:lineRule="exact"/>
        <w:rPr>
          <w:sz w:val="20"/>
          <w:szCs w:val="20"/>
          <w:color w:val="auto"/>
        </w:rPr>
      </w:pPr>
    </w:p>
    <w:p>
      <w:pPr>
        <w:jc w:val="both"/>
        <w:ind w:right="200"/>
        <w:spacing w:after="0"/>
        <w:rPr>
          <w:sz w:val="20"/>
          <w:szCs w:val="20"/>
          <w:color w:val="auto"/>
        </w:rPr>
      </w:pPr>
      <w:r>
        <w:rPr>
          <w:rFonts w:ascii="Arial" w:cs="Arial" w:eastAsia="Arial" w:hAnsi="Arial"/>
          <w:sz w:val="18"/>
          <w:szCs w:val="18"/>
          <w:color w:val="auto"/>
        </w:rPr>
        <w:t>In March 2016, we entered into an agreement with a subsidiary of Summit Investments to fund a portion of the 2016 Drop Down whereby we have recognized the Deferred Purchase Price Obligation (see Note 17 to the unaudited condensed consolidated financial statements and the “Contractual Obligations Update” section below).</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net change in cash and cash equivalents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6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560" w:type="dxa"/>
            <w:vAlign w:val="bottom"/>
            <w:tcBorders>
              <w:bottom w:val="single" w:sz="8" w:color="auto"/>
            </w:tcBorders>
            <w:gridSpan w:val="5"/>
          </w:tcPr>
          <w:p>
            <w:pPr>
              <w:jc w:val="right"/>
              <w:ind w:right="814"/>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5640" w:type="dxa"/>
            <w:vAlign w:val="bottom"/>
          </w:tcPr>
          <w:p>
            <w:pPr>
              <w:spacing w:after="0"/>
              <w:rPr>
                <w:sz w:val="14"/>
                <w:szCs w:val="14"/>
                <w:color w:val="auto"/>
              </w:rPr>
            </w:pPr>
          </w:p>
        </w:tc>
        <w:tc>
          <w:tcPr>
            <w:tcW w:w="31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jc w:val="right"/>
              <w:ind w:right="654"/>
              <w:spacing w:after="0"/>
              <w:rPr>
                <w:sz w:val="20"/>
                <w:szCs w:val="20"/>
                <w:color w:val="auto"/>
              </w:rPr>
            </w:pPr>
            <w:r>
              <w:rPr>
                <w:rFonts w:ascii="Arial" w:cs="Arial" w:eastAsia="Arial" w:hAnsi="Arial"/>
                <w:sz w:val="14"/>
                <w:szCs w:val="14"/>
                <w:b w:val="1"/>
                <w:bCs w:val="1"/>
                <w:color w:val="auto"/>
              </w:rPr>
              <w:t>2018</w:t>
            </w:r>
          </w:p>
        </w:tc>
      </w:tr>
      <w:tr>
        <w:trPr>
          <w:trHeight w:val="223"/>
        </w:trPr>
        <w:tc>
          <w:tcPr>
            <w:tcW w:w="564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Borders>
              <w:top w:val="single" w:sz="8" w:color="auto"/>
            </w:tcBorders>
          </w:tcPr>
          <w:p>
            <w:pPr>
              <w:spacing w:after="0"/>
              <w:rPr>
                <w:sz w:val="19"/>
                <w:szCs w:val="19"/>
                <w:color w:val="auto"/>
              </w:rPr>
            </w:pP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operating activities</w:t>
            </w:r>
          </w:p>
        </w:tc>
        <w:tc>
          <w:tcPr>
            <w:tcW w:w="318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96,246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110,049</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(20,160)</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(90,204)</w:t>
            </w:r>
          </w:p>
        </w:tc>
      </w:tr>
      <w:tr>
        <w:trPr>
          <w:trHeight w:val="216"/>
        </w:trPr>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financing activities</w:t>
            </w:r>
          </w:p>
        </w:tc>
        <w:tc>
          <w:tcPr>
            <w:tcW w:w="2220" w:type="dxa"/>
            <w:vAlign w:val="bottom"/>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(79,896)</w:t>
            </w:r>
          </w:p>
        </w:tc>
        <w:tc>
          <w:tcPr>
            <w:tcW w:w="18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(13,063)</w:t>
            </w:r>
          </w:p>
        </w:tc>
      </w:tr>
      <w:tr>
        <w:trPr>
          <w:trHeight w:val="210"/>
        </w:trPr>
        <w:tc>
          <w:tcPr>
            <w:tcW w:w="5640" w:type="dxa"/>
            <w:vAlign w:val="bottom"/>
          </w:tcPr>
          <w:p>
            <w:pPr>
              <w:ind w:left="140"/>
              <w:spacing w:after="0"/>
              <w:rPr>
                <w:sz w:val="20"/>
                <w:szCs w:val="20"/>
                <w:color w:val="auto"/>
              </w:rPr>
            </w:pPr>
            <w:r>
              <w:rPr>
                <w:rFonts w:ascii="Arial" w:cs="Arial" w:eastAsia="Arial" w:hAnsi="Arial"/>
                <w:sz w:val="18"/>
                <w:szCs w:val="18"/>
                <w:color w:val="auto"/>
              </w:rPr>
              <w:t>Net change in cash and cash equivalents</w:t>
            </w:r>
          </w:p>
        </w:tc>
        <w:tc>
          <w:tcPr>
            <w:tcW w:w="318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(3,810)</w:t>
            </w:r>
          </w:p>
        </w:tc>
        <w:tc>
          <w:tcPr>
            <w:tcW w:w="18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6,782</w:t>
            </w:r>
          </w:p>
        </w:tc>
      </w:tr>
      <w:tr>
        <w:trPr>
          <w:trHeight w:val="20"/>
        </w:trPr>
        <w:tc>
          <w:tcPr>
            <w:tcW w:w="56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Cash flows from operating activities for the six months ended June 30, 2019 primarily reflected:</w:t>
      </w:r>
    </w:p>
    <w:p>
      <w:pPr>
        <w:spacing w:after="0" w:line="139" w:lineRule="exact"/>
        <w:rPr>
          <w:sz w:val="20"/>
          <w:szCs w:val="20"/>
          <w:color w:val="auto"/>
        </w:rPr>
      </w:pPr>
    </w:p>
    <w:p>
      <w:pPr>
        <w:ind w:left="800" w:hanging="400"/>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 $6.5 million increase in cash interest payments;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Cash flows used in investing activities during the six months ended June 30, 2019 primarily reflected:</w:t>
      </w:r>
    </w:p>
    <w:p>
      <w:pPr>
        <w:spacing w:after="0" w:line="139" w:lineRule="exact"/>
        <w:rPr>
          <w:sz w:val="20"/>
          <w:szCs w:val="20"/>
          <w:color w:val="auto"/>
        </w:rPr>
      </w:pPr>
    </w:p>
    <w:p>
      <w:pPr>
        <w:ind w:left="800" w:hanging="400"/>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$89.5 million of net proceeds from the Tioga Midstream sale;</w:t>
      </w:r>
    </w:p>
    <w:p>
      <w:pPr>
        <w:spacing w:after="0" w:line="117" w:lineRule="exact"/>
        <w:rPr>
          <w:rFonts w:ascii="Arial" w:cs="Arial" w:eastAsia="Arial" w:hAnsi="Arial"/>
          <w:sz w:val="18"/>
          <w:szCs w:val="18"/>
          <w:color w:val="auto"/>
        </w:rPr>
      </w:pPr>
    </w:p>
    <w:p>
      <w:pPr>
        <w:ind w:left="800" w:right="320" w:hanging="400"/>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$111.1 million of capital expenditures primarily attributable to the ongoing development of the DJ Basin of $50.4 million, Summit Permian of $28.2 million, Corporate and Other, which includes $15.4 million of capital expenditures relating to the Project, and the Williston Basin of $14.2 million;</w:t>
      </w:r>
    </w:p>
    <w:p>
      <w:pPr>
        <w:spacing w:after="0" w:line="94" w:lineRule="exact"/>
        <w:rPr>
          <w:rFonts w:ascii="Arial" w:cs="Arial" w:eastAsia="Arial" w:hAnsi="Arial"/>
          <w:sz w:val="18"/>
          <w:szCs w:val="18"/>
          <w:color w:val="auto"/>
        </w:rPr>
      </w:pPr>
    </w:p>
    <w:p>
      <w:pPr>
        <w:ind w:left="800" w:hanging="400"/>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$7.3 million for a distribution from an equity method investment;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$5.9 million for an investment in an equity method investee.</w:t>
      </w:r>
    </w:p>
    <w:p>
      <w:pPr>
        <w:spacing w:after="0" w:line="117"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Cash flows used in investing activities during the six months ended June 30, 2018 primarily reflected $90.4 million of capital expenditures attributable to the development of the Summit Permian system as well as the continued development in the DJ Basin.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Cash flows used in financing activities during the six months ended June 30, 2019 primarily reflected:</w:t>
      </w:r>
    </w:p>
    <w:p>
      <w:pPr>
        <w:spacing w:after="0" w:line="139" w:lineRule="exact"/>
        <w:rPr>
          <w:sz w:val="20"/>
          <w:szCs w:val="20"/>
          <w:color w:val="auto"/>
        </w:rPr>
      </w:pPr>
    </w:p>
    <w:p>
      <w:pPr>
        <w:ind w:left="800" w:hanging="400"/>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$83.3 million of distributions;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$107.0 million of net borrowings under our Revolving Credit Facility;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$100.0 million payment on the Deferred Purchase Price Obligation.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Cash flows used in financing activities during the six months ended June 30, 2018 primarily reflected:</w:t>
      </w:r>
    </w:p>
    <w:p>
      <w:pPr>
        <w:spacing w:after="0" w:line="104" w:lineRule="exact"/>
        <w:rPr>
          <w:sz w:val="20"/>
          <w:szCs w:val="20"/>
          <w:color w:val="auto"/>
        </w:rPr>
      </w:pPr>
    </w:p>
    <w:p>
      <w:pPr>
        <w:ind w:left="800" w:hanging="400"/>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$95.0 million of net borrowings under our Revolving Credit Facility;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$104.5 million of distributions.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 Update</w:t>
      </w:r>
    </w:p>
    <w:p>
      <w:pPr>
        <w:spacing w:after="0" w:line="121"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In March 2016, we recognized the Deferred Purchase Price Obligation in connection with the 2016 Drop Down. Pursuant to the Equity Restructuring, in April 2019, the Partnership made a cash payment of $100 million to SMP Holdings in partial settlement of the Deferred Purchase Price Obligation. Following the payment, the Remaining Consideration was fixed at $303.5 million with such amount being payable by the Partnership in one or more payments over the period from March 1, 2020 through December 31, 2020, in (i) cash, (ii) the Partnership’s common units or (iii) a combination of cash and the Partnership’s common units, at the discretion of the Partnership. At least 50% of the Remaining Consideration must be paid on or before June 30, 2020 and interest will accrue at a rate of 8% per annum on any portion of the Remaining Consideration that remains unpaid after March 31, 2020.</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45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For additional information, see Note 17 to the unaudited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Capital Requirements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capital intensive, requiring significant investment for the maintenance of existing gathering systems and the acquisition or construction and development of new gathering systems and other midstream assets and facilities. Our partnership agreement requires that we categorize our capital expenditures as either:</w:t>
      </w:r>
    </w:p>
    <w:p>
      <w:pPr>
        <w:spacing w:after="0" w:line="95" w:lineRule="exact"/>
        <w:rPr>
          <w:sz w:val="20"/>
          <w:szCs w:val="20"/>
          <w:color w:val="auto"/>
        </w:rPr>
      </w:pPr>
    </w:p>
    <w:p>
      <w:pPr>
        <w:ind w:left="800" w:hanging="400"/>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spacing w:after="0" w:line="94" w:lineRule="exact"/>
        <w:rPr>
          <w:rFonts w:ascii="Arial" w:cs="Arial" w:eastAsia="Arial" w:hAnsi="Arial"/>
          <w:sz w:val="18"/>
          <w:szCs w:val="18"/>
          <w:color w:val="auto"/>
        </w:rPr>
      </w:pPr>
    </w:p>
    <w:p>
      <w:pPr>
        <w:ind w:left="800" w:right="340" w:hanging="400"/>
        <w:spacing w:after="0" w:line="24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expansion capital expenditures, which are cash expenditures incurred for acquisitions or capital improvements that we expect will increase our operating income or operating capacity over the long term.</w:t>
      </w:r>
    </w:p>
    <w:p>
      <w:pPr>
        <w:spacing w:after="0" w:line="89" w:lineRule="exact"/>
        <w:rPr>
          <w:sz w:val="20"/>
          <w:szCs w:val="20"/>
          <w:color w:val="auto"/>
        </w:rPr>
      </w:pPr>
    </w:p>
    <w:p>
      <w:pPr>
        <w:ind w:right="200"/>
        <w:spacing w:after="0" w:line="249" w:lineRule="auto"/>
        <w:rPr>
          <w:sz w:val="20"/>
          <w:szCs w:val="20"/>
          <w:color w:val="auto"/>
        </w:rPr>
      </w:pPr>
      <w:r>
        <w:rPr>
          <w:rFonts w:ascii="Arial" w:cs="Arial" w:eastAsia="Arial" w:hAnsi="Arial"/>
          <w:sz w:val="18"/>
          <w:szCs w:val="18"/>
          <w:color w:val="auto"/>
        </w:rPr>
        <w:t>For the six months ended June 30, 2019, cash paid for capital expenditures totaled $111.1 million (see Note 4 to the unaudited condensed consolidated financial statements) which included $7.0 million of maintenance capital expenditures. For the six months ended June 30, 2019, there were no contributions to Ohio Gathering and we contributed $5.3 million to Double E (see Note 8 to the unaudited condensed consolidated financial statements).</w:t>
      </w:r>
    </w:p>
    <w:p>
      <w:pPr>
        <w:spacing w:after="0" w:line="86"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Our growth strategy has required and will continue to require significant expenditures by us. Consequently, our ability to develop and maintain sources of funds to meet our capital requirements is critical to our ability to meet our growth objectives. There are a number of risks and uncertainties that could cause our current expectations to change, including, but not limited to, (i) the ability to reach agreement with third parties; (ii) prevailing conditions and outlook in the natural gas, crude oil and natural gas liquids industries and markets and (iii) our ability to obtain financing from commercial banks, the capital markets, or other sources such as our Sponsor and Summit Investments, among other factors.</w:t>
      </w:r>
    </w:p>
    <w:p>
      <w:pPr>
        <w:spacing w:after="0" w:line="97"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We rely primarily on internally generated cash flow as well as external financing sources, including commercial bank borrowings and the issuance of debt, equity and preferred equity securities, to fund our capital expenditures. We believe that our Revolving Credit Facility, together with internally generated cash flow and financial support from our Sponsor and/or access to debt or equity capital markets, will be adequate to finance our growth objectives for the foreseeable future without adversely impacting our liquidity or our ability to make quarterly cash distributions to our unitholders.</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Credit and Counterparty Concentration Risks</w:t>
      </w:r>
    </w:p>
    <w:p>
      <w:pPr>
        <w:spacing w:after="0" w:line="121" w:lineRule="exact"/>
        <w:rPr>
          <w:sz w:val="20"/>
          <w:szCs w:val="20"/>
          <w:color w:val="auto"/>
        </w:rPr>
      </w:pPr>
    </w:p>
    <w:p>
      <w:pPr>
        <w:ind w:right="180"/>
        <w:spacing w:after="0"/>
        <w:rPr>
          <w:sz w:val="20"/>
          <w:szCs w:val="20"/>
          <w:color w:val="auto"/>
        </w:rPr>
      </w:pPr>
      <w:r>
        <w:rPr>
          <w:rFonts w:ascii="Arial" w:cs="Arial" w:eastAsia="Arial" w:hAnsi="Arial"/>
          <w:sz w:val="18"/>
          <w:szCs w:val="18"/>
          <w:color w:val="auto"/>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spacing w:after="0" w:line="9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spacing w:after="0" w:line="95"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have exposure due to nonperformance under our MVC contracts whereby a customer, who was not meeting its MVCs, does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see Notes 4, 9 and 11 to the unaudited condensed consolidated financial statements.</w:t>
      </w:r>
    </w:p>
    <w:p>
      <w:pPr>
        <w:spacing w:after="0" w:line="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as of or during the six months ended June 30, 2019.</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Critical Accounting Estimates</w:t>
      </w:r>
    </w:p>
    <w:p>
      <w:pPr>
        <w:spacing w:after="0" w:line="130"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changes to our significant accounting policies since December 31, 2018 except for the adoption of Topic 842 (see Note 2 to the unaudited condensed consolidated financial statements).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22"/>
          <w:szCs w:val="22"/>
          <w:b w:val="1"/>
          <w:bCs w:val="1"/>
          <w:color w:val="auto"/>
        </w:rPr>
        <w:t>Forward-Looking Statements</w:t>
      </w:r>
    </w:p>
    <w:p>
      <w:pPr>
        <w:spacing w:after="0" w:line="13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our subsidiaries, Summit Investments or our Sponsor, are also forward-looking statements. These forward-looking statements involve various risks and uncertainties, including, but not limited to, those described in Item 1A. Risk Factors included in this report.</w:t>
      </w:r>
    </w:p>
    <w:p>
      <w:pPr>
        <w:spacing w:after="0" w:line="100"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spacing w:after="0" w:line="94" w:lineRule="exact"/>
        <w:rPr>
          <w:sz w:val="20"/>
          <w:szCs w:val="20"/>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grow, or maintain, our current rate of cash distributions;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fluctuations in natural gas, NGLs and crude oil prices;</w:t>
      </w:r>
    </w:p>
    <w:p>
      <w:pPr>
        <w:spacing w:after="0" w:line="117" w:lineRule="exact"/>
        <w:rPr>
          <w:rFonts w:ascii="Arial" w:cs="Arial" w:eastAsia="Arial" w:hAnsi="Arial"/>
          <w:sz w:val="18"/>
          <w:szCs w:val="18"/>
          <w:color w:val="auto"/>
        </w:rPr>
      </w:pPr>
    </w:p>
    <w:p>
      <w:pPr>
        <w:ind w:left="800" w:right="100" w:hanging="400"/>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extent and success of our customers' drilling efforts, as well as the quantity of natural gas, crude oil and produced water volumes produced within proximity of our assets;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or delays by our customers in achieving expected production in their natural gas, crude oil and produced water projects;</w:t>
      </w:r>
    </w:p>
    <w:p>
      <w:pPr>
        <w:spacing w:after="0" w:line="117" w:lineRule="exact"/>
        <w:rPr>
          <w:rFonts w:ascii="Arial" w:cs="Arial" w:eastAsia="Arial" w:hAnsi="Arial"/>
          <w:sz w:val="18"/>
          <w:szCs w:val="18"/>
          <w:color w:val="auto"/>
        </w:rPr>
      </w:pPr>
    </w:p>
    <w:p>
      <w:pPr>
        <w:ind w:left="800" w:right="60" w:hanging="400"/>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competitive conditions in our industry and their impact on our ability to connect hydrocarbon supplies to our gathering and processing assets or systems;</w:t>
      </w:r>
    </w:p>
    <w:p>
      <w:pPr>
        <w:spacing w:after="0" w:line="88" w:lineRule="exact"/>
        <w:rPr>
          <w:rFonts w:ascii="Arial" w:cs="Arial" w:eastAsia="Arial" w:hAnsi="Arial"/>
          <w:sz w:val="18"/>
          <w:szCs w:val="18"/>
          <w:color w:val="auto"/>
        </w:rPr>
      </w:pPr>
    </w:p>
    <w:p>
      <w:pPr>
        <w:ind w:left="800" w:right="80" w:hanging="400"/>
        <w:spacing w:after="0" w:line="239"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spacing w:after="0" w:line="93" w:lineRule="exact"/>
        <w:rPr>
          <w:rFonts w:ascii="Arial" w:cs="Arial" w:eastAsia="Arial" w:hAnsi="Arial"/>
          <w:sz w:val="18"/>
          <w:szCs w:val="18"/>
          <w:color w:val="auto"/>
        </w:rPr>
      </w:pPr>
    </w:p>
    <w:p>
      <w:pPr>
        <w:ind w:left="800" w:hanging="400"/>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acquire assets owned by third parties, which is subject to a number of factors, including prevailing conditions and outlook in the natural gas, NGL and crude oil industries and markets and our ability to obtain financing on acceptable terms;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ability to attract and retain key management personnel;</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commercial bank and capital market conditions and the potential impact of changes or disruptions in the credit and/or capital markets;</w:t>
      </w:r>
    </w:p>
    <w:p>
      <w:pPr>
        <w:spacing w:after="0" w:line="117" w:lineRule="exact"/>
        <w:rPr>
          <w:rFonts w:ascii="Arial" w:cs="Arial" w:eastAsia="Arial" w:hAnsi="Arial"/>
          <w:sz w:val="18"/>
          <w:szCs w:val="18"/>
          <w:color w:val="auto"/>
        </w:rPr>
      </w:pPr>
    </w:p>
    <w:p>
      <w:pPr>
        <w:ind w:left="800" w:right="100" w:hanging="400"/>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changes in the availability and cost of capital and the results of our financing efforts, including availability of funds in the credit and/or capital markets;</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restrictions placed on us by the agreements governing our debt and preferred equity instruments;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availability, terms and cost of downstream transportation and processing services;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natural disasters, accidents, weather-related delays, casualty losses and other matters beyond our control;</w:t>
      </w:r>
    </w:p>
    <w:p>
      <w:pPr>
        <w:spacing w:after="0" w:line="117" w:lineRule="exact"/>
        <w:rPr>
          <w:rFonts w:ascii="Arial" w:cs="Arial" w:eastAsia="Arial" w:hAnsi="Arial"/>
          <w:sz w:val="18"/>
          <w:szCs w:val="18"/>
          <w:color w:val="auto"/>
        </w:rPr>
      </w:pPr>
    </w:p>
    <w:p>
      <w:pPr>
        <w:ind w:left="800" w:right="720" w:hanging="400"/>
        <w:spacing w:after="0" w:line="246" w:lineRule="auto"/>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operational risks and hazards inherent in the gathering, compression, treating and/or processing of natural gas, crude oil and produced water;</w:t>
      </w:r>
    </w:p>
    <w:p>
      <w:pPr>
        <w:spacing w:after="0" w:line="88" w:lineRule="exact"/>
        <w:rPr>
          <w:rFonts w:ascii="Arial" w:cs="Arial" w:eastAsia="Arial" w:hAnsi="Arial"/>
          <w:sz w:val="18"/>
          <w:szCs w:val="18"/>
          <w:color w:val="auto"/>
        </w:rPr>
      </w:pPr>
    </w:p>
    <w:p>
      <w:pPr>
        <w:ind w:left="800" w:hanging="400"/>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weather conditions and terrain in certain areas in which we operate;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3" w:name="page54"/>
    <w:bookmarkEnd w:id="53"/>
    <w:p>
      <w:pPr>
        <w:ind w:left="800" w:right="420" w:hanging="400"/>
        <w:spacing w:after="0" w:line="246"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issues that can result in deficiencies in the design, installation or operation of our gathering, compression, treating and processing facilities;</w:t>
      </w:r>
    </w:p>
    <w:p>
      <w:pPr>
        <w:spacing w:after="0" w:line="88" w:lineRule="exact"/>
        <w:rPr>
          <w:rFonts w:ascii="Arial" w:cs="Arial" w:eastAsia="Arial" w:hAnsi="Arial"/>
          <w:sz w:val="18"/>
          <w:szCs w:val="18"/>
          <w:color w:val="auto"/>
        </w:rPr>
      </w:pPr>
    </w:p>
    <w:p>
      <w:pPr>
        <w:ind w:left="800" w:right="220" w:hanging="400"/>
        <w:spacing w:after="0" w:line="275"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spacing w:after="0" w:line="65" w:lineRule="exact"/>
        <w:rPr>
          <w:rFonts w:ascii="Arial" w:cs="Arial" w:eastAsia="Arial" w:hAnsi="Arial"/>
          <w:sz w:val="17"/>
          <w:szCs w:val="17"/>
          <w:color w:val="auto"/>
        </w:rPr>
      </w:pPr>
    </w:p>
    <w:p>
      <w:pPr>
        <w:ind w:left="800" w:right="100" w:hanging="400"/>
        <w:spacing w:after="0" w:line="246"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finance our obligations related to the capital expenditures required for our projects, including potential asset divestitures and the impact any such divestitures could have on our results;</w:t>
      </w:r>
    </w:p>
    <w:p>
      <w:pPr>
        <w:spacing w:after="0" w:line="88" w:lineRule="exact"/>
        <w:rPr>
          <w:rFonts w:ascii="Arial" w:cs="Arial" w:eastAsia="Arial" w:hAnsi="Arial"/>
          <w:sz w:val="18"/>
          <w:szCs w:val="18"/>
          <w:color w:val="auto"/>
        </w:rPr>
      </w:pPr>
    </w:p>
    <w:p>
      <w:pPr>
        <w:ind w:left="800" w:hanging="400"/>
        <w:spacing w:after="0" w:line="291" w:lineRule="auto"/>
        <w:tabs>
          <w:tab w:leader="none" w:pos="8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spacing w:after="0" w:line="66" w:lineRule="exact"/>
        <w:rPr>
          <w:rFonts w:ascii="Arial" w:cs="Arial" w:eastAsia="Arial" w:hAnsi="Arial"/>
          <w:sz w:val="17"/>
          <w:szCs w:val="17"/>
          <w:color w:val="auto"/>
        </w:rPr>
      </w:pPr>
    </w:p>
    <w:p>
      <w:pPr>
        <w:ind w:left="800" w:hanging="400"/>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tax status;</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effects of litigation;</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general economic conditions; and</w:t>
      </w:r>
    </w:p>
    <w:p>
      <w:pPr>
        <w:spacing w:after="0" w:line="117" w:lineRule="exact"/>
        <w:rPr>
          <w:rFonts w:ascii="Arial" w:cs="Arial" w:eastAsia="Arial" w:hAnsi="Arial"/>
          <w:sz w:val="18"/>
          <w:szCs w:val="18"/>
          <w:color w:val="auto"/>
        </w:rPr>
      </w:pPr>
    </w:p>
    <w:p>
      <w:pPr>
        <w:ind w:left="800" w:hanging="400"/>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factors discussed elsewhere in this report.</w:t>
      </w:r>
    </w:p>
    <w:p>
      <w:pPr>
        <w:spacing w:after="0" w:line="117"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Developments in any of these areas could cause actual results to differ materially from those anticipated or projected or cause a significant reduction in the market price of our common units, preferred units and senior notes.</w:t>
      </w:r>
    </w:p>
    <w:p>
      <w:pPr>
        <w:spacing w:after="0" w:line="8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Rate Risk</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Our current interest rate risk exposure is largely related to our debt portfolio. As of June 30, 2019, we had $800.0 million principal of fixed-rate Senior Notes and $573.0 million outstanding under our variable rate Revolving Credit Facility (see Note 10 to the unaudited condensed consolidated financial statements). While existing fixed-rate debt mitigates the downside impact of fluctuations in interest rates, future issuances of long -term debt could be impacted by increases in interest rates, which could result in higher overall interest costs. In addition, the borrowings under our Revolving Credit Facility, which have a variable interest rate, also expose us to the risk of increasing interest rates. Our current interest rate risk exposure has not changed materially since December 31, 2018. For additional information, see the "Interest Rate Risk" section included in Item 7A. Quantitative and Qualitative Disclosures About Market Risk of the 2018 Annual Report.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476" w:right="25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Commodity Price Risk</w:t>
      </w:r>
    </w:p>
    <w:p>
      <w:pPr>
        <w:spacing w:after="0" w:line="12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on the Bison Midstream, Grand River and Permian systems, (ii) the sale of natural gas we retain from certain DFW Midstream customers and (iii) the sale of condensate we retain from our gathering services at Grand River. Our gathering agreements with certain DFW Midstream customers permit us to retain a certain quantity of natural gas that we sell to offset the power costs we incur to operate our electric-drive compression assets. Our gathering agreements with our Grand River customers permit us to retain condensate volumes from the Grand River system gathering lines.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Henry Hub Index and/or the Atmos Zone 3 Index. By basing the power prices on an index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2018. For additional information, see the "Commodity Price Risk" section included in Item 7A. Quantitative and Qualitative Disclosures About Market Risk of the 2018 Annual Report.</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30"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June 30, 2019 and (ii) no change in internal control over financial reporting occurred during the quarter ended June 30, 2019, that has materially affected, or is reasonably likely to materially affect, our internal control over financial reporting.</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450" w:right="279" w:bottom="1440" w:gutter="0" w:footer="0" w:header="0"/>
        </w:sectPr>
      </w:pPr>
    </w:p>
    <w:bookmarkStart w:id="55" w:name="page56"/>
    <w:bookmarkEnd w:id="55"/>
    <w:p>
      <w:pPr>
        <w:jc w:val="center"/>
        <w:ind w:right="-219"/>
        <w:spacing w:after="0"/>
        <w:rPr>
          <w:sz w:val="20"/>
          <w:szCs w:val="20"/>
          <w:color w:val="auto"/>
        </w:rPr>
      </w:pPr>
      <w:r>
        <w:rPr>
          <w:rFonts w:ascii="Arial" w:cs="Arial" w:eastAsia="Arial" w:hAnsi="Arial"/>
          <w:sz w:val="22"/>
          <w:szCs w:val="22"/>
          <w:b w:val="1"/>
          <w:bCs w:val="1"/>
          <w:color w:val="auto"/>
        </w:rPr>
        <w:t>PART II - OTHER INFORMATION</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1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Although we may, from time to time, be involved in litigation and claims arising out of our operations in the normal course of business, we are not currently a party to any significant legal or governmental proceedings, except as noted below. In addition, we are not aware of any significant legal or governmental proceedings contemplated to be brought against us, under the various environmental protection statutes to which we are subject, except as noted in Note 16 to our unaudited condensed consolidated financial statements “Commitments and Contingencies” and in the 2018 Annual Report, which is incorporated herein by reference.</w:t>
      </w:r>
    </w:p>
    <w:p>
      <w:pPr>
        <w:spacing w:after="0" w:line="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130" w:lineRule="exact"/>
        <w:rPr>
          <w:sz w:val="20"/>
          <w:szCs w:val="20"/>
          <w:color w:val="auto"/>
        </w:rPr>
      </w:pPr>
    </w:p>
    <w:p>
      <w:pPr>
        <w:ind w:right="20"/>
        <w:spacing w:after="0"/>
        <w:rPr>
          <w:sz w:val="20"/>
          <w:szCs w:val="20"/>
          <w:color w:val="auto"/>
        </w:rPr>
      </w:pPr>
      <w:r>
        <w:rPr>
          <w:rFonts w:ascii="Arial" w:cs="Arial" w:eastAsia="Arial" w:hAnsi="Arial"/>
          <w:sz w:val="18"/>
          <w:szCs w:val="18"/>
          <w:color w:val="auto"/>
        </w:rPr>
        <w:t>The risk factors contained in the Item 1A. Risk Factors of (i) the 2018 Annual Report and (ii) the Quarterly Report on Form 10-Q for the quarterly period ended March 31, 2019 as filed with the SEC on May 10, 2019 are incorporated herein by reference except to the extent they address risks arising from or relating to the failure of events described therein to occur, which events have since occurred.</w:t>
      </w:r>
    </w:p>
    <w:p>
      <w:pPr>
        <w:spacing w:after="0" w:line="2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337" w:right="459" w:bottom="1440" w:gutter="0" w:footer="0" w:header="0"/>
        </w:sectPr>
      </w:pPr>
    </w:p>
    <w:bookmarkStart w:id="56" w:name="page57"/>
    <w:bookmarkEnd w:id="56"/>
    <w:p>
      <w:pPr>
        <w:spacing w:after="0"/>
        <w:rPr>
          <w:sz w:val="20"/>
          <w:szCs w:val="20"/>
          <w:color w:val="auto"/>
        </w:rPr>
      </w:pPr>
      <w:r>
        <w:rPr>
          <w:rFonts w:ascii="Arial" w:cs="Arial" w:eastAsia="Arial" w:hAnsi="Arial"/>
          <w:sz w:val="22"/>
          <w:szCs w:val="22"/>
          <w:b w:val="1"/>
          <w:bCs w:val="1"/>
          <w:color w:val="auto"/>
        </w:rPr>
        <w:t>Item 6. Exhibits.</w:t>
      </w:r>
    </w:p>
    <w:p>
      <w:pPr>
        <w:spacing w:after="0" w:line="144" w:lineRule="exact"/>
        <w:rPr>
          <w:sz w:val="20"/>
          <w:szCs w:val="20"/>
          <w:color w:val="auto"/>
        </w:rPr>
      </w:pPr>
    </w:p>
    <w:p>
      <w:pPr>
        <w:spacing w:after="0"/>
        <w:tabs>
          <w:tab w:leader="none" w:pos="134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4"/>
          <w:szCs w:val="14"/>
          <w:b w:val="1"/>
          <w:bCs w:val="1"/>
          <w:color w:val="auto"/>
        </w:rPr>
        <w:t>Description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120" w:type="dxa"/>
            <w:vAlign w:val="bottom"/>
            <w:tcBorders>
              <w:top w:val="single" w:sz="8" w:color="auto"/>
              <w:bottom w:val="single" w:sz="8" w:color="CFF0FC"/>
            </w:tcBorders>
            <w:shd w:val="clear" w:color="auto" w:fill="CFF0FC"/>
          </w:tcPr>
          <w:p>
            <w:pPr>
              <w:jc w:val="right"/>
              <w:ind w:right="270"/>
              <w:spacing w:after="0" w:line="182" w:lineRule="exact"/>
              <w:rPr>
                <w:sz w:val="20"/>
                <w:szCs w:val="20"/>
                <w:color w:val="auto"/>
              </w:rPr>
            </w:pPr>
            <w:r>
              <w:rPr>
                <w:rFonts w:ascii="Arial" w:cs="Arial" w:eastAsia="Arial" w:hAnsi="Arial"/>
                <w:sz w:val="18"/>
                <w:szCs w:val="18"/>
                <w:color w:val="auto"/>
              </w:rPr>
              <w:t>3.1</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9700" w:type="dxa"/>
            <w:vAlign w:val="bottom"/>
            <w:tcBorders>
              <w:top w:val="single" w:sz="8" w:color="auto"/>
              <w:bottom w:val="single" w:sz="8" w:color="0000EE"/>
            </w:tcBorders>
            <w:gridSpan w:val="11"/>
            <w:shd w:val="clear" w:color="auto" w:fill="CFF0FC"/>
          </w:tcPr>
          <w:p>
            <w:pPr>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Third Amended and Restated Agreement of Limited Partnership of Summit Midstream Partners, LP, dated as of March 22,</w:t>
              </w:r>
            </w:hyperlink>
          </w:p>
        </w:tc>
        <w:tc>
          <w:tcPr>
            <w:tcW w:w="360" w:type="dxa"/>
            <w:vAlign w:val="bottom"/>
            <w:tcBorders>
              <w:top w:val="single" w:sz="8" w:color="auto"/>
              <w:bottom w:val="single" w:sz="8" w:color="CFF0FC"/>
            </w:tcBorders>
            <w:gridSpan w:val="6"/>
            <w:shd w:val="clear" w:color="auto" w:fill="CFF0FC"/>
          </w:tcPr>
          <w:p>
            <w:pPr>
              <w:spacing w:after="0"/>
              <w:rPr>
                <w:sz w:val="15"/>
                <w:szCs w:val="15"/>
                <w:color w:val="auto"/>
              </w:rPr>
            </w:pPr>
          </w:p>
        </w:tc>
      </w:tr>
      <w:tr>
        <w:trPr>
          <w:trHeight w:val="183"/>
        </w:trPr>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60" w:type="dxa"/>
            <w:vAlign w:val="bottom"/>
            <w:gridSpan w:val="17"/>
            <w:shd w:val="clear" w:color="auto" w:fill="CFF0FC"/>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2019 (Incorporated herein by reference to Exhibit 3.1 to SMLP's Current Report on Form 8-K dated March 22, 2019</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9160" w:type="dxa"/>
            <w:vAlign w:val="bottom"/>
            <w:tcBorders>
              <w:top w:val="single" w:sz="8" w:color="0000EE"/>
            </w:tcBorders>
            <w:gridSpan w:val="8"/>
            <w:shd w:val="clear" w:color="auto" w:fill="CFF0FC"/>
          </w:tcPr>
          <w:p>
            <w:pPr>
              <w:spacing w:after="0" w:line="182" w:lineRule="exact"/>
              <w:rPr>
                <w:rFonts w:ascii="Arial" w:cs="Arial" w:eastAsia="Arial" w:hAnsi="Arial"/>
                <w:sz w:val="18"/>
                <w:szCs w:val="18"/>
                <w:color w:val="0000EE"/>
              </w:rPr>
            </w:pPr>
            <w:hyperlink r:id="rId85">
              <w:r>
                <w:rPr>
                  <w:rFonts w:ascii="Arial" w:cs="Arial" w:eastAsia="Arial" w:hAnsi="Arial"/>
                  <w:sz w:val="18"/>
                  <w:szCs w:val="18"/>
                  <w:color w:val="0000EE"/>
                </w:rPr>
                <w:t>(Commission File No. 001-35666))</w:t>
              </w:r>
            </w:hyperlink>
          </w:p>
        </w:tc>
        <w:tc>
          <w:tcPr>
            <w:tcW w:w="900" w:type="dxa"/>
            <w:vAlign w:val="bottom"/>
            <w:tcBorders>
              <w:top w:val="single" w:sz="8" w:color="CFF0FC"/>
            </w:tcBorders>
            <w:gridSpan w:val="9"/>
            <w:shd w:val="clear" w:color="auto" w:fill="CFF0FC"/>
          </w:tcPr>
          <w:p>
            <w:pPr>
              <w:spacing w:after="0"/>
              <w:rPr>
                <w:sz w:val="15"/>
                <w:szCs w:val="15"/>
                <w:color w:val="auto"/>
              </w:rPr>
            </w:pPr>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3.2</w:t>
            </w:r>
          </w:p>
        </w:tc>
        <w:tc>
          <w:tcPr>
            <w:tcW w:w="240" w:type="dxa"/>
            <w:vAlign w:val="bottom"/>
          </w:tcPr>
          <w:p>
            <w:pPr>
              <w:spacing w:after="0"/>
              <w:rPr>
                <w:sz w:val="16"/>
                <w:szCs w:val="16"/>
                <w:color w:val="auto"/>
              </w:rPr>
            </w:pPr>
          </w:p>
        </w:tc>
        <w:tc>
          <w:tcPr>
            <w:tcW w:w="10060" w:type="dxa"/>
            <w:vAlign w:val="bottom"/>
            <w:gridSpan w:val="17"/>
          </w:tcPr>
          <w:p>
            <w:pPr>
              <w:spacing w:after="0" w:line="189" w:lineRule="exact"/>
              <w:rPr>
                <w:rFonts w:ascii="Arial" w:cs="Arial" w:eastAsia="Arial" w:hAnsi="Arial"/>
                <w:sz w:val="18"/>
                <w:szCs w:val="18"/>
                <w:color w:val="0000EE"/>
              </w:rPr>
            </w:pPr>
            <w:hyperlink r:id="rId86">
              <w:r>
                <w:rPr>
                  <w:rFonts w:ascii="Arial" w:cs="Arial" w:eastAsia="Arial" w:hAnsi="Arial"/>
                  <w:sz w:val="18"/>
                  <w:szCs w:val="18"/>
                  <w:color w:val="0000EE"/>
                </w:rPr>
                <w:t>Amended and Restated Limited Liability Company Agreement of Summit Midstream GP, LLC, dated as of October 3, 2012</w:t>
              </w:r>
            </w:hyperlink>
          </w:p>
        </w:tc>
      </w:tr>
      <w:tr>
        <w:trPr>
          <w:trHeight w:val="20"/>
        </w:trPr>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3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7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(Incorporated herein by reference to Exhibit 3.2 to SMLP's Current Report on Form 8-K filed October 4, 2012 (Commission</w:t>
              </w:r>
            </w:hyperlink>
          </w:p>
        </w:tc>
        <w:tc>
          <w:tcPr>
            <w:tcW w:w="320" w:type="dxa"/>
            <w:vAlign w:val="bottom"/>
            <w:gridSpan w:val="4"/>
          </w:tcPr>
          <w:p>
            <w:pPr>
              <w:spacing w:after="0"/>
              <w:rPr>
                <w:sz w:val="15"/>
                <w:szCs w:val="15"/>
                <w:color w:val="auto"/>
              </w:rPr>
            </w:pPr>
          </w:p>
        </w:tc>
      </w:tr>
      <w:tr>
        <w:trPr>
          <w:trHeight w:val="183"/>
        </w:trPr>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60" w:type="dxa"/>
            <w:vAlign w:val="bottom"/>
            <w:gridSpan w:val="17"/>
          </w:tcPr>
          <w:p>
            <w:pPr>
              <w:spacing w:after="0" w:line="182" w:lineRule="exact"/>
              <w:rPr>
                <w:rFonts w:ascii="Arial" w:cs="Arial" w:eastAsia="Arial" w:hAnsi="Arial"/>
                <w:sz w:val="18"/>
                <w:szCs w:val="18"/>
                <w:color w:val="0000EE"/>
              </w:rPr>
            </w:pPr>
            <w:hyperlink r:id="rId86">
              <w:r>
                <w:rPr>
                  <w:rFonts w:ascii="Arial" w:cs="Arial" w:eastAsia="Arial" w:hAnsi="Arial"/>
                  <w:sz w:val="18"/>
                  <w:szCs w:val="18"/>
                  <w:color w:val="0000EE"/>
                </w:rPr>
                <w:t>File No. 001-35666))</w:t>
              </w:r>
            </w:hyperlink>
          </w:p>
        </w:tc>
      </w:tr>
      <w:tr>
        <w:trPr>
          <w:trHeight w:val="27"/>
        </w:trPr>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120" w:type="dxa"/>
            <w:vAlign w:val="bottom"/>
            <w:shd w:val="clear" w:color="auto" w:fill="CFF0FC"/>
          </w:tcPr>
          <w:p>
            <w:pPr>
              <w:jc w:val="right"/>
              <w:ind w:right="270"/>
              <w:spacing w:after="0" w:line="189" w:lineRule="exact"/>
              <w:rPr>
                <w:sz w:val="20"/>
                <w:szCs w:val="20"/>
                <w:color w:val="auto"/>
              </w:rPr>
            </w:pPr>
            <w:r>
              <w:rPr>
                <w:rFonts w:ascii="Arial" w:cs="Arial" w:eastAsia="Arial" w:hAnsi="Arial"/>
                <w:sz w:val="18"/>
                <w:szCs w:val="18"/>
                <w:color w:val="auto"/>
              </w:rPr>
              <w:t>3.3</w:t>
            </w:r>
          </w:p>
        </w:tc>
        <w:tc>
          <w:tcPr>
            <w:tcW w:w="240" w:type="dxa"/>
            <w:vAlign w:val="bottom"/>
            <w:shd w:val="clear" w:color="auto" w:fill="CFF0FC"/>
          </w:tcPr>
          <w:p>
            <w:pPr>
              <w:spacing w:after="0"/>
              <w:rPr>
                <w:sz w:val="16"/>
                <w:szCs w:val="16"/>
                <w:color w:val="auto"/>
              </w:rPr>
            </w:pPr>
          </w:p>
        </w:tc>
        <w:tc>
          <w:tcPr>
            <w:tcW w:w="10060" w:type="dxa"/>
            <w:vAlign w:val="bottom"/>
            <w:gridSpan w:val="17"/>
            <w:shd w:val="clear" w:color="auto" w:fill="CFF0FC"/>
          </w:tcPr>
          <w:p>
            <w:pPr>
              <w:spacing w:after="0" w:line="189" w:lineRule="exact"/>
              <w:rPr>
                <w:rFonts w:ascii="Arial" w:cs="Arial" w:eastAsia="Arial" w:hAnsi="Arial"/>
                <w:sz w:val="18"/>
                <w:szCs w:val="18"/>
                <w:color w:val="0000EE"/>
              </w:rPr>
            </w:pPr>
            <w:hyperlink r:id="rId87">
              <w:r>
                <w:rPr>
                  <w:rFonts w:ascii="Arial" w:cs="Arial" w:eastAsia="Arial" w:hAnsi="Arial"/>
                  <w:sz w:val="18"/>
                  <w:szCs w:val="18"/>
                  <w:color w:val="0000EE"/>
                </w:rPr>
                <w:t>Certificate of Limited Partnership of Summit Midstream Partners, LP (Incorporated herein by reference to Exhibit 3.1 to</w:t>
              </w:r>
            </w:hyperlink>
          </w:p>
        </w:tc>
      </w:tr>
      <w:tr>
        <w:trPr>
          <w:trHeight w:val="190"/>
        </w:trPr>
        <w:tc>
          <w:tcPr>
            <w:tcW w:w="112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shd w:val="clear" w:color="auto" w:fill="CFF0FC"/>
          </w:tcPr>
          <w:p>
            <w:pPr>
              <w:spacing w:after="0"/>
              <w:rPr>
                <w:sz w:val="16"/>
                <w:szCs w:val="16"/>
                <w:color w:val="auto"/>
              </w:rPr>
            </w:pPr>
          </w:p>
        </w:tc>
        <w:tc>
          <w:tcPr>
            <w:tcW w:w="8060" w:type="dxa"/>
            <w:vAlign w:val="bottom"/>
            <w:tcBorders>
              <w:top w:val="single" w:sz="8" w:color="0000EE"/>
              <w:bottom w:val="single" w:sz="8" w:color="0000EE"/>
            </w:tcBorders>
            <w:gridSpan w:val="7"/>
            <w:shd w:val="clear" w:color="auto" w:fill="CFF0FC"/>
          </w:tcPr>
          <w:p>
            <w:pPr>
              <w:spacing w:after="0" w:line="182" w:lineRule="exact"/>
              <w:rPr>
                <w:rFonts w:ascii="Arial" w:cs="Arial" w:eastAsia="Arial" w:hAnsi="Arial"/>
                <w:sz w:val="18"/>
                <w:szCs w:val="18"/>
                <w:color w:val="0000EE"/>
                <w:w w:val="99"/>
              </w:rPr>
            </w:pPr>
            <w:hyperlink r:id="rId87">
              <w:r>
                <w:rPr>
                  <w:rFonts w:ascii="Arial" w:cs="Arial" w:eastAsia="Arial" w:hAnsi="Arial"/>
                  <w:sz w:val="18"/>
                  <w:szCs w:val="18"/>
                  <w:color w:val="0000EE"/>
                  <w:w w:val="99"/>
                </w:rPr>
                <w:t>SMLP's Form S-1 Registration Statement dated August 21, 2012 (Commission File No. 333-183466))</w:t>
              </w:r>
            </w:hyperlink>
          </w:p>
        </w:tc>
        <w:tc>
          <w:tcPr>
            <w:tcW w:w="1400" w:type="dxa"/>
            <w:vAlign w:val="bottom"/>
            <w:tcBorders>
              <w:top w:val="single" w:sz="8" w:color="0000EE"/>
              <w:bottom w:val="single" w:sz="8" w:color="CFF0FC"/>
              <w:right w:val="single" w:sz="8" w:color="CFF0FC"/>
            </w:tcBorders>
            <w:gridSpan w:val="3"/>
            <w:shd w:val="clear" w:color="auto" w:fill="CFF0FC"/>
          </w:tcPr>
          <w:p>
            <w:pPr>
              <w:spacing w:after="0"/>
              <w:rPr>
                <w:sz w:val="16"/>
                <w:szCs w:val="16"/>
                <w:color w:val="auto"/>
              </w:rPr>
            </w:pPr>
          </w:p>
        </w:tc>
        <w:tc>
          <w:tcPr>
            <w:tcW w:w="600" w:type="dxa"/>
            <w:vAlign w:val="bottom"/>
            <w:tcBorders>
              <w:top w:val="single" w:sz="8" w:color="CFF0FC"/>
              <w:bottom w:val="single" w:sz="8" w:color="CFF0FC"/>
            </w:tcBorders>
            <w:gridSpan w:val="7"/>
            <w:shd w:val="clear" w:color="auto" w:fill="CFF0FC"/>
          </w:tcPr>
          <w:p>
            <w:pPr>
              <w:spacing w:after="0"/>
              <w:rPr>
                <w:sz w:val="16"/>
                <w:szCs w:val="16"/>
                <w:color w:val="auto"/>
              </w:rPr>
            </w:pPr>
          </w:p>
        </w:tc>
      </w:tr>
      <w:tr>
        <w:trPr>
          <w:trHeight w:val="189"/>
        </w:trPr>
        <w:tc>
          <w:tcPr>
            <w:tcW w:w="1120" w:type="dxa"/>
            <w:vAlign w:val="bottom"/>
          </w:tcPr>
          <w:p>
            <w:pPr>
              <w:jc w:val="right"/>
              <w:ind w:right="270"/>
              <w:spacing w:after="0" w:line="189" w:lineRule="exact"/>
              <w:rPr>
                <w:sz w:val="20"/>
                <w:szCs w:val="20"/>
                <w:color w:val="auto"/>
              </w:rPr>
            </w:pPr>
            <w:r>
              <w:rPr>
                <w:rFonts w:ascii="Arial" w:cs="Arial" w:eastAsia="Arial" w:hAnsi="Arial"/>
                <w:sz w:val="18"/>
                <w:szCs w:val="18"/>
                <w:color w:val="auto"/>
              </w:rPr>
              <w:t>3.4</w:t>
            </w:r>
          </w:p>
        </w:tc>
        <w:tc>
          <w:tcPr>
            <w:tcW w:w="240" w:type="dxa"/>
            <w:vAlign w:val="bottom"/>
          </w:tcPr>
          <w:p>
            <w:pPr>
              <w:spacing w:after="0"/>
              <w:rPr>
                <w:sz w:val="16"/>
                <w:szCs w:val="16"/>
                <w:color w:val="auto"/>
              </w:rPr>
            </w:pPr>
          </w:p>
        </w:tc>
        <w:tc>
          <w:tcPr>
            <w:tcW w:w="9820" w:type="dxa"/>
            <w:vAlign w:val="bottom"/>
            <w:tcBorders>
              <w:bottom w:val="single" w:sz="8" w:color="0000EE"/>
            </w:tcBorders>
            <w:gridSpan w:val="15"/>
          </w:tcPr>
          <w:p>
            <w:pPr>
              <w:spacing w:after="0" w:line="189"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Certificate of Formation of Summit Midstream GP, LLC (Incorporated herein by reference to Exhibit 3.4 to SMLP's Form S-1</w:t>
              </w:r>
            </w:hyperlink>
          </w:p>
        </w:tc>
        <w:tc>
          <w:tcPr>
            <w:tcW w:w="240" w:type="dxa"/>
            <w:vAlign w:val="bottom"/>
            <w:gridSpan w:val="2"/>
          </w:tcPr>
          <w:p>
            <w:pPr>
              <w:spacing w:after="0"/>
              <w:rPr>
                <w:sz w:val="16"/>
                <w:szCs w:val="16"/>
                <w:color w:val="auto"/>
              </w:rPr>
            </w:pPr>
          </w:p>
        </w:tc>
      </w:tr>
      <w:tr>
        <w:trPr>
          <w:trHeight w:val="190"/>
        </w:trPr>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88">
              <w:r>
                <w:rPr>
                  <w:rFonts w:ascii="Arial" w:cs="Arial" w:eastAsia="Arial" w:hAnsi="Arial"/>
                  <w:sz w:val="18"/>
                  <w:szCs w:val="18"/>
                  <w:color w:val="0000EE"/>
                  <w:w w:val="99"/>
                </w:rPr>
                <w:t>Registration Statement dated August 21, 2012 (Commission File No. 333-183466))</w:t>
              </w:r>
            </w:hyperlink>
          </w:p>
        </w:tc>
        <w:tc>
          <w:tcPr>
            <w:tcW w:w="3460" w:type="dxa"/>
            <w:vAlign w:val="bottom"/>
            <w:gridSpan w:val="12"/>
          </w:tcPr>
          <w:p>
            <w:pPr>
              <w:spacing w:after="0"/>
              <w:rPr>
                <w:sz w:val="16"/>
                <w:szCs w:val="16"/>
                <w:color w:val="auto"/>
              </w:rPr>
            </w:pPr>
          </w:p>
        </w:tc>
      </w:tr>
      <w:tr>
        <w:trPr>
          <w:trHeight w:val="189"/>
        </w:trPr>
        <w:tc>
          <w:tcPr>
            <w:tcW w:w="11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10.1</w:t>
            </w:r>
          </w:p>
        </w:tc>
        <w:tc>
          <w:tcPr>
            <w:tcW w:w="10300" w:type="dxa"/>
            <w:vAlign w:val="bottom"/>
            <w:gridSpan w:val="18"/>
            <w:shd w:val="clear" w:color="auto" w:fill="CFF0FC"/>
          </w:tcPr>
          <w:p>
            <w:pPr>
              <w:ind w:left="6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r:id="rId89">
              <w:r>
                <w:rPr>
                  <w:rFonts w:ascii="Arial" w:cs="Arial" w:eastAsia="Arial" w:hAnsi="Arial"/>
                  <w:sz w:val="18"/>
                  <w:szCs w:val="18"/>
                  <w:color w:val="0000EE"/>
                </w:rPr>
                <w:t>Form of Retention Bonus Agreement (Incorporated herein by reference to Exhibit 10.1 to SMLP’s Current Report on Form 8-K</w:t>
              </w:r>
            </w:hyperlink>
          </w:p>
        </w:tc>
      </w:tr>
      <w:tr>
        <w:trPr>
          <w:trHeight w:val="183"/>
        </w:trPr>
        <w:tc>
          <w:tcPr>
            <w:tcW w:w="11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0000" w:type="dxa"/>
            <w:vAlign w:val="bottom"/>
            <w:tcBorders>
              <w:top w:val="single" w:sz="8" w:color="0000EE"/>
            </w:tcBorders>
            <w:gridSpan w:val="16"/>
            <w:shd w:val="clear" w:color="auto" w:fill="CFF0FC"/>
          </w:tcPr>
          <w:p>
            <w:pPr>
              <w:spacing w:after="0" w:line="182" w:lineRule="exact"/>
              <w:rPr>
                <w:rFonts w:ascii="Arial" w:cs="Arial" w:eastAsia="Arial" w:hAnsi="Arial"/>
                <w:sz w:val="18"/>
                <w:szCs w:val="18"/>
                <w:color w:val="0000EE"/>
              </w:rPr>
            </w:pPr>
            <w:hyperlink r:id="rId89">
              <w:r>
                <w:rPr>
                  <w:rFonts w:ascii="Arial" w:cs="Arial" w:eastAsia="Arial" w:hAnsi="Arial"/>
                  <w:sz w:val="18"/>
                  <w:szCs w:val="18"/>
                  <w:color w:val="0000EE"/>
                </w:rPr>
                <w:t>dated June 11, 2019 (Commission File Number 001-35666))</w:t>
              </w:r>
            </w:hyperlink>
          </w:p>
        </w:tc>
        <w:tc>
          <w:tcPr>
            <w:tcW w:w="60" w:type="dxa"/>
            <w:vAlign w:val="bottom"/>
            <w:tcBorders>
              <w:top w:val="single" w:sz="8" w:color="CFF0FC"/>
            </w:tcBorders>
            <w:shd w:val="clear" w:color="auto" w:fill="CFF0FC"/>
          </w:tcPr>
          <w:p>
            <w:pPr>
              <w:spacing w:after="0"/>
              <w:rPr>
                <w:sz w:val="15"/>
                <w:szCs w:val="15"/>
                <w:color w:val="auto"/>
              </w:rPr>
            </w:pPr>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189"/>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rPr>
              <w:t>10.2</w:t>
            </w:r>
          </w:p>
        </w:tc>
        <w:tc>
          <w:tcPr>
            <w:tcW w:w="10300" w:type="dxa"/>
            <w:vAlign w:val="bottom"/>
            <w:gridSpan w:val="18"/>
          </w:tcPr>
          <w:p>
            <w:pPr>
              <w:ind w:left="8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59">
              <w:r>
                <w:rPr>
                  <w:rFonts w:ascii="Arial" w:cs="Arial" w:eastAsia="Arial" w:hAnsi="Arial"/>
                  <w:sz w:val="18"/>
                  <w:szCs w:val="18"/>
                  <w:color w:val="0000EE"/>
                </w:rPr>
                <w:t>Second Amendment to Third Amended and Restated Credit Agreement dated as of June 26, 2019</w:t>
              </w:r>
            </w:hyperlink>
          </w:p>
        </w:tc>
      </w:tr>
      <w:tr>
        <w:trPr>
          <w:trHeight w:val="27"/>
        </w:trPr>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120" w:type="dxa"/>
            <w:vAlign w:val="bottom"/>
            <w:shd w:val="clear" w:color="auto" w:fill="CFF0FC"/>
          </w:tcPr>
          <w:p>
            <w:pPr>
              <w:jc w:val="center"/>
              <w:spacing w:after="0" w:line="189" w:lineRule="exact"/>
              <w:rPr>
                <w:sz w:val="20"/>
                <w:szCs w:val="20"/>
                <w:color w:val="auto"/>
              </w:rPr>
            </w:pPr>
            <w:r>
              <w:rPr>
                <w:rFonts w:ascii="Arial" w:cs="Arial" w:eastAsia="Arial" w:hAnsi="Arial"/>
                <w:sz w:val="18"/>
                <w:szCs w:val="18"/>
                <w:color w:val="auto"/>
              </w:rPr>
              <w:t>31.1</w:t>
            </w:r>
          </w:p>
        </w:tc>
        <w:tc>
          <w:tcPr>
            <w:tcW w:w="240" w:type="dxa"/>
            <w:vAlign w:val="bottom"/>
            <w:shd w:val="clear" w:color="auto" w:fill="CFF0FC"/>
          </w:tcPr>
          <w:p>
            <w:pPr>
              <w:spacing w:after="0"/>
              <w:rPr>
                <w:sz w:val="16"/>
                <w:szCs w:val="16"/>
                <w:color w:val="auto"/>
              </w:rPr>
            </w:pPr>
          </w:p>
        </w:tc>
        <w:tc>
          <w:tcPr>
            <w:tcW w:w="10060" w:type="dxa"/>
            <w:vAlign w:val="bottom"/>
            <w:gridSpan w:val="17"/>
            <w:shd w:val="clear" w:color="auto" w:fill="CFF0FC"/>
          </w:tcPr>
          <w:p>
            <w:pPr>
              <w:spacing w:after="0" w:line="189" w:lineRule="exact"/>
              <w:rPr>
                <w:rFonts w:ascii="Arial" w:cs="Arial" w:eastAsia="Arial" w:hAnsi="Arial"/>
                <w:sz w:val="18"/>
                <w:szCs w:val="18"/>
                <w:color w:val="0000EE"/>
              </w:rPr>
            </w:pPr>
            <w:hyperlink w:anchor="page78">
              <w:r>
                <w:rPr>
                  <w:rFonts w:ascii="Arial" w:cs="Arial" w:eastAsia="Arial" w:hAnsi="Arial"/>
                  <w:sz w:val="18"/>
                  <w:szCs w:val="18"/>
                  <w:color w:val="0000EE"/>
                </w:rPr>
                <w:t>Rule 13a-14(a)/15d-14(a) Certification, executed by Leonard W. Mallett, President, Chief Executive Officer and Director</w:t>
              </w:r>
            </w:hyperlink>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20" w:type="dxa"/>
            <w:vAlign w:val="bottom"/>
            <w:shd w:val="clear" w:color="auto" w:fill="0000EE"/>
          </w:tcPr>
          <w:p>
            <w:pPr>
              <w:spacing w:after="0"/>
              <w:rPr>
                <w:sz w:val="2"/>
                <w:szCs w:val="2"/>
                <w:color w:val="auto"/>
              </w:rPr>
            </w:pPr>
          </w:p>
        </w:tc>
        <w:tc>
          <w:tcPr>
            <w:tcW w:w="122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12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196"/>
        </w:trPr>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rPr>
              <w:t>31.2</w:t>
            </w:r>
          </w:p>
        </w:tc>
        <w:tc>
          <w:tcPr>
            <w:tcW w:w="240" w:type="dxa"/>
            <w:vAlign w:val="bottom"/>
          </w:tcPr>
          <w:p>
            <w:pPr>
              <w:spacing w:after="0"/>
              <w:rPr>
                <w:sz w:val="17"/>
                <w:szCs w:val="17"/>
                <w:color w:val="auto"/>
              </w:rPr>
            </w:pPr>
          </w:p>
        </w:tc>
        <w:tc>
          <w:tcPr>
            <w:tcW w:w="9720" w:type="dxa"/>
            <w:vAlign w:val="bottom"/>
            <w:tcBorders>
              <w:bottom w:val="single" w:sz="8" w:color="0000EE"/>
            </w:tcBorders>
            <w:gridSpan w:val="12"/>
          </w:tcPr>
          <w:p>
            <w:pPr>
              <w:spacing w:after="0" w:line="189" w:lineRule="exact"/>
              <w:rPr>
                <w:rFonts w:ascii="Arial" w:cs="Arial" w:eastAsia="Arial" w:hAnsi="Arial"/>
                <w:sz w:val="18"/>
                <w:szCs w:val="18"/>
                <w:color w:val="0000EE"/>
                <w:w w:val="99"/>
              </w:rPr>
            </w:pPr>
            <w:hyperlink w:anchor="page79">
              <w:r>
                <w:rPr>
                  <w:rFonts w:ascii="Arial" w:cs="Arial" w:eastAsia="Arial" w:hAnsi="Arial"/>
                  <w:sz w:val="18"/>
                  <w:szCs w:val="18"/>
                  <w:color w:val="0000EE"/>
                  <w:w w:val="99"/>
                </w:rPr>
                <w:t>Rule 13a-14(a)/15d-14(a) Certification, executed by Marc D. Stratton, Executive Vice President and Chief Financial Officer</w:t>
              </w:r>
            </w:hyperlink>
          </w:p>
        </w:tc>
        <w:tc>
          <w:tcPr>
            <w:tcW w:w="340" w:type="dxa"/>
            <w:vAlign w:val="bottom"/>
            <w:gridSpan w:val="5"/>
          </w:tcPr>
          <w:p>
            <w:pPr>
              <w:spacing w:after="0"/>
              <w:rPr>
                <w:sz w:val="17"/>
                <w:szCs w:val="17"/>
                <w:color w:val="auto"/>
              </w:rPr>
            </w:pPr>
          </w:p>
        </w:tc>
      </w:tr>
      <w:tr>
        <w:trPr>
          <w:trHeight w:val="189"/>
        </w:trPr>
        <w:tc>
          <w:tcPr>
            <w:tcW w:w="1120" w:type="dxa"/>
            <w:vAlign w:val="bottom"/>
            <w:tcBorders>
              <w:bottom w:val="single" w:sz="8" w:color="CFF0FC"/>
            </w:tcBorders>
            <w:shd w:val="clear" w:color="auto" w:fill="CFF0FC"/>
          </w:tcPr>
          <w:p>
            <w:pPr>
              <w:jc w:val="center"/>
              <w:spacing w:after="0" w:line="189" w:lineRule="exact"/>
              <w:rPr>
                <w:sz w:val="20"/>
                <w:szCs w:val="20"/>
                <w:color w:val="auto"/>
              </w:rPr>
            </w:pPr>
            <w:r>
              <w:rPr>
                <w:rFonts w:ascii="Arial" w:cs="Arial" w:eastAsia="Arial" w:hAnsi="Arial"/>
                <w:sz w:val="18"/>
                <w:szCs w:val="18"/>
                <w:color w:val="auto"/>
              </w:rPr>
              <w:t>32.1</w:t>
            </w:r>
          </w:p>
        </w:tc>
        <w:tc>
          <w:tcPr>
            <w:tcW w:w="240" w:type="dxa"/>
            <w:vAlign w:val="bottom"/>
            <w:tcBorders>
              <w:bottom w:val="single" w:sz="8" w:color="CFF0FC"/>
            </w:tcBorders>
            <w:shd w:val="clear" w:color="auto" w:fill="CFF0FC"/>
          </w:tcPr>
          <w:p>
            <w:pPr>
              <w:spacing w:after="0"/>
              <w:rPr>
                <w:sz w:val="16"/>
                <w:szCs w:val="16"/>
                <w:color w:val="auto"/>
              </w:rPr>
            </w:pPr>
          </w:p>
        </w:tc>
        <w:tc>
          <w:tcPr>
            <w:tcW w:w="9760" w:type="dxa"/>
            <w:vAlign w:val="bottom"/>
            <w:tcBorders>
              <w:bottom w:val="single" w:sz="8" w:color="0000EE"/>
            </w:tcBorders>
            <w:gridSpan w:val="14"/>
            <w:shd w:val="clear" w:color="auto" w:fill="CFF0FC"/>
          </w:tcPr>
          <w:p>
            <w:pPr>
              <w:spacing w:after="0" w:line="189"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Certifications required by Rule 13a-14(b) or Rule 15d-14(b) and Section 1350 of Chapter 63 of Title 18 of the United States</w:t>
              </w:r>
            </w:hyperlink>
          </w:p>
        </w:tc>
        <w:tc>
          <w:tcPr>
            <w:tcW w:w="300" w:type="dxa"/>
            <w:vAlign w:val="bottom"/>
            <w:tcBorders>
              <w:bottom w:val="single" w:sz="8" w:color="CFF0FC"/>
            </w:tcBorders>
            <w:gridSpan w:val="3"/>
            <w:shd w:val="clear" w:color="auto" w:fill="CFF0FC"/>
          </w:tcPr>
          <w:p>
            <w:pPr>
              <w:spacing w:after="0"/>
              <w:rPr>
                <w:sz w:val="16"/>
                <w:szCs w:val="16"/>
                <w:color w:val="auto"/>
              </w:rPr>
            </w:pPr>
          </w:p>
        </w:tc>
      </w:tr>
      <w:tr>
        <w:trPr>
          <w:trHeight w:val="183"/>
        </w:trPr>
        <w:tc>
          <w:tcPr>
            <w:tcW w:w="1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340" w:type="dxa"/>
            <w:vAlign w:val="bottom"/>
            <w:tcBorders>
              <w:bottom w:val="single" w:sz="8" w:color="0000EE"/>
            </w:tcBorders>
            <w:gridSpan w:val="9"/>
            <w:shd w:val="clear" w:color="auto" w:fill="CFF0FC"/>
          </w:tcPr>
          <w:p>
            <w:pPr>
              <w:spacing w:after="0" w:line="182" w:lineRule="exact"/>
              <w:rPr>
                <w:rFonts w:ascii="Arial" w:cs="Arial" w:eastAsia="Arial" w:hAnsi="Arial"/>
                <w:sz w:val="18"/>
                <w:szCs w:val="18"/>
                <w:color w:val="0000EE"/>
                <w:w w:val="99"/>
              </w:rPr>
            </w:pPr>
            <w:hyperlink w:anchor="page80">
              <w:r>
                <w:rPr>
                  <w:rFonts w:ascii="Arial" w:cs="Arial" w:eastAsia="Arial" w:hAnsi="Arial"/>
                  <w:sz w:val="18"/>
                  <w:szCs w:val="18"/>
                  <w:color w:val="0000EE"/>
                  <w:w w:val="99"/>
                </w:rPr>
                <w:t>Code (18 U.S.C. 1350), executed by Leonard W. Mallett, President, Chief Executive Officer and Director, and Marc D.</w:t>
              </w:r>
            </w:hyperlink>
          </w:p>
        </w:tc>
        <w:tc>
          <w:tcPr>
            <w:tcW w:w="720" w:type="dxa"/>
            <w:vAlign w:val="bottom"/>
            <w:tcBorders>
              <w:bottom w:val="single" w:sz="8" w:color="CFF0FC"/>
            </w:tcBorders>
            <w:gridSpan w:val="8"/>
            <w:shd w:val="clear" w:color="auto" w:fill="CFF0FC"/>
          </w:tcPr>
          <w:p>
            <w:pPr>
              <w:spacing w:after="0"/>
              <w:rPr>
                <w:sz w:val="15"/>
                <w:szCs w:val="15"/>
                <w:color w:val="auto"/>
              </w:rPr>
            </w:pPr>
          </w:p>
        </w:tc>
      </w:tr>
      <w:tr>
        <w:trPr>
          <w:trHeight w:val="183"/>
        </w:trPr>
        <w:tc>
          <w:tcPr>
            <w:tcW w:w="1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60" w:type="dxa"/>
            <w:vAlign w:val="bottom"/>
            <w:gridSpan w:val="17"/>
            <w:shd w:val="clear" w:color="auto" w:fill="CFF0FC"/>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Stratton, Executive Vice President and Chief Financial Officer</w:t>
              </w:r>
            </w:hyperlink>
          </w:p>
        </w:tc>
      </w:tr>
      <w:tr>
        <w:trPr>
          <w:trHeight w:val="27"/>
        </w:trPr>
        <w:tc>
          <w:tcPr>
            <w:tcW w:w="11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EE"/>
          </w:tcPr>
          <w:p>
            <w:pPr>
              <w:spacing w:after="0"/>
              <w:rPr>
                <w:sz w:val="2"/>
                <w:szCs w:val="2"/>
                <w:color w:val="auto"/>
              </w:rPr>
            </w:pPr>
          </w:p>
        </w:tc>
        <w:tc>
          <w:tcPr>
            <w:tcW w:w="1100" w:type="dxa"/>
            <w:vAlign w:val="bottom"/>
            <w:shd w:val="clear" w:color="auto" w:fill="0000EE"/>
          </w:tcPr>
          <w:p>
            <w:pPr>
              <w:spacing w:after="0"/>
              <w:rPr>
                <w:sz w:val="2"/>
                <w:szCs w:val="2"/>
                <w:color w:val="auto"/>
              </w:rPr>
            </w:pPr>
          </w:p>
        </w:tc>
        <w:tc>
          <w:tcPr>
            <w:tcW w:w="20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720" w:type="dxa"/>
            <w:vAlign w:val="bottom"/>
            <w:shd w:val="clear" w:color="auto" w:fill="CFF0FC"/>
          </w:tcPr>
          <w:p>
            <w:pPr>
              <w:spacing w:after="0"/>
              <w:rPr>
                <w:sz w:val="2"/>
                <w:szCs w:val="2"/>
                <w:color w:val="auto"/>
              </w:rPr>
            </w:pPr>
          </w:p>
        </w:tc>
        <w:tc>
          <w:tcPr>
            <w:tcW w:w="1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r>
      <w:tr>
        <w:trPr>
          <w:trHeight w:val="215"/>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10300" w:type="dxa"/>
            <w:vAlign w:val="bottom"/>
            <w:gridSpan w:val="18"/>
          </w:tcPr>
          <w:p>
            <w:pPr>
              <w:ind w:left="80"/>
              <w:spacing w:after="0"/>
              <w:rPr>
                <w:sz w:val="20"/>
                <w:szCs w:val="20"/>
                <w:color w:val="auto"/>
              </w:rPr>
            </w:pPr>
            <w:r>
              <w:rPr>
                <w:rFonts w:ascii="Arial" w:cs="Arial" w:eastAsia="Arial" w:hAnsi="Arial"/>
                <w:sz w:val="18"/>
                <w:szCs w:val="18"/>
                <w:color w:val="auto"/>
              </w:rPr>
              <w:t>**XBRL Instance Document – the instance document does not appear in the Interactive Data File because its XBRL tags are</w:t>
            </w:r>
          </w:p>
        </w:tc>
      </w:tr>
      <w:tr>
        <w:trPr>
          <w:trHeight w:val="203"/>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60" w:type="dxa"/>
            <w:vAlign w:val="bottom"/>
            <w:gridSpan w:val="17"/>
          </w:tcPr>
          <w:p>
            <w:pPr>
              <w:spacing w:after="0" w:line="203" w:lineRule="exact"/>
              <w:rPr>
                <w:sz w:val="20"/>
                <w:szCs w:val="20"/>
                <w:color w:val="auto"/>
              </w:rPr>
            </w:pPr>
            <w:r>
              <w:rPr>
                <w:rFonts w:ascii="Arial" w:cs="Arial" w:eastAsia="Arial" w:hAnsi="Arial"/>
                <w:sz w:val="18"/>
                <w:szCs w:val="18"/>
                <w:color w:val="auto"/>
              </w:rPr>
              <w:t>embedded within the Inline XBRL document</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101.SCH</w:t>
            </w:r>
          </w:p>
        </w:tc>
        <w:tc>
          <w:tcPr>
            <w:tcW w:w="10300" w:type="dxa"/>
            <w:vAlign w:val="bottom"/>
            <w:gridSpan w:val="18"/>
            <w:shd w:val="clear" w:color="auto" w:fill="CFF0FC"/>
          </w:tcPr>
          <w:p>
            <w:pPr>
              <w:ind w:left="80"/>
              <w:spacing w:after="0"/>
              <w:rPr>
                <w:sz w:val="20"/>
                <w:szCs w:val="20"/>
                <w:color w:val="auto"/>
              </w:rPr>
            </w:pPr>
            <w:r>
              <w:rPr>
                <w:rFonts w:ascii="Arial" w:cs="Arial" w:eastAsia="Arial" w:hAnsi="Arial"/>
                <w:sz w:val="18"/>
                <w:szCs w:val="18"/>
                <w:color w:val="auto"/>
              </w:rPr>
              <w:t>**XBRL Taxonomy Extension Schema</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10300" w:type="dxa"/>
            <w:vAlign w:val="bottom"/>
            <w:gridSpan w:val="18"/>
          </w:tcPr>
          <w:p>
            <w:pPr>
              <w:ind w:left="80"/>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rPr>
              <w:t>101.DEF</w:t>
            </w:r>
          </w:p>
        </w:tc>
        <w:tc>
          <w:tcPr>
            <w:tcW w:w="10300" w:type="dxa"/>
            <w:vAlign w:val="bottom"/>
            <w:gridSpan w:val="18"/>
            <w:shd w:val="clear" w:color="auto" w:fill="CFF0FC"/>
          </w:tcPr>
          <w:p>
            <w:pPr>
              <w:ind w:left="80"/>
              <w:spacing w:after="0"/>
              <w:rPr>
                <w:sz w:val="20"/>
                <w:szCs w:val="20"/>
                <w:color w:val="auto"/>
              </w:rPr>
            </w:pPr>
            <w:r>
              <w:rPr>
                <w:rFonts w:ascii="Arial" w:cs="Arial" w:eastAsia="Arial" w:hAnsi="Arial"/>
                <w:sz w:val="18"/>
                <w:szCs w:val="18"/>
                <w:color w:val="auto"/>
              </w:rPr>
              <w:t>**XBRL Taxonomy Extension Definition Linkbase</w:t>
            </w:r>
          </w:p>
        </w:tc>
      </w:tr>
      <w:tr>
        <w:trPr>
          <w:trHeight w:val="216"/>
        </w:trPr>
        <w:tc>
          <w:tcPr>
            <w:tcW w:w="112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10300" w:type="dxa"/>
            <w:vAlign w:val="bottom"/>
            <w:gridSpan w:val="18"/>
          </w:tcPr>
          <w:p>
            <w:pPr>
              <w:ind w:left="80"/>
              <w:spacing w:after="0"/>
              <w:rPr>
                <w:sz w:val="20"/>
                <w:szCs w:val="20"/>
                <w:color w:val="auto"/>
              </w:rPr>
            </w:pPr>
            <w:r>
              <w:rPr>
                <w:rFonts w:ascii="Arial" w:cs="Arial" w:eastAsia="Arial" w:hAnsi="Arial"/>
                <w:sz w:val="18"/>
                <w:szCs w:val="18"/>
                <w:color w:val="auto"/>
              </w:rPr>
              <w:t>**XBRL Taxonomy Extension Label Linkbase</w:t>
            </w:r>
          </w:p>
        </w:tc>
      </w:tr>
      <w:tr>
        <w:trPr>
          <w:trHeight w:val="216"/>
        </w:trPr>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101.PRE</w:t>
            </w:r>
          </w:p>
        </w:tc>
        <w:tc>
          <w:tcPr>
            <w:tcW w:w="10300" w:type="dxa"/>
            <w:vAlign w:val="bottom"/>
            <w:gridSpan w:val="18"/>
            <w:shd w:val="clear" w:color="auto" w:fill="CFF0FC"/>
          </w:tcPr>
          <w:p>
            <w:pPr>
              <w:ind w:left="8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13" w:lineRule="exact"/>
        <w:rPr>
          <w:sz w:val="20"/>
          <w:szCs w:val="20"/>
          <w:color w:val="auto"/>
        </w:rPr>
      </w:pPr>
    </w:p>
    <w:p>
      <w:pPr>
        <w:ind w:left="1360" w:right="60" w:hanging="948"/>
        <w:spacing w:after="0" w:line="246" w:lineRule="auto"/>
        <w:tabs>
          <w:tab w:leader="none" w:pos="1207"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102" w:lineRule="exact"/>
        <w:rPr>
          <w:rFonts w:ascii="Arial" w:cs="Arial" w:eastAsia="Arial" w:hAnsi="Arial"/>
          <w:sz w:val="18"/>
          <w:szCs w:val="18"/>
          <w:color w:val="auto"/>
        </w:rPr>
      </w:pPr>
    </w:p>
    <w:p>
      <w:pPr>
        <w:ind w:right="180" w:firstLine="8"/>
        <w:spacing w:after="0" w:line="246" w:lineRule="auto"/>
        <w:tabs>
          <w:tab w:leader="none" w:pos="15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 that is incorporated by reference pursuant to Item 9.01(d) of SMLP’s Form 8-K filed June 11, 2019 (Commission File Nos. 001-35666).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04" w:lineRule="exact"/>
        <w:rPr>
          <w:sz w:val="20"/>
          <w:szCs w:val="20"/>
          <w:color w:val="auto"/>
        </w:rPr>
      </w:pPr>
    </w:p>
    <w:p>
      <w:pPr>
        <w:ind w:right="400" w:firstLine="8"/>
        <w:spacing w:after="0" w:line="239" w:lineRule="auto"/>
        <w:tabs>
          <w:tab w:leader="none" w:pos="19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7" w:name="page58"/>
    <w:bookmarkEnd w:id="57"/>
    <w:p>
      <w:pPr>
        <w:jc w:val="center"/>
        <w:ind w:right="-119"/>
        <w:spacing w:after="0"/>
        <w:rPr>
          <w:sz w:val="20"/>
          <w:szCs w:val="20"/>
          <w:color w:val="auto"/>
        </w:rPr>
      </w:pPr>
      <w:r>
        <w:rPr>
          <w:rFonts w:ascii="Arial" w:cs="Arial" w:eastAsia="Arial" w:hAnsi="Arial"/>
          <w:sz w:val="22"/>
          <w:szCs w:val="22"/>
          <w:b w:val="1"/>
          <w:bCs w:val="1"/>
          <w:color w:val="auto"/>
        </w:rPr>
        <w:t>SIGNATURES</w:t>
      </w:r>
    </w:p>
    <w:p>
      <w:pPr>
        <w:spacing w:after="0" w:line="130" w:lineRule="exact"/>
        <w:rPr>
          <w:sz w:val="20"/>
          <w:szCs w:val="20"/>
          <w:color w:val="auto"/>
        </w:rPr>
      </w:pPr>
    </w:p>
    <w:p>
      <w:pPr>
        <w:ind w:right="200"/>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Summit Midstream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48895</wp:posOffset>
            </wp:positionV>
            <wp:extent cx="41249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Summit Midstream GP, LLC (its General Partner)</w:t>
      </w:r>
    </w:p>
    <w:p>
      <w:pPr>
        <w:spacing w:after="0" w:line="194"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August 9, 2019</w:t>
      </w:r>
      <w:r>
        <w:rPr>
          <w:sz w:val="20"/>
          <w:szCs w:val="20"/>
          <w:color w:val="auto"/>
        </w:rPr>
        <w:tab/>
      </w:r>
      <w:r>
        <w:rPr>
          <w:rFonts w:ascii="Arial" w:cs="Arial" w:eastAsia="Arial" w:hAnsi="Arial"/>
          <w:sz w:val="17"/>
          <w:szCs w:val="17"/>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60325</wp:posOffset>
            </wp:positionV>
            <wp:extent cx="4124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4124960" cy="8890"/>
                    </a:xfrm>
                    <a:prstGeom prst="rect">
                      <a:avLst/>
                    </a:prstGeom>
                    <a:noFill/>
                  </pic:spPr>
                </pic:pic>
              </a:graphicData>
            </a:graphic>
          </wp:anchor>
        </w:drawing>
      </w:r>
    </w:p>
    <w:p>
      <w:pPr>
        <w:spacing w:after="0" w:line="88" w:lineRule="exact"/>
        <w:rPr>
          <w:sz w:val="20"/>
          <w:szCs w:val="20"/>
          <w:color w:val="auto"/>
        </w:rPr>
      </w:pPr>
    </w:p>
    <w:p>
      <w:pPr>
        <w:ind w:left="4960"/>
        <w:spacing w:after="0" w:line="246" w:lineRule="auto"/>
        <w:rPr>
          <w:sz w:val="20"/>
          <w:szCs w:val="20"/>
          <w:color w:val="auto"/>
        </w:rPr>
      </w:pPr>
      <w:r>
        <w:rPr>
          <w:rFonts w:ascii="Arial" w:cs="Arial" w:eastAsia="Arial" w:hAnsi="Arial"/>
          <w:sz w:val="18"/>
          <w:szCs w:val="18"/>
          <w:color w:val="auto"/>
        </w:rPr>
        <w:t>Marc D. Stratton, Executive Vice President and Chief Financial Officer (Principal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20"/>
          </w:cols>
          <w:pgMar w:left="240" w:top="33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b w:val="1"/>
          <w:bCs w:val="1"/>
          <w:color w:val="auto"/>
        </w:rPr>
        <w:t>EXHIBIT 10.2</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Copy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AMENDMENT TO THIRD AMENDED AND RESTATED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jc w:val="center"/>
        <w:spacing w:after="0" w:line="230" w:lineRule="auto"/>
        <w:rPr>
          <w:sz w:val="20"/>
          <w:szCs w:val="20"/>
          <w:color w:val="auto"/>
        </w:rPr>
      </w:pPr>
      <w:r>
        <w:rPr>
          <w:rFonts w:ascii="Arial" w:cs="Arial" w:eastAsia="Arial" w:hAnsi="Arial"/>
          <w:sz w:val="22"/>
          <w:szCs w:val="22"/>
          <w:b w:val="1"/>
          <w:bCs w:val="1"/>
          <w:color w:val="auto"/>
        </w:rPr>
        <w:t>AND</w:t>
      </w:r>
    </w:p>
    <w:p>
      <w:pPr>
        <w:jc w:val="center"/>
        <w:spacing w:after="0" w:line="231" w:lineRule="auto"/>
        <w:rPr>
          <w:sz w:val="20"/>
          <w:szCs w:val="20"/>
          <w:color w:val="auto"/>
        </w:rPr>
      </w:pPr>
      <w:r>
        <w:rPr>
          <w:rFonts w:ascii="Arial" w:cs="Arial" w:eastAsia="Arial" w:hAnsi="Arial"/>
          <w:sz w:val="22"/>
          <w:szCs w:val="22"/>
          <w:b w:val="1"/>
          <w:bCs w:val="1"/>
          <w:color w:val="auto"/>
        </w:rPr>
        <w:t>FIRST AMENDMENT TO SECOND AMENDED AND RESTATED</w:t>
      </w:r>
    </w:p>
    <w:p>
      <w:pPr>
        <w:jc w:val="center"/>
        <w:spacing w:after="0"/>
        <w:rPr>
          <w:sz w:val="20"/>
          <w:szCs w:val="20"/>
          <w:color w:val="auto"/>
        </w:rPr>
      </w:pPr>
      <w:r>
        <w:rPr>
          <w:rFonts w:ascii="Arial" w:cs="Arial" w:eastAsia="Arial" w:hAnsi="Arial"/>
          <w:sz w:val="22"/>
          <w:szCs w:val="22"/>
          <w:b w:val="1"/>
          <w:bCs w:val="1"/>
          <w:color w:val="auto"/>
        </w:rPr>
        <w:t>GUARANTEE AND COLLATERAL AGREEMENT</w:t>
      </w:r>
    </w:p>
    <w:p>
      <w:pPr>
        <w:spacing w:after="0" w:line="337" w:lineRule="exact"/>
        <w:rPr>
          <w:sz w:val="20"/>
          <w:szCs w:val="20"/>
          <w:color w:val="auto"/>
        </w:rPr>
      </w:pPr>
    </w:p>
    <w:p>
      <w:pPr>
        <w:jc w:val="both"/>
        <w:ind w:firstLine="877"/>
        <w:spacing w:after="0" w:line="247" w:lineRule="auto"/>
        <w:rPr>
          <w:sz w:val="20"/>
          <w:szCs w:val="20"/>
          <w:color w:val="auto"/>
        </w:rPr>
      </w:pPr>
      <w:r>
        <w:rPr>
          <w:rFonts w:ascii="Arial" w:cs="Arial" w:eastAsia="Arial" w:hAnsi="Arial"/>
          <w:sz w:val="21"/>
          <w:szCs w:val="21"/>
          <w:color w:val="auto"/>
        </w:rPr>
        <w:t>THIS SECOND AMENDMENT TO THIRD AMENDED AND RESTATED CREDIT AGREEMENT AND FIRST AMENDMENT TO SECOND AMENDED AND RESTATED GUARANTEE AND COLLATERAL AGREEMENT (this “</w:t>
      </w:r>
      <w:r>
        <w:rPr>
          <w:rFonts w:ascii="Arial" w:cs="Arial" w:eastAsia="Arial" w:hAnsi="Arial"/>
          <w:sz w:val="21"/>
          <w:szCs w:val="21"/>
          <w:u w:val="single" w:color="auto"/>
          <w:color w:val="auto"/>
        </w:rPr>
        <w:t>Amendment</w:t>
      </w:r>
      <w:r>
        <w:rPr>
          <w:rFonts w:ascii="Arial" w:cs="Arial" w:eastAsia="Arial" w:hAnsi="Arial"/>
          <w:sz w:val="21"/>
          <w:szCs w:val="21"/>
          <w:color w:val="auto"/>
        </w:rPr>
        <w:t xml:space="preserve">”), dated as of June 26, 2019, is made by and among </w:t>
      </w:r>
      <w:r>
        <w:rPr>
          <w:rFonts w:ascii="Arial" w:cs="Arial" w:eastAsia="Arial" w:hAnsi="Arial"/>
          <w:sz w:val="21"/>
          <w:szCs w:val="21"/>
          <w:b w:val="1"/>
          <w:bCs w:val="1"/>
          <w:color w:val="auto"/>
        </w:rPr>
        <w:t>SUMMIT MIDSTREAM HOLDINGS, LLC</w:t>
      </w:r>
      <w:r>
        <w:rPr>
          <w:rFonts w:ascii="Arial" w:cs="Arial" w:eastAsia="Arial" w:hAnsi="Arial"/>
          <w:sz w:val="21"/>
          <w:szCs w:val="21"/>
          <w:color w:val="auto"/>
        </w:rPr>
        <w:t>, a limited liability company organized under the laws of Delaware (the “</w:t>
      </w:r>
      <w:r>
        <w:rPr>
          <w:rFonts w:ascii="Arial" w:cs="Arial" w:eastAsia="Arial" w:hAnsi="Arial"/>
          <w:sz w:val="21"/>
          <w:szCs w:val="21"/>
          <w:u w:val="single" w:color="auto"/>
          <w:color w:val="auto"/>
        </w:rPr>
        <w:t>Borrower</w:t>
      </w:r>
      <w:r>
        <w:rPr>
          <w:rFonts w:ascii="Arial" w:cs="Arial" w:eastAsia="Arial" w:hAnsi="Arial"/>
          <w:sz w:val="21"/>
          <w:szCs w:val="21"/>
          <w:color w:val="auto"/>
        </w:rPr>
        <w:t xml:space="preserve">”), each of the other Loan Parties party hereto, </w:t>
      </w:r>
      <w:r>
        <w:rPr>
          <w:rFonts w:ascii="Arial" w:cs="Arial" w:eastAsia="Arial" w:hAnsi="Arial"/>
          <w:sz w:val="21"/>
          <w:szCs w:val="21"/>
          <w:b w:val="1"/>
          <w:bCs w:val="1"/>
          <w:color w:val="auto"/>
        </w:rPr>
        <w:t>WELLS</w:t>
      </w:r>
      <w:r>
        <w:rPr>
          <w:rFonts w:ascii="Arial" w:cs="Arial" w:eastAsia="Arial" w:hAnsi="Arial"/>
          <w:sz w:val="21"/>
          <w:szCs w:val="21"/>
          <w:color w:val="auto"/>
        </w:rPr>
        <w:t xml:space="preserve"> </w:t>
      </w:r>
      <w:r>
        <w:rPr>
          <w:rFonts w:ascii="Arial" w:cs="Arial" w:eastAsia="Arial" w:hAnsi="Arial"/>
          <w:sz w:val="21"/>
          <w:szCs w:val="21"/>
          <w:b w:val="1"/>
          <w:bCs w:val="1"/>
          <w:color w:val="auto"/>
        </w:rPr>
        <w:t>FARGO BANK, NATIONAL ASSOCIATION</w:t>
      </w:r>
      <w:r>
        <w:rPr>
          <w:rFonts w:ascii="Arial" w:cs="Arial" w:eastAsia="Arial" w:hAnsi="Arial"/>
          <w:sz w:val="21"/>
          <w:szCs w:val="21"/>
          <w:color w:val="auto"/>
        </w:rPr>
        <w:t>, as administrative agent (in such capacity, together with its successors in such</w:t>
      </w:r>
      <w:r>
        <w:rPr>
          <w:rFonts w:ascii="Arial" w:cs="Arial" w:eastAsia="Arial" w:hAnsi="Arial"/>
          <w:sz w:val="21"/>
          <w:szCs w:val="21"/>
          <w:b w:val="1"/>
          <w:bCs w:val="1"/>
          <w:color w:val="auto"/>
        </w:rPr>
        <w:t xml:space="preserve"> </w:t>
      </w:r>
      <w:r>
        <w:rPr>
          <w:rFonts w:ascii="Arial" w:cs="Arial" w:eastAsia="Arial" w:hAnsi="Arial"/>
          <w:sz w:val="21"/>
          <w:szCs w:val="21"/>
          <w:color w:val="auto"/>
        </w:rPr>
        <w:t>capacity, the “</w:t>
      </w:r>
      <w:r>
        <w:rPr>
          <w:rFonts w:ascii="Arial" w:cs="Arial" w:eastAsia="Arial" w:hAnsi="Arial"/>
          <w:sz w:val="21"/>
          <w:szCs w:val="21"/>
          <w:u w:val="single" w:color="auto"/>
          <w:color w:val="auto"/>
        </w:rPr>
        <w:t>Administrative Agent</w:t>
      </w:r>
      <w:r>
        <w:rPr>
          <w:rFonts w:ascii="Arial" w:cs="Arial" w:eastAsia="Arial" w:hAnsi="Arial"/>
          <w:sz w:val="21"/>
          <w:szCs w:val="21"/>
          <w:color w:val="auto"/>
        </w:rPr>
        <w:t>”) and collateral agent (in such capacity, together with its successors in such capacity, the “</w:t>
      </w:r>
      <w:r>
        <w:rPr>
          <w:rFonts w:ascii="Arial" w:cs="Arial" w:eastAsia="Arial" w:hAnsi="Arial"/>
          <w:sz w:val="21"/>
          <w:szCs w:val="21"/>
          <w:u w:val="single" w:color="auto"/>
          <w:color w:val="auto"/>
        </w:rPr>
        <w:t>Collateral Agent</w:t>
      </w:r>
      <w:r>
        <w:rPr>
          <w:rFonts w:ascii="Arial" w:cs="Arial" w:eastAsia="Arial" w:hAnsi="Arial"/>
          <w:sz w:val="21"/>
          <w:szCs w:val="21"/>
          <w:color w:val="auto"/>
        </w:rPr>
        <w:t>”) under the hereinafter-defined Credit Agreement, and the Lenders party hereto.</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W I T N E S S E T H</w:t>
      </w:r>
      <w:r>
        <w:rPr>
          <w:rFonts w:ascii="Arial" w:cs="Arial" w:eastAsia="Arial" w:hAnsi="Arial"/>
          <w:sz w:val="22"/>
          <w:szCs w:val="22"/>
          <w:color w:val="auto"/>
        </w:rPr>
        <w:t>:</w:t>
      </w:r>
    </w:p>
    <w:p>
      <w:pPr>
        <w:spacing w:after="0" w:line="206" w:lineRule="exact"/>
        <w:rPr>
          <w:sz w:val="20"/>
          <w:szCs w:val="20"/>
          <w:color w:val="auto"/>
        </w:rPr>
      </w:pPr>
    </w:p>
    <w:p>
      <w:pPr>
        <w:jc w:val="both"/>
        <w:ind w:firstLine="877"/>
        <w:spacing w:after="0" w:line="236" w:lineRule="auto"/>
        <w:rPr>
          <w:sz w:val="20"/>
          <w:szCs w:val="20"/>
          <w:color w:val="auto"/>
        </w:rPr>
      </w:pPr>
      <w:r>
        <w:rPr>
          <w:rFonts w:ascii="Arial" w:cs="Arial" w:eastAsia="Arial" w:hAnsi="Arial"/>
          <w:sz w:val="22"/>
          <w:szCs w:val="22"/>
          <w:color w:val="auto"/>
        </w:rPr>
        <w:t>WHEREAS, the Borrower, the Administrative Agent, the Collateral Agent, the lenders from time to time party thereto (the “</w:t>
      </w:r>
      <w:r>
        <w:rPr>
          <w:rFonts w:ascii="Arial" w:cs="Arial" w:eastAsia="Arial" w:hAnsi="Arial"/>
          <w:sz w:val="22"/>
          <w:szCs w:val="22"/>
          <w:u w:val="single" w:color="auto"/>
          <w:color w:val="auto"/>
        </w:rPr>
        <w:t>Lenders</w:t>
      </w:r>
      <w:r>
        <w:rPr>
          <w:rFonts w:ascii="Arial" w:cs="Arial" w:eastAsia="Arial" w:hAnsi="Arial"/>
          <w:sz w:val="22"/>
          <w:szCs w:val="22"/>
          <w:color w:val="auto"/>
        </w:rPr>
        <w:t>”) and the other parties from time to time party thereto have entered into that certain Third Amended and Restated Credit Agreement, dated as of May 26, 2017 (as amended by that certain First Amendment to Third Amended and Restated Credit Agreement, dated as of September 22, 2017, and as further amended, restated, supplemented or otherwise modified from time to time,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w:t>
      </w:r>
    </w:p>
    <w:p>
      <w:pPr>
        <w:spacing w:after="0" w:line="188" w:lineRule="exact"/>
        <w:rPr>
          <w:sz w:val="20"/>
          <w:szCs w:val="20"/>
          <w:color w:val="auto"/>
        </w:rPr>
      </w:pPr>
    </w:p>
    <w:p>
      <w:pPr>
        <w:jc w:val="both"/>
        <w:ind w:firstLine="877"/>
        <w:spacing w:after="0" w:line="297" w:lineRule="auto"/>
        <w:rPr>
          <w:sz w:val="20"/>
          <w:szCs w:val="20"/>
          <w:color w:val="auto"/>
        </w:rPr>
      </w:pPr>
      <w:r>
        <w:rPr>
          <w:rFonts w:ascii="Arial" w:cs="Arial" w:eastAsia="Arial" w:hAnsi="Arial"/>
          <w:sz w:val="19"/>
          <w:szCs w:val="19"/>
          <w:color w:val="auto"/>
        </w:rPr>
        <w:t>WHEREAS, the Borrower, the other Loan Parties party thereto from time to time and the Collateral Agent have entered into that certain Second Amended and Restated Guarantee and Collateral Agreement, dated as of May 26, 2017 (as amended, restated, amended and restated, supplemented or otherwise modified from time to time, the “</w:t>
      </w:r>
      <w:r>
        <w:rPr>
          <w:rFonts w:ascii="Arial" w:cs="Arial" w:eastAsia="Arial" w:hAnsi="Arial"/>
          <w:sz w:val="19"/>
          <w:szCs w:val="19"/>
          <w:u w:val="single" w:color="auto"/>
          <w:color w:val="auto"/>
        </w:rPr>
        <w:t>Collateral Agreement</w:t>
      </w:r>
      <w:r>
        <w:rPr>
          <w:rFonts w:ascii="Arial" w:cs="Arial" w:eastAsia="Arial" w:hAnsi="Arial"/>
          <w:sz w:val="19"/>
          <w:szCs w:val="19"/>
          <w:color w:val="auto"/>
        </w:rPr>
        <w:t>”);</w:t>
      </w:r>
    </w:p>
    <w:p>
      <w:pPr>
        <w:spacing w:after="0" w:line="134" w:lineRule="exact"/>
        <w:rPr>
          <w:sz w:val="20"/>
          <w:szCs w:val="20"/>
          <w:color w:val="auto"/>
        </w:rPr>
      </w:pPr>
    </w:p>
    <w:p>
      <w:pPr>
        <w:jc w:val="both"/>
        <w:ind w:right="20" w:firstLine="877"/>
        <w:spacing w:after="0" w:line="251" w:lineRule="auto"/>
        <w:rPr>
          <w:sz w:val="20"/>
          <w:szCs w:val="20"/>
          <w:color w:val="auto"/>
        </w:rPr>
      </w:pPr>
      <w:r>
        <w:rPr>
          <w:rFonts w:ascii="Arial" w:cs="Arial" w:eastAsia="Arial" w:hAnsi="Arial"/>
          <w:sz w:val="22"/>
          <w:szCs w:val="22"/>
          <w:color w:val="auto"/>
        </w:rPr>
        <w:t>WHEREAS, the Borrower has requested that the Lenders agree to make certain amendments to the Credit Agreement and the Collateral Agreement; and</w:t>
      </w:r>
    </w:p>
    <w:p>
      <w:pPr>
        <w:spacing w:after="0" w:line="173"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the Lenders party hereto have agreed to such amendments on the terms and conditions set forth herein.</w:t>
      </w:r>
    </w:p>
    <w:p>
      <w:pPr>
        <w:spacing w:after="0" w:line="241" w:lineRule="exact"/>
        <w:rPr>
          <w:sz w:val="20"/>
          <w:szCs w:val="20"/>
          <w:color w:val="auto"/>
        </w:rPr>
      </w:pPr>
    </w:p>
    <w:p>
      <w:pPr>
        <w:jc w:val="both"/>
        <w:ind w:firstLine="877"/>
        <w:spacing w:after="0" w:line="238" w:lineRule="auto"/>
        <w:rPr>
          <w:sz w:val="20"/>
          <w:szCs w:val="20"/>
          <w:color w:val="auto"/>
        </w:rPr>
      </w:pPr>
      <w:r>
        <w:rPr>
          <w:rFonts w:ascii="Arial" w:cs="Arial" w:eastAsia="Arial" w:hAnsi="Arial"/>
          <w:sz w:val="22"/>
          <w:szCs w:val="22"/>
          <w:color w:val="auto"/>
        </w:rPr>
        <w:t>NOW, THEREFORE, in consideration of the premises and the mutual agreements, representations and warranties herein set forth, and for other good and valuable consideration, the receipt and sufficiency of which are acknowledged, the Borrower, the other Loan Parties party hereto, the Collateral Agent, the Administrative Agent and the undersigned Required Lenders do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281305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59" w:name="page60"/>
    <w:bookmarkEnd w:id="59"/>
    <w:p>
      <w:pPr>
        <w:ind w:left="815" w:hanging="815"/>
        <w:spacing w:after="0"/>
        <w:tabs>
          <w:tab w:leader="none" w:pos="815"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Amendments to Credit Agreement</w:t>
      </w:r>
      <w:r>
        <w:rPr>
          <w:rFonts w:ascii="Arial" w:cs="Arial" w:eastAsia="Arial" w:hAnsi="Arial"/>
          <w:sz w:val="22"/>
          <w:szCs w:val="22"/>
          <w:color w:val="auto"/>
        </w:rPr>
        <w:t>.</w:t>
      </w:r>
    </w:p>
    <w:p>
      <w:pPr>
        <w:spacing w:after="0" w:line="206" w:lineRule="exact"/>
        <w:rPr>
          <w:sz w:val="20"/>
          <w:szCs w:val="20"/>
          <w:color w:val="auto"/>
        </w:rPr>
      </w:pPr>
    </w:p>
    <w:p>
      <w:pPr>
        <w:ind w:left="895" w:hanging="895"/>
        <w:spacing w:after="0"/>
        <w:tabs>
          <w:tab w:leader="none" w:pos="895" w:val="left"/>
        </w:tabs>
        <w:numPr>
          <w:ilvl w:val="0"/>
          <w:numId w:val="56"/>
        </w:numPr>
        <w:rPr>
          <w:rFonts w:ascii="Arial" w:cs="Arial" w:eastAsia="Arial" w:hAnsi="Arial"/>
          <w:sz w:val="22"/>
          <w:szCs w:val="22"/>
          <w:color w:val="auto"/>
        </w:rPr>
      </w:pPr>
      <w:r>
        <w:rPr>
          <w:rFonts w:ascii="Arial" w:cs="Arial" w:eastAsia="Arial" w:hAnsi="Arial"/>
          <w:sz w:val="22"/>
          <w:szCs w:val="22"/>
          <w:color w:val="auto"/>
        </w:rPr>
        <w:t>Section 1.01 of the Credit Agreement is hereby amended as follows:</w:t>
      </w:r>
    </w:p>
    <w:p>
      <w:pPr>
        <w:spacing w:after="0" w:line="206" w:lineRule="exact"/>
        <w:rPr>
          <w:rFonts w:ascii="Arial" w:cs="Arial" w:eastAsia="Arial" w:hAnsi="Arial"/>
          <w:sz w:val="22"/>
          <w:szCs w:val="22"/>
          <w:color w:val="auto"/>
        </w:rPr>
      </w:pPr>
    </w:p>
    <w:p>
      <w:pPr>
        <w:ind w:left="1735" w:hanging="857"/>
        <w:spacing w:after="0"/>
        <w:tabs>
          <w:tab w:leader="none" w:pos="1735" w:val="left"/>
        </w:tabs>
        <w:numPr>
          <w:ilvl w:val="1"/>
          <w:numId w:val="56"/>
        </w:numPr>
        <w:rPr>
          <w:rFonts w:ascii="Arial" w:cs="Arial" w:eastAsia="Arial" w:hAnsi="Arial"/>
          <w:sz w:val="22"/>
          <w:szCs w:val="22"/>
          <w:color w:val="auto"/>
        </w:rPr>
      </w:pPr>
      <w:r>
        <w:rPr>
          <w:rFonts w:ascii="Arial" w:cs="Arial" w:eastAsia="Arial" w:hAnsi="Arial"/>
          <w:sz w:val="22"/>
          <w:szCs w:val="22"/>
          <w:color w:val="auto"/>
        </w:rPr>
        <w:t>Each of the following definitions are amended and restated in their entirety as follows:</w:t>
      </w:r>
    </w:p>
    <w:p>
      <w:pPr>
        <w:spacing w:after="0" w:line="200" w:lineRule="exact"/>
        <w:rPr>
          <w:sz w:val="20"/>
          <w:szCs w:val="20"/>
          <w:color w:val="auto"/>
        </w:rPr>
      </w:pPr>
    </w:p>
    <w:p>
      <w:pPr>
        <w:jc w:val="both"/>
        <w:ind w:left="1755"/>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Assets</w:t>
      </w:r>
      <w:r>
        <w:rPr>
          <w:rFonts w:ascii="Arial" w:cs="Arial" w:eastAsia="Arial" w:hAnsi="Arial"/>
          <w:sz w:val="19"/>
          <w:szCs w:val="19"/>
          <w:color w:val="auto"/>
        </w:rPr>
        <w:t>” shall mean (a) Equity Interests in any Person (other than (i) the Borrower, any Subsidiary Loan Party, any Wholly Owned Subsidiary or any Included Entity, (ii) the Ohio Joint Ventures, to the extent owned by a Loan Party and (iii) the Double E Joint Venture, to the extent owned by a Loan Party) to the extent not permitted to be pledged by the terms of such Person’s constitutional or joint venture documents (and, to the extent any such prohibition or limitation is removed or the applicable Person has obtained any required consents to eliminate or waive any such restrictions, such Equity Interests shall cease to be Excluded Assets), (b) Equity Interests constituting an amount greater than 65% of the voting Equity Interests of any Foreign Subsidiary or any Domestic Subsidiary substantially all of which Subsidiary’s assets consist of the Equity Interest in “controlled foreign corporations” under Section 957 of the Code, (c) Equity Interests or other assets that are held directly by a Foreign Subsidiary and (d) any “intent to use” applications for trademark or service mark registrations filed pursuant to Section 1(b) of the Lanham Act, 15 U.S.C. §1051, unless and until an “Amendment to Allege Use” or a “Statement of Use” under Section 1(c) or Section 1(d) of the Lanham Act has been filed, solely to the extent that such a grant of a security interest therein prior to such filing would impair the validity or enforceability of any registration that issues from such “intent to use” application.</w:t>
      </w:r>
    </w:p>
    <w:p>
      <w:pPr>
        <w:spacing w:after="0" w:line="200" w:lineRule="exact"/>
        <w:rPr>
          <w:sz w:val="20"/>
          <w:szCs w:val="20"/>
          <w:color w:val="auto"/>
        </w:rPr>
      </w:pPr>
    </w:p>
    <w:p>
      <w:pPr>
        <w:spacing w:after="0" w:line="205" w:lineRule="exact"/>
        <w:rPr>
          <w:sz w:val="20"/>
          <w:szCs w:val="20"/>
          <w:color w:val="auto"/>
        </w:rPr>
      </w:pPr>
    </w:p>
    <w:p>
      <w:pPr>
        <w:jc w:val="both"/>
        <w:ind w:left="1755"/>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Project</w:t>
      </w:r>
      <w:r>
        <w:rPr>
          <w:rFonts w:ascii="Arial" w:cs="Arial" w:eastAsia="Arial" w:hAnsi="Arial"/>
          <w:sz w:val="22"/>
          <w:szCs w:val="22"/>
          <w:color w:val="auto"/>
        </w:rPr>
        <w:t>” shall mean the construction or expansion of any capital project by the Borrower, any Restricted Subsidiary or the Double E Joint Venture, the aggregate capital cost of which (inclusive of capital costs expended prior to the acquisition thereof) is reasonably expected by the Borrower to exceed, or exceeds, $10,000,000.</w:t>
      </w:r>
    </w:p>
    <w:p>
      <w:pPr>
        <w:spacing w:after="0" w:line="181" w:lineRule="exact"/>
        <w:rPr>
          <w:sz w:val="20"/>
          <w:szCs w:val="20"/>
          <w:color w:val="auto"/>
        </w:rPr>
      </w:pPr>
    </w:p>
    <w:p>
      <w:pPr>
        <w:jc w:val="both"/>
        <w:ind w:left="1755"/>
        <w:spacing w:after="0" w:line="27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Debt</w:t>
      </w:r>
      <w:r>
        <w:rPr>
          <w:rFonts w:ascii="Arial" w:cs="Arial" w:eastAsia="Arial" w:hAnsi="Arial"/>
          <w:sz w:val="19"/>
          <w:szCs w:val="19"/>
          <w:color w:val="auto"/>
        </w:rPr>
        <w:t>” shall mean Indebtedness (a) as to which neither the Borrower nor any of its Restricted Subsidiaries (i) provides credit support of any kind (including any undertaking, agreement or instrument that would constitute Indebtedness), (ii) is directly or indirectly liable as a guarantor or otherwise or (iii) constitutes the lender; (b) no default with respect to which (including any rights that the holders of such Indebtedness may have to take enforcement action against an Unrestricted Subsidiary) would permit, upon notice, lapse of time or both, any holder of any other Indebtedness of the Borrower or any of its Restricted Subsidiaries to declare a default on such other Indebtedness or cause the payment of the Indebtedness to be accelerated or payable prior to its stated maturity; and</w:t>
      </w:r>
    </w:p>
    <w:p>
      <w:pPr>
        <w:spacing w:after="0" w:line="2" w:lineRule="exact"/>
        <w:rPr>
          <w:sz w:val="20"/>
          <w:szCs w:val="20"/>
          <w:color w:val="auto"/>
        </w:rPr>
      </w:pPr>
    </w:p>
    <w:p>
      <w:pPr>
        <w:ind w:left="4775" w:right="560" w:hanging="3018"/>
        <w:spacing w:after="0" w:line="439" w:lineRule="auto"/>
        <w:tabs>
          <w:tab w:leader="none" w:pos="2050" w:val="left"/>
        </w:tabs>
        <w:numPr>
          <w:ilvl w:val="0"/>
          <w:numId w:val="57"/>
        </w:numPr>
        <w:rPr>
          <w:rFonts w:ascii="Arial" w:cs="Arial" w:eastAsia="Arial" w:hAnsi="Arial"/>
          <w:sz w:val="22"/>
          <w:szCs w:val="22"/>
          <w:color w:val="auto"/>
        </w:rPr>
      </w:pPr>
      <w:r>
        <w:rPr>
          <w:rFonts w:ascii="Arial" w:cs="Arial" w:eastAsia="Arial" w:hAnsi="Arial"/>
          <w:sz w:val="22"/>
          <w:szCs w:val="22"/>
          <w:color w:val="auto"/>
        </w:rPr>
        <w:t>as to which the lenders of such Indebtedness have been notified in writing that they will not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-83185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35"/>
          </w:cols>
          <w:pgMar w:left="1125" w:top="361" w:right="239" w:bottom="1440" w:gutter="0" w:footer="0" w:header="0"/>
        </w:sectPr>
      </w:pPr>
    </w:p>
    <w:bookmarkStart w:id="60" w:name="page61"/>
    <w:bookmarkEnd w:id="60"/>
    <w:p>
      <w:pPr>
        <w:jc w:val="both"/>
        <w:ind w:left="1440"/>
        <w:spacing w:after="0" w:line="252" w:lineRule="auto"/>
        <w:rPr>
          <w:sz w:val="20"/>
          <w:szCs w:val="20"/>
          <w:color w:val="auto"/>
        </w:rPr>
      </w:pPr>
      <w:r>
        <w:rPr>
          <w:rFonts w:ascii="Arial" w:cs="Arial" w:eastAsia="Arial" w:hAnsi="Arial"/>
          <w:sz w:val="21"/>
          <w:szCs w:val="21"/>
          <w:color w:val="auto"/>
        </w:rPr>
        <w:t xml:space="preserve">have any recourse to the Equity Interests or other Property of the Borrower or its Restricted Subsidiaries; </w:t>
      </w:r>
      <w:r>
        <w:rPr>
          <w:rFonts w:ascii="Arial" w:cs="Arial" w:eastAsia="Arial" w:hAnsi="Arial"/>
          <w:sz w:val="21"/>
          <w:szCs w:val="21"/>
          <w:i w:val="1"/>
          <w:iCs w:val="1"/>
          <w:color w:val="auto"/>
        </w:rPr>
        <w:t>provided</w:t>
      </w:r>
      <w:r>
        <w:rPr>
          <w:rFonts w:ascii="Arial" w:cs="Arial" w:eastAsia="Arial" w:hAnsi="Arial"/>
          <w:sz w:val="21"/>
          <w:szCs w:val="21"/>
          <w:color w:val="auto"/>
        </w:rPr>
        <w:t>, that the Borrower or any Restricted Subsidiary may pledge the Equity Interests it owns in any Subsidiary that is not (x) a Restricted Subsidiary, (y) an Included Entity or (z) the Double E Joint Venture in order to secure such Indebtedness.</w:t>
      </w:r>
    </w:p>
    <w:p>
      <w:pPr>
        <w:spacing w:after="0" w:line="168" w:lineRule="exact"/>
        <w:rPr>
          <w:sz w:val="20"/>
          <w:szCs w:val="20"/>
          <w:color w:val="auto"/>
        </w:rPr>
      </w:pPr>
    </w:p>
    <w:p>
      <w:pPr>
        <w:jc w:val="both"/>
        <w:ind w:left="144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Entity Unadjusted EBITDA</w:t>
      </w:r>
      <w:r>
        <w:rPr>
          <w:rFonts w:ascii="Arial" w:cs="Arial" w:eastAsia="Arial" w:hAnsi="Arial"/>
          <w:sz w:val="19"/>
          <w:szCs w:val="19"/>
          <w:color w:val="auto"/>
        </w:rPr>
        <w:t xml:space="preserve">” shall mean, for any Person for any period, the EBITDA for such Person for such period, determined in accordance with the definition of EBITDA </w:t>
      </w:r>
      <w:r>
        <w:rPr>
          <w:rFonts w:ascii="Arial" w:cs="Arial" w:eastAsia="Arial" w:hAnsi="Arial"/>
          <w:sz w:val="19"/>
          <w:szCs w:val="19"/>
          <w:i w:val="1"/>
          <w:iCs w:val="1"/>
          <w:color w:val="auto"/>
        </w:rPr>
        <w:t>mutatis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mutandis </w:t>
      </w:r>
      <w:r>
        <w:rPr>
          <w:rFonts w:ascii="Arial" w:cs="Arial" w:eastAsia="Arial" w:hAnsi="Arial"/>
          <w:sz w:val="19"/>
          <w:szCs w:val="19"/>
          <w:color w:val="auto"/>
        </w:rPr>
        <w:t>for such Person but without including, in each case for such period, (a) any Material</w:t>
      </w:r>
      <w:r>
        <w:rPr>
          <w:rFonts w:ascii="Arial" w:cs="Arial" w:eastAsia="Arial" w:hAnsi="Arial"/>
          <w:sz w:val="19"/>
          <w:szCs w:val="19"/>
          <w:i w:val="1"/>
          <w:iCs w:val="1"/>
          <w:color w:val="auto"/>
        </w:rPr>
        <w:t xml:space="preserve"> </w:t>
      </w:r>
      <w:r>
        <w:rPr>
          <w:rFonts w:ascii="Arial" w:cs="Arial" w:eastAsia="Arial" w:hAnsi="Arial"/>
          <w:sz w:val="19"/>
          <w:szCs w:val="19"/>
          <w:color w:val="auto"/>
        </w:rPr>
        <w:t>Project EBITDA Adjustments, (b) any EBITDA attributable to an Included Entity, (c) any Specified Equity Contribution, (d) any adjustments related to the Ohio Joint Ventures described in (i) clause (e)</w:t>
      </w:r>
    </w:p>
    <w:p>
      <w:pPr>
        <w:spacing w:after="0" w:line="1" w:lineRule="exact"/>
        <w:rPr>
          <w:sz w:val="20"/>
          <w:szCs w:val="20"/>
          <w:color w:val="auto"/>
        </w:rPr>
      </w:pPr>
    </w:p>
    <w:p>
      <w:pPr>
        <w:jc w:val="both"/>
        <w:ind w:left="1440" w:firstLine="2"/>
        <w:spacing w:after="0" w:line="267" w:lineRule="auto"/>
        <w:tabs>
          <w:tab w:leader="none" w:pos="1793" w:val="left"/>
        </w:tabs>
        <w:numPr>
          <w:ilvl w:val="0"/>
          <w:numId w:val="58"/>
        </w:numPr>
        <w:rPr>
          <w:rFonts w:ascii="Arial" w:cs="Arial" w:eastAsia="Arial" w:hAnsi="Arial"/>
          <w:sz w:val="19"/>
          <w:szCs w:val="19"/>
          <w:color w:val="auto"/>
        </w:rPr>
      </w:pPr>
      <w:r>
        <w:rPr>
          <w:rFonts w:ascii="Arial" w:cs="Arial" w:eastAsia="Arial" w:hAnsi="Arial"/>
          <w:sz w:val="19"/>
          <w:szCs w:val="19"/>
          <w:color w:val="auto"/>
        </w:rPr>
        <w:t>of the definition of “Consolidated Net Income” or (ii) the last paragraph of the definition of “EBITDA” or (e) any adjustments related to the Double E Joint Venture described in (i) clause (e)</w:t>
      </w:r>
    </w:p>
    <w:p>
      <w:pPr>
        <w:ind w:left="1440" w:right="20" w:firstLine="2"/>
        <w:spacing w:after="0" w:line="237" w:lineRule="auto"/>
        <w:tabs>
          <w:tab w:leader="none" w:pos="1848" w:val="left"/>
        </w:tabs>
        <w:numPr>
          <w:ilvl w:val="0"/>
          <w:numId w:val="58"/>
        </w:numPr>
        <w:rPr>
          <w:rFonts w:ascii="Arial" w:cs="Arial" w:eastAsia="Arial" w:hAnsi="Arial"/>
          <w:sz w:val="22"/>
          <w:szCs w:val="22"/>
          <w:color w:val="auto"/>
        </w:rPr>
      </w:pPr>
      <w:r>
        <w:rPr>
          <w:rFonts w:ascii="Arial" w:cs="Arial" w:eastAsia="Arial" w:hAnsi="Arial"/>
          <w:sz w:val="22"/>
          <w:szCs w:val="22"/>
          <w:color w:val="auto"/>
        </w:rPr>
        <w:t>of the definition of “Consolidated Net Income” or (ii) the last paragraph of the definition of “EBITDA”.</w:t>
      </w:r>
    </w:p>
    <w:p>
      <w:pPr>
        <w:spacing w:after="0" w:line="179" w:lineRule="exact"/>
        <w:rPr>
          <w:sz w:val="20"/>
          <w:szCs w:val="20"/>
          <w:color w:val="auto"/>
        </w:rPr>
      </w:pPr>
    </w:p>
    <w:p>
      <w:pPr>
        <w:jc w:val="both"/>
        <w:ind w:left="1440"/>
        <w:spacing w:after="0" w:line="23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EBITDA</w:t>
      </w:r>
      <w:r>
        <w:rPr>
          <w:rFonts w:ascii="Arial" w:cs="Arial" w:eastAsia="Arial" w:hAnsi="Arial"/>
          <w:sz w:val="22"/>
          <w:szCs w:val="22"/>
          <w:color w:val="auto"/>
        </w:rPr>
        <w:t>” shall mean, for any period, the EBITDA for such period, determined without including any Material Project EBITDA Adjustments, any EBITDA attributable to an Included Entity, any Specified Equity Contribution, any EBITDA attributable to any Ohio Joint Venture, any EBITDA attributable to the Double E Joint Venture or any EBITDA attributable to any payment described in clause (e) of the definition of “Consolidated Net Income”, in each case for such period.</w:t>
      </w:r>
    </w:p>
    <w:p>
      <w:pPr>
        <w:spacing w:after="0" w:line="188" w:lineRule="exact"/>
        <w:rPr>
          <w:sz w:val="20"/>
          <w:szCs w:val="20"/>
          <w:color w:val="auto"/>
        </w:rPr>
      </w:pPr>
    </w:p>
    <w:p>
      <w:pPr>
        <w:ind w:left="1480" w:hanging="917"/>
        <w:spacing w:after="0"/>
        <w:tabs>
          <w:tab w:leader="none" w:pos="1480" w:val="left"/>
        </w:tabs>
        <w:numPr>
          <w:ilvl w:val="0"/>
          <w:numId w:val="59"/>
        </w:numPr>
        <w:rPr>
          <w:rFonts w:ascii="Arial" w:cs="Arial" w:eastAsia="Arial" w:hAnsi="Arial"/>
          <w:sz w:val="22"/>
          <w:szCs w:val="22"/>
          <w:color w:val="auto"/>
        </w:rPr>
      </w:pPr>
      <w:r>
        <w:rPr>
          <w:rFonts w:ascii="Arial" w:cs="Arial" w:eastAsia="Arial" w:hAnsi="Arial"/>
          <w:sz w:val="22"/>
          <w:szCs w:val="22"/>
          <w:color w:val="auto"/>
        </w:rPr>
        <w:t>By adding the following defined terms in appropriate alphabetical order:</w:t>
      </w:r>
    </w:p>
    <w:p>
      <w:pPr>
        <w:spacing w:after="0" w:line="8" w:lineRule="exact"/>
        <w:rPr>
          <w:sz w:val="20"/>
          <w:szCs w:val="20"/>
          <w:color w:val="auto"/>
        </w:rPr>
      </w:pPr>
    </w:p>
    <w:p>
      <w:pPr>
        <w:ind w:left="1440" w:right="880"/>
        <w:spacing w:after="0" w:line="23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Certification</w:t>
      </w:r>
      <w:r>
        <w:rPr>
          <w:rFonts w:ascii="Arial" w:cs="Arial" w:eastAsia="Arial" w:hAnsi="Arial"/>
          <w:sz w:val="22"/>
          <w:szCs w:val="22"/>
          <w:color w:val="auto"/>
        </w:rPr>
        <w:t>” means a certification regarding beneficial ownership as required by the Beneficial Ownership Regulation.</w:t>
      </w:r>
    </w:p>
    <w:p>
      <w:pPr>
        <w:spacing w:after="0" w:line="179"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Beneficial Ownership Regulation</w:t>
      </w:r>
      <w:r>
        <w:rPr>
          <w:rFonts w:ascii="Arial" w:cs="Arial" w:eastAsia="Arial" w:hAnsi="Arial"/>
          <w:sz w:val="22"/>
          <w:szCs w:val="22"/>
          <w:color w:val="auto"/>
        </w:rPr>
        <w:t>” means 31 C.F.R. § 1010.230.</w:t>
      </w:r>
    </w:p>
    <w:p>
      <w:pPr>
        <w:spacing w:after="0" w:line="206" w:lineRule="exact"/>
        <w:rPr>
          <w:sz w:val="20"/>
          <w:szCs w:val="20"/>
          <w:color w:val="auto"/>
        </w:rPr>
      </w:pPr>
    </w:p>
    <w:p>
      <w:pPr>
        <w:ind w:left="1440" w:right="8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shall mean any of the following:</w:t>
      </w:r>
    </w:p>
    <w:p>
      <w:pPr>
        <w:spacing w:after="0" w:line="212" w:lineRule="exact"/>
        <w:rPr>
          <w:sz w:val="20"/>
          <w:szCs w:val="20"/>
          <w:color w:val="auto"/>
        </w:rPr>
      </w:pPr>
    </w:p>
    <w:p>
      <w:pPr>
        <w:ind w:left="1440" w:right="880" w:firstLine="609"/>
        <w:spacing w:after="0" w:line="251" w:lineRule="auto"/>
        <w:tabs>
          <w:tab w:leader="none" w:pos="290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“covered entity” as that term is defined in, and interpreted in accordance with, 12 C.F.R. § 252.82(b);</w:t>
      </w:r>
    </w:p>
    <w:p>
      <w:pPr>
        <w:spacing w:after="0" w:line="173" w:lineRule="exact"/>
        <w:rPr>
          <w:rFonts w:ascii="Arial" w:cs="Arial" w:eastAsia="Arial" w:hAnsi="Arial"/>
          <w:sz w:val="22"/>
          <w:szCs w:val="22"/>
          <w:color w:val="auto"/>
        </w:rPr>
      </w:pPr>
    </w:p>
    <w:p>
      <w:pPr>
        <w:ind w:left="1440" w:right="880" w:firstLine="609"/>
        <w:spacing w:after="0" w:line="251" w:lineRule="auto"/>
        <w:tabs>
          <w:tab w:leader="none" w:pos="296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“covered bank” as that term is defined in, and interpreted in accordance with, 12 C.F.R. § 47.3(b); or</w:t>
      </w:r>
    </w:p>
    <w:p>
      <w:pPr>
        <w:spacing w:after="0" w:line="173" w:lineRule="exact"/>
        <w:rPr>
          <w:rFonts w:ascii="Arial" w:cs="Arial" w:eastAsia="Arial" w:hAnsi="Arial"/>
          <w:sz w:val="22"/>
          <w:szCs w:val="22"/>
          <w:color w:val="auto"/>
        </w:rPr>
      </w:pPr>
    </w:p>
    <w:p>
      <w:pPr>
        <w:ind w:left="1440" w:right="880" w:firstLine="609"/>
        <w:spacing w:after="0" w:line="251" w:lineRule="auto"/>
        <w:tabs>
          <w:tab w:leader="none" w:pos="302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17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61" w:name="page62"/>
    <w:bookmarkEnd w:id="61"/>
    <w:p>
      <w:pPr>
        <w:ind w:left="14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Party</w:t>
      </w:r>
      <w:r>
        <w:rPr>
          <w:rFonts w:ascii="Arial" w:cs="Arial" w:eastAsia="Arial" w:hAnsi="Arial"/>
          <w:sz w:val="22"/>
          <w:szCs w:val="22"/>
          <w:color w:val="auto"/>
        </w:rPr>
        <w:t>” shall have the meaning assigned to such term in Section 9.26.</w:t>
      </w:r>
    </w:p>
    <w:p>
      <w:pPr>
        <w:spacing w:after="0" w:line="206" w:lineRule="exact"/>
        <w:rPr>
          <w:sz w:val="20"/>
          <w:szCs w:val="20"/>
          <w:color w:val="auto"/>
        </w:rPr>
      </w:pPr>
    </w:p>
    <w:p>
      <w:pPr>
        <w:jc w:val="both"/>
        <w:ind w:left="144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39" w:lineRule="exact"/>
        <w:rPr>
          <w:sz w:val="20"/>
          <w:szCs w:val="20"/>
          <w:color w:val="auto"/>
        </w:rPr>
      </w:pPr>
    </w:p>
    <w:p>
      <w:pPr>
        <w:jc w:val="both"/>
        <w:ind w:left="1440"/>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Construction Management Agreement</w:t>
      </w:r>
      <w:r>
        <w:rPr>
          <w:rFonts w:ascii="Arial" w:cs="Arial" w:eastAsia="Arial" w:hAnsi="Arial"/>
          <w:sz w:val="19"/>
          <w:szCs w:val="19"/>
          <w:color w:val="auto"/>
        </w:rPr>
        <w:t>” shall mean that certain Construction Management Agreement, dated as of June 26, 2019, by and between Summit Midstream Permian II, LLC, a Delaware limited liability company, and the Double E Joint Venture.</w:t>
      </w:r>
    </w:p>
    <w:p>
      <w:pPr>
        <w:spacing w:after="0" w:line="123" w:lineRule="exact"/>
        <w:rPr>
          <w:sz w:val="20"/>
          <w:szCs w:val="20"/>
          <w:color w:val="auto"/>
        </w:rPr>
      </w:pPr>
    </w:p>
    <w:p>
      <w:pPr>
        <w:jc w:val="both"/>
        <w:ind w:left="1440"/>
        <w:spacing w:after="0" w:line="28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Contribution Agreement</w:t>
      </w:r>
      <w:r>
        <w:rPr>
          <w:rFonts w:ascii="Arial" w:cs="Arial" w:eastAsia="Arial" w:hAnsi="Arial"/>
          <w:sz w:val="19"/>
          <w:szCs w:val="19"/>
          <w:color w:val="auto"/>
        </w:rPr>
        <w:t>” shall mean that certain Contribution Agreement, dated as of June 26, 2019, by and among Summit Permian Transmission, LLC, a Delaware limited liability company, ExxonMobil Permian Double E Pipeline LLC, a Delaware limited liability company, and the Double E Joint Venture.</w:t>
      </w:r>
    </w:p>
    <w:p>
      <w:pPr>
        <w:spacing w:after="0" w:line="136" w:lineRule="exact"/>
        <w:rPr>
          <w:sz w:val="20"/>
          <w:szCs w:val="20"/>
          <w:color w:val="auto"/>
        </w:rPr>
      </w:pPr>
    </w:p>
    <w:p>
      <w:pPr>
        <w:jc w:val="both"/>
        <w:ind w:left="1440" w:right="2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Double E Guaranty</w:t>
      </w:r>
      <w:r>
        <w:rPr>
          <w:rFonts w:ascii="Arial" w:cs="Arial" w:eastAsia="Arial" w:hAnsi="Arial"/>
          <w:sz w:val="22"/>
          <w:szCs w:val="22"/>
          <w:color w:val="auto"/>
        </w:rPr>
        <w:t>” shall mean that certain Guaranty Agreement, dated as of June 26, 2019, by the MLP Entity in respect of the Double E Joint Venture.</w:t>
      </w:r>
    </w:p>
    <w:p>
      <w:pPr>
        <w:spacing w:after="0" w:line="163" w:lineRule="exact"/>
        <w:rPr>
          <w:sz w:val="20"/>
          <w:szCs w:val="20"/>
          <w:color w:val="auto"/>
        </w:rPr>
      </w:pPr>
    </w:p>
    <w:p>
      <w:pPr>
        <w:jc w:val="both"/>
        <w:ind w:left="1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Double E Joint Venture</w:t>
      </w:r>
      <w:r>
        <w:rPr>
          <w:rFonts w:ascii="Arial" w:cs="Arial" w:eastAsia="Arial" w:hAnsi="Arial"/>
          <w:sz w:val="22"/>
          <w:szCs w:val="22"/>
          <w:color w:val="auto"/>
        </w:rPr>
        <w:t>” shall mean Double E Pipeline, LLC, a Delaware limited liability company.</w:t>
      </w:r>
    </w:p>
    <w:p>
      <w:pPr>
        <w:spacing w:after="0" w:line="163" w:lineRule="exact"/>
        <w:rPr>
          <w:sz w:val="20"/>
          <w:szCs w:val="20"/>
          <w:color w:val="auto"/>
        </w:rPr>
      </w:pPr>
    </w:p>
    <w:p>
      <w:pPr>
        <w:jc w:val="both"/>
        <w:ind w:left="1440"/>
        <w:spacing w:after="0" w:line="27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Joint Venture Conditions</w:t>
      </w:r>
      <w:r>
        <w:rPr>
          <w:rFonts w:ascii="Arial" w:cs="Arial" w:eastAsia="Arial" w:hAnsi="Arial"/>
          <w:sz w:val="19"/>
          <w:szCs w:val="19"/>
          <w:color w:val="auto"/>
        </w:rPr>
        <w:t>” shall mean, (a) at all times in the relevant calculation period, (i) the Double E Joint Venture does not at any time incur or have, (x) in the aggregate, greater than U.S.$20.0 million of indebtedness for borrowed money or</w:t>
      </w:r>
    </w:p>
    <w:p>
      <w:pPr>
        <w:spacing w:after="0" w:line="2" w:lineRule="exact"/>
        <w:rPr>
          <w:sz w:val="20"/>
          <w:szCs w:val="20"/>
          <w:color w:val="auto"/>
        </w:rPr>
      </w:pPr>
    </w:p>
    <w:p>
      <w:pPr>
        <w:jc w:val="both"/>
        <w:ind w:left="1440" w:firstLine="2"/>
        <w:spacing w:after="0" w:line="270" w:lineRule="auto"/>
        <w:tabs>
          <w:tab w:leader="none" w:pos="1765"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material Liens other than Liens permitted by the limited liability company agreement of the Double E Joint Venture in existence on the Second Amendment Effective Date;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no Loan Party, in its role as member or manager of the Double E Joint</w:t>
      </w:r>
      <w:r>
        <w:rPr>
          <w:rFonts w:ascii="Arial" w:cs="Arial" w:eastAsia="Arial" w:hAnsi="Arial"/>
          <w:sz w:val="19"/>
          <w:szCs w:val="19"/>
          <w:i w:val="1"/>
          <w:iCs w:val="1"/>
          <w:color w:val="auto"/>
        </w:rPr>
        <w:t xml:space="preserve"> </w:t>
      </w:r>
      <w:r>
        <w:rPr>
          <w:rFonts w:ascii="Arial" w:cs="Arial" w:eastAsia="Arial" w:hAnsi="Arial"/>
          <w:sz w:val="19"/>
          <w:szCs w:val="19"/>
          <w:color w:val="auto"/>
        </w:rPr>
        <w:t>Venture, shall vote to approve any Lien on any assets of the Double E Joint Venture if the imposition or existence of such Lien would result in Liens approved pursuant to this proviso in excess of U.S.$20.0 million at any time on assets of the Double E Joint Venture in the aggregate, (ii) the Equity Interests of the Double E Joint Venture that are not owned by the Borrower or a Restricted Subsidiary have no preferential rights to dividends or other distributions over the Equity Interests owned by the Borrower or a Restricted Subsidiary (other than any preferential rights to dividends or other distributions set forth in the Double E LLC Agreement as in effect on the Second Amendment Effective Date), (iii) the Borrower’s and each applicable Restricted Subsidiary’s Equity</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40"/>
          </w:cols>
          <w:pgMar w:left="1440" w:top="355" w:right="1119" w:bottom="1440" w:gutter="0" w:footer="0" w:header="0"/>
        </w:sectPr>
      </w:pPr>
    </w:p>
    <w:bookmarkStart w:id="62" w:name="page63"/>
    <w:bookmarkEnd w:id="62"/>
    <w:p>
      <w:pPr>
        <w:jc w:val="both"/>
        <w:ind w:left="1440"/>
        <w:spacing w:after="0" w:line="245" w:lineRule="auto"/>
        <w:rPr>
          <w:sz w:val="20"/>
          <w:szCs w:val="20"/>
          <w:color w:val="auto"/>
        </w:rPr>
      </w:pPr>
      <w:r>
        <w:rPr>
          <w:rFonts w:ascii="Arial" w:cs="Arial" w:eastAsia="Arial" w:hAnsi="Arial"/>
          <w:sz w:val="21"/>
          <w:szCs w:val="21"/>
          <w:color w:val="auto"/>
        </w:rPr>
        <w:t>Interests in the Double E Joint Venture are pledged in accordance with the Collateral and Guarantee Requirement and (iv) the Borrower or a Restricted Subsidiary shall own Equity Interests in the Double E Joint Venture sufficient to retain negative control with respect to matters requiring Required Approval (as defined in the Double E LLC Agreement as in effect on the Second Amendment Effective Date) (but in no event to be less than a 20% Percentage Interest (as defined in the Double E LLC Agreement as in effect on the Second Amendment Effective Date)) and (b) none of the Borrower or any Restricted Subsidiary has taken any action that would result in a breach of Section 6.09(f) at any time prior to the date of determination.</w:t>
      </w:r>
    </w:p>
    <w:p>
      <w:pPr>
        <w:spacing w:after="0" w:line="179" w:lineRule="exact"/>
        <w:rPr>
          <w:sz w:val="20"/>
          <w:szCs w:val="20"/>
          <w:color w:val="auto"/>
        </w:rPr>
      </w:pPr>
    </w:p>
    <w:p>
      <w:pPr>
        <w:jc w:val="both"/>
        <w:ind w:left="1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Double E Joint Venture Distribution Amount</w:t>
      </w:r>
      <w:r>
        <w:rPr>
          <w:rFonts w:ascii="Arial" w:cs="Arial" w:eastAsia="Arial" w:hAnsi="Arial"/>
          <w:sz w:val="22"/>
          <w:szCs w:val="22"/>
          <w:color w:val="auto"/>
        </w:rPr>
        <w:t>” shall have the meaning assigned to such term in the definition of “Consolidated Net Income”.</w:t>
      </w:r>
    </w:p>
    <w:p>
      <w:pPr>
        <w:spacing w:after="0" w:line="163" w:lineRule="exact"/>
        <w:rPr>
          <w:sz w:val="20"/>
          <w:szCs w:val="20"/>
          <w:color w:val="auto"/>
        </w:rPr>
      </w:pPr>
    </w:p>
    <w:p>
      <w:pPr>
        <w:jc w:val="both"/>
        <w:ind w:left="1440"/>
        <w:spacing w:after="0" w:line="33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LLC Agreement</w:t>
      </w:r>
      <w:r>
        <w:rPr>
          <w:rFonts w:ascii="Arial" w:cs="Arial" w:eastAsia="Arial" w:hAnsi="Arial"/>
          <w:sz w:val="19"/>
          <w:szCs w:val="19"/>
          <w:color w:val="auto"/>
        </w:rPr>
        <w:t>” shall mean that certain Amended and Restated Limited Liability Company Agreement of the Double E Joint Venture, dated as of June 26, 2019.</w:t>
      </w:r>
    </w:p>
    <w:p>
      <w:pPr>
        <w:spacing w:after="0" w:line="92" w:lineRule="exact"/>
        <w:rPr>
          <w:sz w:val="20"/>
          <w:szCs w:val="20"/>
          <w:color w:val="auto"/>
        </w:rPr>
      </w:pPr>
    </w:p>
    <w:p>
      <w:pPr>
        <w:jc w:val="both"/>
        <w:ind w:left="144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Double E Operations and Maintenance Agreement</w:t>
      </w:r>
      <w:r>
        <w:rPr>
          <w:rFonts w:ascii="Arial" w:cs="Arial" w:eastAsia="Arial" w:hAnsi="Arial"/>
          <w:sz w:val="22"/>
          <w:szCs w:val="22"/>
          <w:color w:val="auto"/>
        </w:rPr>
        <w:t>” shall mean that certain Operations and Maintenance Agreement, dated as of June 26, 2019, by and between Summit Midstream Permian II, LLC, a Delaware limited liability company, and the Double E Joint Venture.</w:t>
      </w:r>
    </w:p>
    <w:p>
      <w:pPr>
        <w:spacing w:after="0" w:line="181" w:lineRule="exact"/>
        <w:rPr>
          <w:sz w:val="20"/>
          <w:szCs w:val="20"/>
          <w:color w:val="auto"/>
        </w:rPr>
      </w:pPr>
    </w:p>
    <w:p>
      <w:pPr>
        <w:jc w:val="both"/>
        <w:ind w:left="1440"/>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Double E Transaction Documents</w:t>
      </w:r>
      <w:r>
        <w:rPr>
          <w:rFonts w:ascii="Arial" w:cs="Arial" w:eastAsia="Arial" w:hAnsi="Arial"/>
          <w:sz w:val="19"/>
          <w:szCs w:val="19"/>
          <w:color w:val="auto"/>
        </w:rPr>
        <w:t>” shall mean the Double E Contribution Agreement, the Double E LLC Agreement, the Double E Construction Management Agreement, the Double E Operations and Maintenance Agreement and the Double E Guaranty.</w:t>
      </w:r>
    </w:p>
    <w:p>
      <w:pPr>
        <w:spacing w:after="0" w:line="123" w:lineRule="exact"/>
        <w:rPr>
          <w:sz w:val="20"/>
          <w:szCs w:val="20"/>
          <w:color w:val="auto"/>
        </w:rPr>
      </w:pPr>
    </w:p>
    <w:p>
      <w:pPr>
        <w:jc w:val="both"/>
        <w:ind w:left="1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Initial Adjusted EBITDA Calculation</w:t>
      </w:r>
      <w:r>
        <w:rPr>
          <w:rFonts w:ascii="Arial" w:cs="Arial" w:eastAsia="Arial" w:hAnsi="Arial"/>
          <w:sz w:val="22"/>
          <w:szCs w:val="22"/>
          <w:color w:val="auto"/>
        </w:rPr>
        <w:t>” shall have the meaning assigned to such term in the definition of “EBITDA”.</w:t>
      </w:r>
    </w:p>
    <w:p>
      <w:pPr>
        <w:spacing w:after="0" w:line="163" w:lineRule="exact"/>
        <w:rPr>
          <w:sz w:val="20"/>
          <w:szCs w:val="20"/>
          <w:color w:val="auto"/>
        </w:rPr>
      </w:pPr>
    </w:p>
    <w:p>
      <w:pPr>
        <w:jc w:val="both"/>
        <w:ind w:left="144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w:t>
      </w:r>
      <w:r>
        <w:rPr>
          <w:rFonts w:ascii="Arial" w:cs="Arial" w:eastAsia="Arial" w:hAnsi="Arial"/>
          <w:sz w:val="22"/>
          <w:szCs w:val="22"/>
          <w:color w:val="auto"/>
        </w:rPr>
        <w:t>” shall have the meaning assigned to the term “qualified financial contract” in, and shall be interpreted in accordance with, 12 U.S.C. 5390(c)(8)(D).</w:t>
      </w:r>
    </w:p>
    <w:p>
      <w:pPr>
        <w:spacing w:after="0" w:line="163"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QFC Credit Support</w:t>
      </w:r>
      <w:r>
        <w:rPr>
          <w:rFonts w:ascii="Arial" w:cs="Arial" w:eastAsia="Arial" w:hAnsi="Arial"/>
          <w:sz w:val="19"/>
          <w:szCs w:val="19"/>
          <w:color w:val="auto"/>
        </w:rPr>
        <w:t>” shall have the meaning assigned to such term in Section 9.26.</w:t>
      </w:r>
    </w:p>
    <w:p>
      <w:pPr>
        <w:spacing w:after="0" w:line="241" w:lineRule="exact"/>
        <w:rPr>
          <w:sz w:val="20"/>
          <w:szCs w:val="20"/>
          <w:color w:val="auto"/>
        </w:rPr>
      </w:pPr>
    </w:p>
    <w:p>
      <w:pPr>
        <w:jc w:val="both"/>
        <w:ind w:left="1440"/>
        <w:spacing w:after="0" w:line="23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Second Amendment</w:t>
      </w:r>
      <w:r>
        <w:rPr>
          <w:rFonts w:ascii="Arial" w:cs="Arial" w:eastAsia="Arial" w:hAnsi="Arial"/>
          <w:sz w:val="22"/>
          <w:szCs w:val="22"/>
          <w:color w:val="auto"/>
        </w:rPr>
        <w:t>” shall mean that certain Second Amendment to Third Amended and Restated Credit Agreement, dated as of June 26, 2019, by and among the Borrower, the Subsidiary Loan Parties, the MLP Entity, the Administrative Agent, the Collateral Agent and the Lenders party thereto.</w:t>
      </w:r>
    </w:p>
    <w:p>
      <w:pPr>
        <w:spacing w:after="0" w:line="187"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63500</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340"/>
          </w:cols>
          <w:pgMar w:left="1440" w:top="361" w:right="1119" w:bottom="1440" w:gutter="0" w:footer="0" w:header="0"/>
        </w:sectPr>
      </w:pPr>
    </w:p>
    <w:bookmarkStart w:id="63" w:name="page64"/>
    <w:bookmarkEnd w:id="63"/>
    <w:p>
      <w:pPr>
        <w:ind w:left="2640" w:right="880"/>
        <w:spacing w:after="0" w:line="28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Second Amendment Effective Date</w:t>
      </w:r>
      <w:r>
        <w:rPr>
          <w:rFonts w:ascii="Arial" w:cs="Arial" w:eastAsia="Arial" w:hAnsi="Arial"/>
          <w:sz w:val="21"/>
          <w:szCs w:val="21"/>
          <w:color w:val="auto"/>
        </w:rPr>
        <w:t>” shall mean the first date on which all of the conditions specified in Section 4 of the Second Amendment have been satisfied.</w:t>
      </w:r>
    </w:p>
    <w:p>
      <w:pPr>
        <w:spacing w:after="0" w:line="139"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Supported QFC</w:t>
      </w:r>
      <w:r>
        <w:rPr>
          <w:rFonts w:ascii="Arial" w:cs="Arial" w:eastAsia="Arial" w:hAnsi="Arial"/>
          <w:sz w:val="22"/>
          <w:szCs w:val="22"/>
          <w:color w:val="auto"/>
        </w:rPr>
        <w:t>” shall have the meaning assigned to such term in Section 9.26.</w:t>
      </w:r>
    </w:p>
    <w:p>
      <w:pPr>
        <w:spacing w:after="0" w:line="206" w:lineRule="exact"/>
        <w:rPr>
          <w:sz w:val="20"/>
          <w:szCs w:val="20"/>
          <w:color w:val="auto"/>
        </w:rPr>
      </w:pPr>
    </w:p>
    <w:p>
      <w:pPr>
        <w:ind w:left="2640" w:right="880"/>
        <w:spacing w:after="0" w:line="25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Special Resolution Regimes</w:t>
      </w:r>
      <w:r>
        <w:rPr>
          <w:rFonts w:ascii="Arial" w:cs="Arial" w:eastAsia="Arial" w:hAnsi="Arial"/>
          <w:sz w:val="22"/>
          <w:szCs w:val="22"/>
          <w:color w:val="auto"/>
        </w:rPr>
        <w:t>” shall have the meaning assigned to such term in Section 9.26.</w:t>
      </w:r>
    </w:p>
    <w:p>
      <w:pPr>
        <w:spacing w:after="0" w:line="169" w:lineRule="exact"/>
        <w:rPr>
          <w:sz w:val="20"/>
          <w:szCs w:val="20"/>
          <w:color w:val="auto"/>
        </w:rPr>
      </w:pPr>
    </w:p>
    <w:p>
      <w:pPr>
        <w:ind w:firstLine="1763"/>
        <w:spacing w:after="0" w:line="251" w:lineRule="auto"/>
        <w:tabs>
          <w:tab w:leader="none" w:pos="2727"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definition of “Collateral and Guarantee Requirement” in the Credit Agreement is amended by amending and restating sub-clause (d) thereof in its entirety as follows:</w:t>
      </w:r>
    </w:p>
    <w:p>
      <w:pPr>
        <w:spacing w:after="0" w:line="173" w:lineRule="exact"/>
        <w:rPr>
          <w:sz w:val="20"/>
          <w:szCs w:val="20"/>
          <w:color w:val="auto"/>
        </w:rPr>
      </w:pPr>
    </w:p>
    <w:p>
      <w:pPr>
        <w:jc w:val="both"/>
        <w:ind w:left="2640"/>
        <w:spacing w:after="0" w:line="273" w:lineRule="auto"/>
        <w:rPr>
          <w:sz w:val="20"/>
          <w:szCs w:val="20"/>
          <w:color w:val="auto"/>
        </w:rPr>
      </w:pPr>
      <w:r>
        <w:rPr>
          <w:rFonts w:ascii="Arial" w:cs="Arial" w:eastAsia="Arial" w:hAnsi="Arial"/>
          <w:sz w:val="19"/>
          <w:szCs w:val="19"/>
          <w:color w:val="auto"/>
        </w:rPr>
        <w:t>“(d) all Equity Interests of (i) each Loan Party (other than the MLP Entity), (ii) each Included Entity and (iii) each Ohio Joint Venture and the Double E Joint Venture (in the case of this clause (iii), to the extent directly owned by any Loan Party) shall have been pledged (or shall be pledged concurrently with the actions making such Equity Interests subject to this provision) in accordance with the Collateral Agreement, except, in each case, to the extent that a pledge of such Equity Interests is not permitted under Section 9.21, and the Collateral Agent shall have received (or shall receive concurrently with the actions making such Equity Interests subject to this provision) all certificates or other instruments (if any) representing such Equity Interests, together with stock powers or other instruments of transfer with respect thereto endorsed in blank, or shall have otherwise received a security interest over such Equity Interests satisfactory to the Collateral Agent;”</w:t>
      </w:r>
    </w:p>
    <w:p>
      <w:pPr>
        <w:spacing w:after="0" w:line="162" w:lineRule="exact"/>
        <w:rPr>
          <w:sz w:val="20"/>
          <w:szCs w:val="20"/>
          <w:color w:val="auto"/>
        </w:rPr>
      </w:pPr>
    </w:p>
    <w:p>
      <w:pPr>
        <w:jc w:val="both"/>
        <w:ind w:firstLine="1763"/>
        <w:spacing w:after="0" w:line="276" w:lineRule="auto"/>
        <w:tabs>
          <w:tab w:leader="none" w:pos="2715" w:val="left"/>
        </w:tabs>
        <w:numPr>
          <w:ilvl w:val="1"/>
          <w:numId w:val="63"/>
        </w:numPr>
        <w:rPr>
          <w:rFonts w:ascii="Arial" w:cs="Arial" w:eastAsia="Arial" w:hAnsi="Arial"/>
          <w:sz w:val="19"/>
          <w:szCs w:val="19"/>
          <w:color w:val="auto"/>
        </w:rPr>
      </w:pPr>
      <w:r>
        <w:rPr>
          <w:rFonts w:ascii="Arial" w:cs="Arial" w:eastAsia="Arial" w:hAnsi="Arial"/>
          <w:sz w:val="19"/>
          <w:szCs w:val="19"/>
          <w:color w:val="auto"/>
        </w:rPr>
        <w:t>The definition of “Consolidated Net Income” in the Credit Agreement is amended by amending sub-clause (e) by amending and restating (e)(i) in its entirety as follows, adding “and” at the end of (e)(ii) and inserting a new (e)</w:t>
      </w:r>
    </w:p>
    <w:p>
      <w:pPr>
        <w:spacing w:after="0" w:line="1" w:lineRule="exact"/>
        <w:rPr>
          <w:rFonts w:ascii="Arial" w:cs="Arial" w:eastAsia="Arial" w:hAnsi="Arial"/>
          <w:sz w:val="19"/>
          <w:szCs w:val="19"/>
          <w:color w:val="auto"/>
        </w:rPr>
      </w:pPr>
    </w:p>
    <w:p>
      <w:pPr>
        <w:ind w:left="380" w:hanging="372"/>
        <w:spacing w:after="0"/>
        <w:tabs>
          <w:tab w:leader="none" w:pos="3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as follows:</w:t>
      </w:r>
    </w:p>
    <w:p>
      <w:pPr>
        <w:spacing w:after="0" w:line="188" w:lineRule="exact"/>
        <w:rPr>
          <w:sz w:val="20"/>
          <w:szCs w:val="20"/>
          <w:color w:val="auto"/>
        </w:rPr>
      </w:pPr>
    </w:p>
    <w:p>
      <w:pPr>
        <w:ind w:left="2640"/>
        <w:spacing w:after="0"/>
        <w:tabs>
          <w:tab w:leader="none" w:pos="356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any Person that is not (A) a Restricted Subsidiary, (B) an Ohio Joint Venture,</w:t>
      </w:r>
    </w:p>
    <w:p>
      <w:pPr>
        <w:spacing w:after="0" w:line="8" w:lineRule="exact"/>
        <w:rPr>
          <w:sz w:val="20"/>
          <w:szCs w:val="20"/>
          <w:color w:val="auto"/>
        </w:rPr>
      </w:pPr>
    </w:p>
    <w:p>
      <w:pPr>
        <w:ind w:left="2640" w:right="880" w:firstLine="2"/>
        <w:spacing w:after="0" w:line="237" w:lineRule="auto"/>
        <w:tabs>
          <w:tab w:leader="none" w:pos="2999"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 Included Entity or (D) the Double E Joint Venture, or that is accounted for by the equity method of accounting,”</w:t>
      </w:r>
    </w:p>
    <w:p>
      <w:pPr>
        <w:spacing w:after="0" w:line="185" w:lineRule="exact"/>
        <w:rPr>
          <w:sz w:val="20"/>
          <w:szCs w:val="20"/>
          <w:color w:val="auto"/>
        </w:rPr>
      </w:pPr>
    </w:p>
    <w:p>
      <w:pPr>
        <w:jc w:val="both"/>
        <w:ind w:left="2640" w:right="880"/>
        <w:spacing w:after="0" w:line="246" w:lineRule="auto"/>
        <w:rPr>
          <w:sz w:val="20"/>
          <w:szCs w:val="20"/>
          <w:color w:val="auto"/>
        </w:rPr>
      </w:pPr>
      <w:r>
        <w:rPr>
          <w:rFonts w:ascii="Arial" w:cs="Arial" w:eastAsia="Arial" w:hAnsi="Arial"/>
          <w:sz w:val="21"/>
          <w:szCs w:val="21"/>
          <w:color w:val="auto"/>
        </w:rPr>
        <w:t>“(iii) the Double E Joint Venture (such amount for such period is hereinafter referred to as the “</w:t>
      </w:r>
      <w:r>
        <w:rPr>
          <w:rFonts w:ascii="Arial" w:cs="Arial" w:eastAsia="Arial" w:hAnsi="Arial"/>
          <w:sz w:val="21"/>
          <w:szCs w:val="21"/>
          <w:b w:val="1"/>
          <w:bCs w:val="1"/>
          <w:color w:val="auto"/>
        </w:rPr>
        <w:t>Double E Joint Venture Distribution Amount</w:t>
      </w:r>
      <w:r>
        <w:rPr>
          <w:rFonts w:ascii="Arial" w:cs="Arial" w:eastAsia="Arial" w:hAnsi="Arial"/>
          <w:sz w:val="21"/>
          <w:szCs w:val="21"/>
          <w:color w:val="auto"/>
        </w:rPr>
        <w:t xml:space="preserve">”); </w:t>
      </w:r>
      <w:r>
        <w:rPr>
          <w:rFonts w:ascii="Arial" w:cs="Arial" w:eastAsia="Arial" w:hAnsi="Arial"/>
          <w:sz w:val="21"/>
          <w:szCs w:val="21"/>
          <w:i w:val="1"/>
          <w:iCs w:val="1"/>
          <w:color w:val="auto"/>
        </w:rPr>
        <w:t>provided</w:t>
      </w:r>
      <w:r>
        <w:rPr>
          <w:rFonts w:ascii="Arial" w:cs="Arial" w:eastAsia="Arial" w:hAnsi="Arial"/>
          <w:sz w:val="21"/>
          <w:szCs w:val="21"/>
          <w:color w:val="auto"/>
        </w:rPr>
        <w:t>, that (A) the inclusion of this clause (e)(iii) for such calculation period is subject to the final sentence in the definition of “EBITDA”, (B) the Double E Joint Venture Distribution Amount for any quarter shall include cash dividends, cash distributions and other payments paid in cash to (or converted into cash by) the Borrower or a Restricted Subsidiary pursuant to this clause (e)(iii) in respect of such period whether such amount was actually received during the period or thereafter, but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4" w:name="page65"/>
    <w:bookmarkEnd w:id="64"/>
    <w:p>
      <w:pPr>
        <w:jc w:val="both"/>
        <w:ind w:left="2580" w:right="820"/>
        <w:spacing w:after="0" w:line="235" w:lineRule="auto"/>
        <w:rPr>
          <w:sz w:val="20"/>
          <w:szCs w:val="20"/>
          <w:color w:val="auto"/>
        </w:rPr>
      </w:pPr>
      <w:r>
        <w:rPr>
          <w:rFonts w:ascii="Arial" w:cs="Arial" w:eastAsia="Arial" w:hAnsi="Arial"/>
          <w:sz w:val="22"/>
          <w:szCs w:val="22"/>
          <w:color w:val="auto"/>
        </w:rPr>
        <w:t xml:space="preserve">only to the extent received prior to the date of calculation, and (C) the Double E Joint Venture Conditions shall be satisfied for such calculation period; </w:t>
      </w:r>
      <w:r>
        <w:rPr>
          <w:rFonts w:ascii="Arial" w:cs="Arial" w:eastAsia="Arial" w:hAnsi="Arial"/>
          <w:sz w:val="22"/>
          <w:szCs w:val="22"/>
          <w:i w:val="1"/>
          <w:iCs w:val="1"/>
          <w:color w:val="auto"/>
        </w:rPr>
        <w:t>provided, further</w:t>
      </w:r>
      <w:r>
        <w:rPr>
          <w:rFonts w:ascii="Arial" w:cs="Arial" w:eastAsia="Arial" w:hAnsi="Arial"/>
          <w:sz w:val="22"/>
          <w:szCs w:val="22"/>
          <w:color w:val="auto"/>
        </w:rPr>
        <w:t>, that in no event shall any distribution by the Double E Joint Venture of the Exxon Equity Option Price (as defined in the Double E LLC Agreement on the Second Amendment Effective Date) to the Borrower or any Restricted Subsidiary be included in Consolidated Net Income for any calculation period,”</w:t>
      </w:r>
    </w:p>
    <w:p>
      <w:pPr>
        <w:spacing w:after="0" w:line="188" w:lineRule="exact"/>
        <w:rPr>
          <w:sz w:val="20"/>
          <w:szCs w:val="20"/>
          <w:color w:val="auto"/>
        </w:rPr>
      </w:pPr>
    </w:p>
    <w:p>
      <w:pPr>
        <w:ind w:left="-60" w:firstLine="1763"/>
        <w:spacing w:after="0" w:line="251" w:lineRule="auto"/>
        <w:tabs>
          <w:tab w:leader="none" w:pos="2595"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definition of “EBITDA” in the Credit Agreement is amended by amending and restating the last paragraph thereof in its entirety as follows:</w:t>
      </w:r>
    </w:p>
    <w:p>
      <w:pPr>
        <w:spacing w:after="0" w:line="173" w:lineRule="exact"/>
        <w:rPr>
          <w:sz w:val="20"/>
          <w:szCs w:val="20"/>
          <w:color w:val="auto"/>
        </w:rPr>
      </w:pPr>
    </w:p>
    <w:p>
      <w:pPr>
        <w:jc w:val="both"/>
        <w:ind w:left="2580" w:right="820"/>
        <w:spacing w:after="0" w:line="268" w:lineRule="auto"/>
        <w:rPr>
          <w:sz w:val="20"/>
          <w:szCs w:val="20"/>
          <w:color w:val="auto"/>
        </w:rPr>
      </w:pPr>
      <w:r>
        <w:rPr>
          <w:rFonts w:ascii="Arial" w:cs="Arial" w:eastAsia="Arial" w:hAnsi="Arial"/>
          <w:sz w:val="19"/>
          <w:szCs w:val="19"/>
          <w:color w:val="auto"/>
        </w:rPr>
        <w:t>“For each calculation period, in order to determine EBITDA for such period, the Borrower shall make two separate calculations of EBITDA, with the first (x) to include in such calculation an amount equal to the Ohio Joint Venture Aggregate EBITDA for such calculation period, but excluding the Ohio Joint Venture Distribution Amount for such calculation period; provided, that (A) the sum of (i) all Material Project EBITDA Adjustments for such calculation period, (ii) all EBITDA for such calculation period that is attributable to Included Entities, (iii) all payments described in clause (e)(i) of the definition of “Consolidated Net Income” included in EBITDA for such calculation period and (iv) the Ohio Joint Venture Aggregate EBITDA for such calculation period shall not exceed 30% of Unadjusted EBITDA for such period and, for the avoidance of doubt, if the sum of clauses (i) through (iv) of this clause (A) exceeds 30% of Unadjusted EBITDA for such period, the calculated amount pursuant to this clause (A) shall be deemed to be the amount equal to 30% of Unadjusted EBITDA (such amount calculated pursuant to clause</w:t>
      </w:r>
    </w:p>
    <w:p>
      <w:pPr>
        <w:spacing w:after="0" w:line="7" w:lineRule="exact"/>
        <w:rPr>
          <w:sz w:val="20"/>
          <w:szCs w:val="20"/>
          <w:color w:val="auto"/>
        </w:rPr>
      </w:pPr>
    </w:p>
    <w:p>
      <w:pPr>
        <w:jc w:val="both"/>
        <w:ind w:left="2580" w:right="820" w:firstLine="2"/>
        <w:spacing w:after="0" w:line="267" w:lineRule="auto"/>
        <w:tabs>
          <w:tab w:leader="none" w:pos="2938" w:val="left"/>
        </w:tabs>
        <w:numPr>
          <w:ilvl w:val="0"/>
          <w:numId w:val="67"/>
        </w:numPr>
        <w:rPr>
          <w:rFonts w:ascii="Arial" w:cs="Arial" w:eastAsia="Arial" w:hAnsi="Arial"/>
          <w:sz w:val="19"/>
          <w:szCs w:val="19"/>
          <w:color w:val="auto"/>
        </w:rPr>
      </w:pPr>
      <w:r>
        <w:rPr>
          <w:rFonts w:ascii="Arial" w:cs="Arial" w:eastAsia="Arial" w:hAnsi="Arial"/>
          <w:sz w:val="19"/>
          <w:szCs w:val="19"/>
          <w:color w:val="auto"/>
        </w:rPr>
        <w:t>means the “</w:t>
      </w:r>
      <w:r>
        <w:rPr>
          <w:rFonts w:ascii="Arial" w:cs="Arial" w:eastAsia="Arial" w:hAnsi="Arial"/>
          <w:sz w:val="19"/>
          <w:szCs w:val="19"/>
          <w:b w:val="1"/>
          <w:bCs w:val="1"/>
          <w:color w:val="auto"/>
        </w:rPr>
        <w:t>Initial Adjusted EBITDA Calculation</w:t>
      </w:r>
      <w:r>
        <w:rPr>
          <w:rFonts w:ascii="Arial" w:cs="Arial" w:eastAsia="Arial" w:hAnsi="Arial"/>
          <w:sz w:val="19"/>
          <w:szCs w:val="19"/>
          <w:color w:val="auto"/>
        </w:rPr>
        <w:t>”) and (B) the sum of (i) the Initial Adjusted EBITDA Calculation for such calculation period and (ii) the Double E Joint Venture Distribution Amount for such calculation period shall not exceed 50% of Unadjusted EBITDA for such period and, for the avoidance of doubt, if the sum of clauses</w:t>
      </w:r>
    </w:p>
    <w:p>
      <w:pPr>
        <w:jc w:val="both"/>
        <w:ind w:left="2580" w:right="820"/>
        <w:spacing w:after="0" w:line="243" w:lineRule="auto"/>
        <w:rPr>
          <w:rFonts w:ascii="Arial" w:cs="Arial" w:eastAsia="Arial" w:hAnsi="Arial"/>
          <w:sz w:val="19"/>
          <w:szCs w:val="19"/>
          <w:color w:val="auto"/>
        </w:rPr>
      </w:pPr>
      <w:r>
        <w:rPr>
          <w:rFonts w:ascii="Arial" w:cs="Arial" w:eastAsia="Arial" w:hAnsi="Arial"/>
          <w:sz w:val="21"/>
          <w:szCs w:val="21"/>
          <w:color w:val="auto"/>
        </w:rPr>
        <w:t>(i) and (ii) of this clause (B) exceeds 50% of Unadjusted EBITDA for such period, the calculated amount pursuant to this clause (x) shall be deemed to be the amount equal to 50% of Unadjusted EBITDA (such amount calculated pursuant to this clause (x) means the “</w:t>
      </w:r>
      <w:r>
        <w:rPr>
          <w:rFonts w:ascii="Arial" w:cs="Arial" w:eastAsia="Arial" w:hAnsi="Arial"/>
          <w:sz w:val="21"/>
          <w:szCs w:val="21"/>
          <w:b w:val="1"/>
          <w:bCs w:val="1"/>
          <w:color w:val="auto"/>
        </w:rPr>
        <w:t>Proportional EBITDA Amount</w:t>
      </w:r>
      <w:r>
        <w:rPr>
          <w:rFonts w:ascii="Arial" w:cs="Arial" w:eastAsia="Arial" w:hAnsi="Arial"/>
          <w:sz w:val="21"/>
          <w:szCs w:val="21"/>
          <w:color w:val="auto"/>
        </w:rPr>
        <w:t>”), and the second (y) to include in such calculation the Ohio Joint Venture Distribution Amount for such calculation period, but excluding the Ohio Joint Venture Aggregate EBITDA for such calculation period; provided, that the sum of (i) the Ohio Joint Venture Distribution Amount for such calculation period, (ii) the Double E Joint Venture Distribution Amount for such calculation period and (iii) the amount of Material Project EBITDA</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63500</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361" w:right="299" w:bottom="1440" w:gutter="0" w:footer="0" w:header="0"/>
        </w:sectPr>
      </w:pPr>
    </w:p>
    <w:bookmarkStart w:id="65" w:name="page66"/>
    <w:bookmarkEnd w:id="65"/>
    <w:p>
      <w:pPr>
        <w:jc w:val="both"/>
        <w:ind w:left="2640" w:right="880"/>
        <w:spacing w:after="0" w:line="274" w:lineRule="auto"/>
        <w:rPr>
          <w:sz w:val="20"/>
          <w:szCs w:val="20"/>
          <w:color w:val="auto"/>
        </w:rPr>
      </w:pPr>
      <w:r>
        <w:rPr>
          <w:rFonts w:ascii="Arial" w:cs="Arial" w:eastAsia="Arial" w:hAnsi="Arial"/>
          <w:sz w:val="19"/>
          <w:szCs w:val="19"/>
          <w:color w:val="auto"/>
        </w:rPr>
        <w:t>Adjustment attributable to the Double E Joint Venture, pursuant to clause (a)(ii) of the definition of Material Project EBITDA for such calculation period shall not exceed 50% of Unadjusted EBITDA for such period and, for the avoidance of doubt, if the sum of the foregoing clauses (i) through (iii) exceeds 50% of Unadjusted EBITDA for such period, the calculated amount pursuant to this clause (y) shall be deemed to be the amount equal to 50% of Unadjusted EBITDA (such amount calculated pursuant to this clause (y) means the “</w:t>
      </w:r>
      <w:r>
        <w:rPr>
          <w:rFonts w:ascii="Arial" w:cs="Arial" w:eastAsia="Arial" w:hAnsi="Arial"/>
          <w:sz w:val="19"/>
          <w:szCs w:val="19"/>
          <w:b w:val="1"/>
          <w:bCs w:val="1"/>
          <w:color w:val="auto"/>
        </w:rPr>
        <w:t>Distribution EBITDA Amount</w:t>
      </w:r>
      <w:r>
        <w:rPr>
          <w:rFonts w:ascii="Arial" w:cs="Arial" w:eastAsia="Arial" w:hAnsi="Arial"/>
          <w:sz w:val="19"/>
          <w:szCs w:val="19"/>
          <w:color w:val="auto"/>
        </w:rPr>
        <w:t>”). The EBITDA of the Borrower for such calculation period shall be the greater of (A) Proportional EBITDA Amount for such calculation period and (B) the Distribution EBITDA Amount for such calculation period.”</w:t>
      </w:r>
    </w:p>
    <w:p>
      <w:pPr>
        <w:spacing w:after="0" w:line="159" w:lineRule="exact"/>
        <w:rPr>
          <w:sz w:val="20"/>
          <w:szCs w:val="20"/>
          <w:color w:val="auto"/>
        </w:rPr>
      </w:pPr>
    </w:p>
    <w:p>
      <w:pPr>
        <w:ind w:right="220" w:firstLine="1763"/>
        <w:spacing w:after="0" w:line="251" w:lineRule="auto"/>
        <w:tabs>
          <w:tab w:leader="none" w:pos="2715"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definition of “Material Project EBITDA Adjustment” in the Credit Agreement is amended by amending and restating clause (a) thereof in its entirety as follows:</w:t>
      </w:r>
    </w:p>
    <w:p>
      <w:pPr>
        <w:spacing w:after="0" w:line="173" w:lineRule="exact"/>
        <w:rPr>
          <w:sz w:val="20"/>
          <w:szCs w:val="20"/>
          <w:color w:val="auto"/>
        </w:rPr>
      </w:pPr>
    </w:p>
    <w:p>
      <w:pPr>
        <w:jc w:val="both"/>
        <w:ind w:left="2640"/>
        <w:spacing w:after="0" w:line="269" w:lineRule="auto"/>
        <w:rPr>
          <w:sz w:val="20"/>
          <w:szCs w:val="20"/>
          <w:color w:val="auto"/>
        </w:rPr>
      </w:pPr>
      <w:r>
        <w:rPr>
          <w:rFonts w:ascii="Arial" w:cs="Arial" w:eastAsia="Arial" w:hAnsi="Arial"/>
          <w:sz w:val="19"/>
          <w:szCs w:val="19"/>
          <w:color w:val="auto"/>
        </w:rPr>
        <w:t>“(a) prior to the date on which a Material Project has achieved commercial operation (the “</w:t>
      </w:r>
      <w:r>
        <w:rPr>
          <w:rFonts w:ascii="Arial" w:cs="Arial" w:eastAsia="Arial" w:hAnsi="Arial"/>
          <w:sz w:val="19"/>
          <w:szCs w:val="19"/>
          <w:b w:val="1"/>
          <w:bCs w:val="1"/>
          <w:color w:val="auto"/>
        </w:rPr>
        <w:t>Commercial Operation Date</w:t>
      </w:r>
      <w:r>
        <w:rPr>
          <w:rFonts w:ascii="Arial" w:cs="Arial" w:eastAsia="Arial" w:hAnsi="Arial"/>
          <w:sz w:val="19"/>
          <w:szCs w:val="19"/>
          <w:color w:val="auto"/>
        </w:rPr>
        <w:t xml:space="preserve">”) (but including the fiscal quarter in which such Commercial Operation Date occurs), a percentage (based on the then-current completion percentage of such Material Project as of the date of determination) of an amount to be approved by Administrative Agent as the projected EBITDA attributable to such Material Project for the first 12-month period following the scheduled Commercial Operation Date of such Material Project (such amount to be determined based on (i) forecasted income to be derived from binding contracts </w:t>
      </w:r>
      <w:r>
        <w:rPr>
          <w:rFonts w:ascii="Arial" w:cs="Arial" w:eastAsia="Arial" w:hAnsi="Arial"/>
          <w:sz w:val="19"/>
          <w:szCs w:val="19"/>
          <w:u w:val="single" w:color="auto"/>
          <w:color w:val="auto"/>
        </w:rPr>
        <w:t>less</w:t>
      </w:r>
      <w:r>
        <w:rPr>
          <w:rFonts w:ascii="Arial" w:cs="Arial" w:eastAsia="Arial" w:hAnsi="Arial"/>
          <w:sz w:val="19"/>
          <w:szCs w:val="19"/>
          <w:color w:val="auto"/>
        </w:rPr>
        <w:t xml:space="preserve"> appropriate direct and indirect costs to realize such income and (ii) in the case of the Double E Joint Venture for any period for which the Double E Joint Venture Conditions are satisfied, forecasted distributions to be made by the Double E Joint Venture to the Borrower or a Restricted Subsidiary (calculated based upon the Borrower’s ownership interest in the Double E Joint Venture as of the date of determination)), which amount may, at Borrower’s option, be added to actual EBITDA for the fiscal quarter in which construction or expansion of such Material Project commences and for each fiscal quarter thereafter until the Commercial Operation Date of such Material Project (including the fiscal quarter in which such Commercial Operation Date occurs, but net of any actual EBITDA attributable to such Material Project following such Commercial Operation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 actual Commercial Operation Date does not occur by the scheduled Commercial Operation Date, then the foregoing amount shall be reduced, for quarters ending after the scheduled Commercial Operation Date to (but excluding) the first full quarter after its Commercial Operation Date, by the following percentage amounts depending on the period of delay (based on the period of actual delay or then-estimated delay, whichever is longer): (i) 90 days or less, 0%, (ii) longer than 90 days, but not more than 180 days, 25%, (iii) longer than 180 days but not more than 270 days, 50%, (iv) longer than 270 days but not more than 365 days, 75%, and (v) longer than 365 days, 100%;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6" w:name="page67"/>
    <w:bookmarkEnd w:id="66"/>
    <w:p>
      <w:pPr>
        <w:ind w:left="-160" w:firstLine="1763"/>
        <w:spacing w:after="0" w:line="251" w:lineRule="auto"/>
        <w:tabs>
          <w:tab w:leader="none" w:pos="2615"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definition of “Unrestricted Subsidiary” in the Credit Agreement is amended by amending and restating clauses (a) and (d) thereof in their entirety as follows:</w:t>
      </w:r>
    </w:p>
    <w:p>
      <w:pPr>
        <w:spacing w:after="0" w:line="173" w:lineRule="exact"/>
        <w:rPr>
          <w:sz w:val="20"/>
          <w:szCs w:val="20"/>
          <w:color w:val="auto"/>
        </w:rPr>
      </w:pPr>
    </w:p>
    <w:p>
      <w:pPr>
        <w:jc w:val="both"/>
        <w:ind w:left="2480" w:right="720"/>
        <w:spacing w:after="0" w:line="270" w:lineRule="auto"/>
        <w:rPr>
          <w:sz w:val="20"/>
          <w:szCs w:val="20"/>
          <w:color w:val="auto"/>
        </w:rPr>
      </w:pPr>
      <w:r>
        <w:rPr>
          <w:rFonts w:ascii="Arial" w:cs="Arial" w:eastAsia="Arial" w:hAnsi="Arial"/>
          <w:sz w:val="19"/>
          <w:szCs w:val="19"/>
          <w:color w:val="auto"/>
        </w:rPr>
        <w:t>“(a) that is designated by the Borrower as an Unrestricted Subsidiary in a written notice provided to the Administrative Agent (which such notice shall include a certification by a Responsible Officer of the Borrower that (i) both before and after giving effect to such designation, no Default or Event of Default shall have occurred and be continuing, and (ii) such designation complies with all requirements set forth in this definition, including that (x) at the time such Subsidiary is being designated as an Unrestricted Subsidiary, the Borrower or any of its Restricted Subsidiaries are permitted to make Investments pursuant to the terms of Section 6.04(a)(i), 6.04(i), 6.04(k) or 6.04(t), as applicable, in an amount equal to the Investments previously made in the Subsidiary being designated an Unrestricted Subsidiary and that have not been repaid by such Subsidiary as dividends or distributions to any Loan Party, and (y) the amount of such Investments previously made by the Borrower or any of its Restricted Subsidiaries in such Subsidiary being designated an Unrestricted Subsidiary during the period from the Restatement Date to the applicable date of determination, and that have not been repaid via dividend or distribution to the Borrower or a Restricted Subsidiary, shall be included in the calculation of the aggregate amount of Investments permitted under Section 6.04(a)(i), 6.04(i), 6.04(k) and 6.04(t)).”</w:t>
      </w:r>
    </w:p>
    <w:p>
      <w:pPr>
        <w:spacing w:after="0" w:line="200" w:lineRule="exact"/>
        <w:rPr>
          <w:sz w:val="20"/>
          <w:szCs w:val="20"/>
          <w:color w:val="auto"/>
        </w:rPr>
      </w:pPr>
    </w:p>
    <w:p>
      <w:pPr>
        <w:spacing w:after="0" w:line="216" w:lineRule="exact"/>
        <w:rPr>
          <w:sz w:val="20"/>
          <w:szCs w:val="20"/>
          <w:color w:val="auto"/>
        </w:rPr>
      </w:pPr>
    </w:p>
    <w:p>
      <w:pPr>
        <w:jc w:val="both"/>
        <w:ind w:left="2480" w:right="720"/>
        <w:spacing w:after="0" w:line="273" w:lineRule="auto"/>
        <w:rPr>
          <w:sz w:val="20"/>
          <w:szCs w:val="20"/>
          <w:color w:val="auto"/>
        </w:rPr>
      </w:pPr>
      <w:r>
        <w:rPr>
          <w:rFonts w:ascii="Arial" w:cs="Arial" w:eastAsia="Arial" w:hAnsi="Arial"/>
          <w:sz w:val="19"/>
          <w:szCs w:val="19"/>
          <w:color w:val="auto"/>
        </w:rPr>
        <w:t>“(d) that after giving effect to such designation, as to which (i) neither the Borrower nor any Restricted Subsidiary has or would have any direct or indirect obligation for any obligation or liability of such Unrestricted Subsidiary, and (ii) neither the Borrower nor any Restricted Subsidiary is required to maintain or preserve such Unrestricted Subsidiary’s financial condition or to cause such Person to achieve any specified levels of operating results, other than, in the case of clauses (i) and (ii), Guarantees that are permitted under Section 6.01 and Section 6.04 by the Borrower or any Restricted Subsidiary of obligations of any Unrestricted Subsidiary and other than (except in the case of any Included Entity or the Double E Joint Venture) the pledge by the Borrower or any Restricted Subsidiary of its Equity Interests in such Unrestricted Subsidiary to support Non-Recourse Debt of such Unrestricted Subsidiary.”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63500</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400" w:top="361" w:right="399" w:bottom="1440" w:gutter="0" w:footer="0" w:header="0"/>
        </w:sectPr>
      </w:pPr>
    </w:p>
    <w:bookmarkStart w:id="67" w:name="page68"/>
    <w:bookmarkEnd w:id="67"/>
    <w:p>
      <w:pPr>
        <w:ind w:left="1780" w:hanging="895"/>
        <w:spacing w:after="0"/>
        <w:tabs>
          <w:tab w:leader="none" w:pos="17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Section 1.02 of the Credit Agreement is hereby amended by inserting the following sentence at the end thereof</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as follows:</w:t>
      </w:r>
    </w:p>
    <w:p>
      <w:pPr>
        <w:spacing w:after="0" w:line="188" w:lineRule="exact"/>
        <w:rPr>
          <w:sz w:val="20"/>
          <w:szCs w:val="20"/>
          <w:color w:val="auto"/>
        </w:rPr>
      </w:pPr>
    </w:p>
    <w:p>
      <w:pPr>
        <w:jc w:val="both"/>
        <w:ind w:left="880" w:firstLine="810"/>
        <w:spacing w:after="0" w:line="271" w:lineRule="auto"/>
        <w:rPr>
          <w:sz w:val="20"/>
          <w:szCs w:val="20"/>
          <w:color w:val="auto"/>
        </w:rPr>
      </w:pPr>
      <w:r>
        <w:rPr>
          <w:rFonts w:ascii="Arial" w:cs="Arial" w:eastAsia="Arial" w:hAnsi="Arial"/>
          <w:sz w:val="19"/>
          <w:szCs w:val="19"/>
          <w:color w:val="auto"/>
        </w:rPr>
        <w:t xml:space="preserve">“Notwithstanding any other provision contained herein, all terms of an accounting or financial nature used herein shall be construed, and all computations of amounts and ratios referred to herein shall be made, (A) without giving effect to any election under Financial Accounting Standards Board Accounting Standards Codification 825 (or any other Accounting Standards Codification or Financial Accounting Standard having a similar result or effect) (and related interpretations) to value any Indebtedness or other liabilities of the Borrower or any Subsidiary at “fair value”, as defined therein, (B)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and (C) without giving effect to any change to GAAP occurring after the Restatement Date as a result of the adoption of any proposals set forth in the </w:t>
      </w:r>
      <w:r>
        <w:rPr>
          <w:rFonts w:ascii="Arial" w:cs="Arial" w:eastAsia="Arial" w:hAnsi="Arial"/>
          <w:sz w:val="19"/>
          <w:szCs w:val="19"/>
          <w:i w:val="1"/>
          <w:iCs w:val="1"/>
          <w:color w:val="auto"/>
        </w:rPr>
        <w:t>Proposed Accounting Standards Update, Leases (Topic 842)</w:t>
      </w:r>
      <w:r>
        <w:rPr>
          <w:rFonts w:ascii="Arial" w:cs="Arial" w:eastAsia="Arial" w:hAnsi="Arial"/>
          <w:sz w:val="19"/>
          <w:szCs w:val="19"/>
          <w:color w:val="auto"/>
        </w:rPr>
        <w:t>, issued by the Financial Accounting Standards Board on February 25, 2016, or any other updates or proposals issued by the Financial Accounting Standards Board in connection therewith, in each case if such change would require treating any lease (or similar arrangement conveying the right to use) as a capital lease where such lease (or such similar arrangement) was not required to be so treated under GAAP as in effect on the Restatement Date.”</w:t>
      </w:r>
    </w:p>
    <w:p>
      <w:pPr>
        <w:spacing w:after="0" w:line="200" w:lineRule="exact"/>
        <w:rPr>
          <w:sz w:val="20"/>
          <w:szCs w:val="20"/>
          <w:color w:val="auto"/>
        </w:rPr>
      </w:pPr>
    </w:p>
    <w:p>
      <w:pPr>
        <w:spacing w:after="0" w:line="209" w:lineRule="exact"/>
        <w:rPr>
          <w:sz w:val="20"/>
          <w:szCs w:val="20"/>
          <w:color w:val="auto"/>
        </w:rPr>
      </w:pPr>
    </w:p>
    <w:p>
      <w:pPr>
        <w:ind w:left="1780" w:hanging="895"/>
        <w:spacing w:after="0"/>
        <w:tabs>
          <w:tab w:leader="none" w:pos="17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Section 1.05 is hereby added to the Credit Agreement as follows:</w:t>
      </w:r>
    </w:p>
    <w:p>
      <w:pPr>
        <w:spacing w:after="0" w:line="206" w:lineRule="exact"/>
        <w:rPr>
          <w:rFonts w:ascii="Arial" w:cs="Arial" w:eastAsia="Arial" w:hAnsi="Arial"/>
          <w:sz w:val="22"/>
          <w:szCs w:val="22"/>
          <w:color w:val="auto"/>
        </w:rPr>
      </w:pPr>
    </w:p>
    <w:p>
      <w:pPr>
        <w:jc w:val="both"/>
        <w:ind w:left="880" w:right="880" w:firstLine="743"/>
        <w:spacing w:after="0" w:line="279" w:lineRule="auto"/>
        <w:rPr>
          <w:rFonts w:ascii="Arial" w:cs="Arial" w:eastAsia="Arial" w:hAnsi="Arial"/>
          <w:sz w:val="22"/>
          <w:szCs w:val="22"/>
          <w:color w:val="auto"/>
        </w:rPr>
      </w:pPr>
      <w:r>
        <w:rPr>
          <w:rFonts w:ascii="Arial" w:cs="Arial" w:eastAsia="Arial" w:hAnsi="Arial"/>
          <w:sz w:val="19"/>
          <w:szCs w:val="19"/>
          <w:color w:val="auto"/>
        </w:rPr>
        <w:t xml:space="preserve">“ Section 1.05 </w:t>
      </w:r>
      <w:r>
        <w:rPr>
          <w:rFonts w:ascii="Arial" w:cs="Arial" w:eastAsia="Arial" w:hAnsi="Arial"/>
          <w:sz w:val="19"/>
          <w:szCs w:val="19"/>
          <w:i w:val="1"/>
          <w:iCs w:val="1"/>
          <w:color w:val="auto"/>
        </w:rPr>
        <w:t>Divisions</w:t>
      </w:r>
      <w:r>
        <w:rPr>
          <w:rFonts w:ascii="Arial" w:cs="Arial" w:eastAsia="Arial" w:hAnsi="Arial"/>
          <w:sz w:val="19"/>
          <w:szCs w:val="19"/>
          <w:color w:val="auto"/>
        </w:rPr>
        <w:t>. For all purposes under the Loan Documents, in connection with any division under Delaware law (or any comparable event under a different requirement of any Governmental Authority):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150" w:lineRule="exact"/>
        <w:rPr>
          <w:rFonts w:ascii="Arial" w:cs="Arial" w:eastAsia="Arial" w:hAnsi="Arial"/>
          <w:sz w:val="22"/>
          <w:szCs w:val="22"/>
          <w:color w:val="auto"/>
        </w:rPr>
      </w:pPr>
    </w:p>
    <w:p>
      <w:pPr>
        <w:ind w:left="1780" w:hanging="895"/>
        <w:spacing w:after="0"/>
        <w:tabs>
          <w:tab w:leader="none" w:pos="1780" w:val="left"/>
        </w:tabs>
        <w:numPr>
          <w:ilvl w:val="0"/>
          <w:numId w:val="71"/>
        </w:numPr>
        <w:rPr>
          <w:rFonts w:ascii="Arial" w:cs="Arial" w:eastAsia="Arial" w:hAnsi="Arial"/>
          <w:sz w:val="22"/>
          <w:szCs w:val="22"/>
          <w:color w:val="auto"/>
        </w:rPr>
      </w:pPr>
      <w:r>
        <w:rPr>
          <w:rFonts w:ascii="Arial" w:cs="Arial" w:eastAsia="Arial" w:hAnsi="Arial"/>
          <w:sz w:val="22"/>
          <w:szCs w:val="22"/>
          <w:color w:val="auto"/>
        </w:rPr>
        <w:t>Section 5.10(g) of the Credit Agreement is hereby amended and restated as follows:</w:t>
      </w:r>
    </w:p>
    <w:p>
      <w:pPr>
        <w:spacing w:after="0" w:line="206" w:lineRule="exact"/>
        <w:rPr>
          <w:sz w:val="20"/>
          <w:szCs w:val="20"/>
          <w:color w:val="auto"/>
        </w:rPr>
      </w:pPr>
    </w:p>
    <w:p>
      <w:pPr>
        <w:jc w:val="both"/>
        <w:ind w:left="880" w:firstLine="810"/>
        <w:spacing w:after="0" w:line="244" w:lineRule="auto"/>
        <w:rPr>
          <w:sz w:val="20"/>
          <w:szCs w:val="20"/>
          <w:color w:val="auto"/>
        </w:rPr>
      </w:pPr>
      <w:r>
        <w:rPr>
          <w:rFonts w:ascii="Arial" w:cs="Arial" w:eastAsia="Arial" w:hAnsi="Arial"/>
          <w:sz w:val="21"/>
          <w:szCs w:val="21"/>
          <w:color w:val="auto"/>
        </w:rPr>
        <w:t>“(g) In the case of any Loan Party, furnish to the Collateral Agent (A) prompt written notice of any change in such Loan Party’s corporate or organization name or organizational identification number or other change that may have an effect on the “know your customer”, U.S.A. PATRIOT ACT or Beneficial Ownership Regulation disclosures delivered in connection with this Agreement or any other Loan Document; (B) prior written notice of any change in such Loan Party’s identity or organizational structure; provided, that no Loan Party shall effect or permit any such change unless all filings have been made, or will have been made within any statutory period, under the UCC or otherwise that are required in order for the Collateral Agent to continue at all times following such change to have a valid, legal and perfected security interest in all the Collateral for the benefit of the Secured Parties; and (C) promptly upon the request thereof, any change, to the Borrower’s knowledge, in the information provided in the Beneficial Ownership Certification delivered to the Administrative Agent or any Lender that would result in a change to the list of beneficial owners identified in such certification, as from time to time reasonably requested by the Administrative Agent or any Lender.”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8" w:name="page69"/>
    <w:bookmarkEnd w:id="68"/>
    <w:p>
      <w:pPr>
        <w:ind w:left="1780" w:hanging="895"/>
        <w:spacing w:after="0"/>
        <w:tabs>
          <w:tab w:leader="none" w:pos="17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Section 6.04 of the Credit Agreement is hereby amended by deleting the word “and” at the end of Section</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6.04(r), replacing the “.” at the end of Section 6.04(s) with “; and” and inserting a new Section 6.04(t) as follows:</w:t>
      </w:r>
    </w:p>
    <w:p>
      <w:pPr>
        <w:spacing w:after="0" w:line="188" w:lineRule="exact"/>
        <w:rPr>
          <w:sz w:val="20"/>
          <w:szCs w:val="20"/>
          <w:color w:val="auto"/>
        </w:rPr>
      </w:pPr>
    </w:p>
    <w:p>
      <w:pPr>
        <w:jc w:val="both"/>
        <w:ind w:left="880" w:firstLine="810"/>
        <w:spacing w:after="0" w:line="277" w:lineRule="auto"/>
        <w:rPr>
          <w:sz w:val="20"/>
          <w:szCs w:val="20"/>
          <w:color w:val="auto"/>
        </w:rPr>
      </w:pPr>
      <w:r>
        <w:rPr>
          <w:rFonts w:ascii="Arial" w:cs="Arial" w:eastAsia="Arial" w:hAnsi="Arial"/>
          <w:sz w:val="19"/>
          <w:szCs w:val="19"/>
          <w:color w:val="auto"/>
        </w:rPr>
        <w:t>“(t) Investments in the Double E Joint Venture constituting (i) the contribution to the Double E Joint Venture on the Second Amendment Effective Date of the assets contemplated by the Double E Contribution Agreement and (ii) additional Investments therein after the Second Amendment Effective Date; provided, in the case of sub-clause (ii), that immediately before such Investment and after giving effect thereto, (A) Liquidity is greater than U.S.$20.0 million, (B) the Borrower shall be in compliance, on a Pro Forma Basis, with the Financial Performance Covenants, each recomputed as at the last day of the most recently ended fiscal quarter of the Borrower and its Restricted Subsidiaries and (C) no Default or Event of Default shall have occurred and be continuing or would result therefrom.”</w:t>
      </w:r>
    </w:p>
    <w:p>
      <w:pPr>
        <w:spacing w:after="0" w:line="153" w:lineRule="exact"/>
        <w:rPr>
          <w:sz w:val="20"/>
          <w:szCs w:val="20"/>
          <w:color w:val="auto"/>
        </w:rPr>
      </w:pPr>
    </w:p>
    <w:p>
      <w:pPr>
        <w:jc w:val="both"/>
        <w:ind w:firstLine="885"/>
        <w:spacing w:after="0"/>
        <w:tabs>
          <w:tab w:leader="none" w:pos="1742" w:val="left"/>
        </w:tabs>
        <w:numPr>
          <w:ilvl w:val="0"/>
          <w:numId w:val="73"/>
        </w:numPr>
        <w:rPr>
          <w:rFonts w:ascii="Arial" w:cs="Arial" w:eastAsia="Arial" w:hAnsi="Arial"/>
          <w:sz w:val="22"/>
          <w:szCs w:val="22"/>
          <w:color w:val="auto"/>
        </w:rPr>
      </w:pPr>
      <w:r>
        <w:rPr>
          <w:rFonts w:ascii="Arial" w:cs="Arial" w:eastAsia="Arial" w:hAnsi="Arial"/>
          <w:sz w:val="22"/>
          <w:szCs w:val="22"/>
          <w:color w:val="auto"/>
        </w:rPr>
        <w:t>Section 6.07 of the Credit Agreement is hereby amended by deleting the word “and” at the end of Section 6.07(b)(xii), replacing the “.” at the end of Section 6.07(b)(xiii) with “,” and inserting new Sections 6.07(b)(xiv) and (b)(xv) as follows:</w:t>
      </w:r>
    </w:p>
    <w:p>
      <w:pPr>
        <w:spacing w:after="0" w:line="186" w:lineRule="exact"/>
        <w:rPr>
          <w:sz w:val="20"/>
          <w:szCs w:val="20"/>
          <w:color w:val="auto"/>
        </w:rPr>
      </w:pPr>
    </w:p>
    <w:p>
      <w:pPr>
        <w:ind w:left="880" w:firstLine="1620"/>
        <w:spacing w:after="0" w:line="251" w:lineRule="auto"/>
        <w:rPr>
          <w:sz w:val="20"/>
          <w:szCs w:val="20"/>
          <w:color w:val="auto"/>
        </w:rPr>
      </w:pPr>
      <w:r>
        <w:rPr>
          <w:rFonts w:ascii="Arial" w:cs="Arial" w:eastAsia="Arial" w:hAnsi="Arial"/>
          <w:sz w:val="22"/>
          <w:szCs w:val="22"/>
          <w:color w:val="auto"/>
        </w:rPr>
        <w:t>“(xiv) any transaction that is permitted under affiliate fairness rules (or similar requirements) of FERC or any other Governmental Authority that regulates any Loan Party or any Subsidiary thereof, and</w:t>
      </w:r>
    </w:p>
    <w:p>
      <w:pPr>
        <w:spacing w:after="0" w:line="173" w:lineRule="exact"/>
        <w:rPr>
          <w:sz w:val="20"/>
          <w:szCs w:val="20"/>
          <w:color w:val="auto"/>
        </w:rPr>
      </w:pPr>
    </w:p>
    <w:p>
      <w:pPr>
        <w:jc w:val="both"/>
        <w:ind w:left="880" w:firstLine="1626"/>
        <w:spacing w:after="0" w:line="249" w:lineRule="auto"/>
        <w:tabs>
          <w:tab w:leader="none" w:pos="3509" w:val="left"/>
        </w:tabs>
        <w:numPr>
          <w:ilvl w:val="1"/>
          <w:numId w:val="74"/>
        </w:numPr>
        <w:rPr>
          <w:rFonts w:ascii="Arial" w:cs="Arial" w:eastAsia="Arial" w:hAnsi="Arial"/>
          <w:sz w:val="21"/>
          <w:szCs w:val="21"/>
          <w:color w:val="auto"/>
        </w:rPr>
      </w:pPr>
      <w:r>
        <w:rPr>
          <w:rFonts w:ascii="Arial" w:cs="Arial" w:eastAsia="Arial" w:hAnsi="Arial"/>
          <w:sz w:val="21"/>
          <w:szCs w:val="21"/>
          <w:color w:val="auto"/>
        </w:rPr>
        <w:t>transactions pursuant to the Double E Transaction Documents as in effect on the Second Amendment Effective Date, to the extent not otherwise prohibited hereunder; provided, however, that all transactions pursuant to the Double E Operations and Maintenance Agreement and the Double E Construction Management Agreement (each as in effect on the Second Amendment Effective Date) shall be on commercially reasonable economic terms, as determined in good faith by a Financial Officer of the Borrower.”</w:t>
      </w:r>
    </w:p>
    <w:p>
      <w:pPr>
        <w:spacing w:after="0" w:line="178" w:lineRule="exact"/>
        <w:rPr>
          <w:rFonts w:ascii="Arial" w:cs="Arial" w:eastAsia="Arial" w:hAnsi="Arial"/>
          <w:sz w:val="21"/>
          <w:szCs w:val="21"/>
          <w:color w:val="auto"/>
        </w:rPr>
      </w:pPr>
    </w:p>
    <w:p>
      <w:pPr>
        <w:ind w:left="1780" w:hanging="895"/>
        <w:spacing w:after="0"/>
        <w:tabs>
          <w:tab w:leader="none" w:pos="1780" w:val="left"/>
        </w:tabs>
        <w:numPr>
          <w:ilvl w:val="0"/>
          <w:numId w:val="75"/>
        </w:numPr>
        <w:rPr>
          <w:rFonts w:ascii="Arial" w:cs="Arial" w:eastAsia="Arial" w:hAnsi="Arial"/>
          <w:sz w:val="22"/>
          <w:szCs w:val="22"/>
          <w:color w:val="auto"/>
        </w:rPr>
      </w:pPr>
      <w:r>
        <w:rPr>
          <w:rFonts w:ascii="Arial" w:cs="Arial" w:eastAsia="Arial" w:hAnsi="Arial"/>
          <w:sz w:val="22"/>
          <w:szCs w:val="22"/>
          <w:color w:val="auto"/>
        </w:rPr>
        <w:t>Section 6.09(f) is hereby added to the Credit Agreement as follows:</w:t>
      </w:r>
    </w:p>
    <w:p>
      <w:pPr>
        <w:spacing w:after="0" w:line="206" w:lineRule="exact"/>
        <w:rPr>
          <w:sz w:val="20"/>
          <w:szCs w:val="20"/>
          <w:color w:val="auto"/>
        </w:rPr>
      </w:pPr>
    </w:p>
    <w:p>
      <w:pPr>
        <w:jc w:val="both"/>
        <w:ind w:left="880" w:firstLine="810"/>
        <w:spacing w:after="0" w:line="233" w:lineRule="auto"/>
        <w:rPr>
          <w:sz w:val="20"/>
          <w:szCs w:val="20"/>
          <w:color w:val="auto"/>
        </w:rPr>
      </w:pPr>
      <w:r>
        <w:rPr>
          <w:rFonts w:ascii="Arial" w:cs="Arial" w:eastAsia="Arial" w:hAnsi="Arial"/>
          <w:sz w:val="22"/>
          <w:szCs w:val="22"/>
          <w:color w:val="auto"/>
        </w:rPr>
        <w:t>“(f) To the extent adverse to the Lenders, consent to or vote in favor of material amendments or modifications to (i) the Double E Joint Venture’s distribution policies, (ii) the ability of the Double E Joint Venture to incur Indebtedness and Liens (other than to the extent permitted under the definition of “Double E Joint Venture Conditions”), (iii) the ability of the Borrower or a Restricted Subsidiary to pledge the Equity Interests in the Double E Joint Venture as Collateral securing the Obligations, (iv) the voting provisions in the Double E Joint Venture’s relevant constitutional documents (other than any amendment or modification thereto so long as the Borrower or a Restricted Subsidiary owns Equity Interests in the Double E Joint Venture sufficient to retain negative control with respect to matters requiring Required Approval (as defined in the Double E LLC Agreement as in effect on the Second Amendment Effective Date)) or (v) the change of control provisions in the Double E Joint Venture’s relevant constitutional documents.”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9" w:name="page70"/>
    <w:bookmarkEnd w:id="69"/>
    <w:p>
      <w:pPr>
        <w:ind w:left="900" w:hanging="895"/>
        <w:spacing w:after="0"/>
        <w:tabs>
          <w:tab w:leader="none" w:pos="9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Section 9.18(a) of the Credit Agreement is hereby amended and restated in its entirety as follows:</w:t>
      </w:r>
    </w:p>
    <w:p>
      <w:pPr>
        <w:spacing w:after="0" w:line="206" w:lineRule="exact"/>
        <w:rPr>
          <w:sz w:val="20"/>
          <w:szCs w:val="20"/>
          <w:color w:val="auto"/>
        </w:rPr>
      </w:pPr>
    </w:p>
    <w:p>
      <w:pPr>
        <w:jc w:val="both"/>
        <w:ind w:firstLine="810"/>
        <w:spacing w:after="0" w:line="270" w:lineRule="auto"/>
        <w:rPr>
          <w:sz w:val="20"/>
          <w:szCs w:val="20"/>
          <w:color w:val="auto"/>
        </w:rPr>
      </w:pPr>
      <w:r>
        <w:rPr>
          <w:rFonts w:ascii="Arial" w:cs="Arial" w:eastAsia="Arial" w:hAnsi="Arial"/>
          <w:sz w:val="19"/>
          <w:szCs w:val="19"/>
          <w:color w:val="auto"/>
        </w:rPr>
        <w:t xml:space="preserve">“Section 9.18 </w:t>
      </w:r>
      <w:r>
        <w:rPr>
          <w:rFonts w:ascii="Arial" w:cs="Arial" w:eastAsia="Arial" w:hAnsi="Arial"/>
          <w:sz w:val="19"/>
          <w:szCs w:val="19"/>
          <w:i w:val="1"/>
          <w:iCs w:val="1"/>
          <w:color w:val="auto"/>
        </w:rPr>
        <w:t>Release of Liens and Guarantees</w:t>
      </w:r>
      <w:r>
        <w:rPr>
          <w:rFonts w:ascii="Arial" w:cs="Arial" w:eastAsia="Arial" w:hAnsi="Arial"/>
          <w:sz w:val="19"/>
          <w:szCs w:val="19"/>
          <w:color w:val="auto"/>
        </w:rPr>
        <w:t>. (a) In the event that (i) the Borrower or any Subsidiary Loan Party conveys, sells, leases, assigns, transfers or otherwise disposes of all or any portion of its assets (including the Equity Interests of any of its Subsidiaries) to a Person that is not (and is not required to become) a Loan Party in a transaction not prohibited by the Loan Documents (other than any sale or conveyance of any assets to Eddy County in connection with the IRB Transactions) or (ii) any Restricted Subsidiary becomes an Unrestricted Subsidiary (other than any Included Entity, any Ohio Joint Venture or the Double E Joint Venture), then, in any of such cases, the Administrative Agent and the Collateral Agent shall promptly (and the Lenders hereby authorize the Administrative Agent and the Collateral Agent to) take such action and execute any such documents as may be reasonably requested by the Borrower and at the Borrower’s sole cost and expense to release any Liens created by any Loan Document in respect of such Equity Interests, Subsidiary Loan Party or assets that are the subject of such disposition, release any Liens created by any Loan Document in respect of Equity Interests of any Restricted Subsidiary that becomes an Unrestricted Subsidiary (other than any Included Entity, any Ohio Joint Venture or the Double E Joint Venture) and release any Guarantees of the Obligations and release any Liens granted to secure the Obligations, in each case by a Person that ceases to be a Subsidiary of the Borrower or ceases to be a Subsidiary Loan Party as a result of a transaction described above. Any representation, warranty or covenant contained in any Loan Document relating to any such Equity Interests or assets shall no longer be deemed to be made once such Equity Interests or assets are so conveyed, sold, leased, assigned, transferred or disposed of. Any sale or conveyance of any assets to Eddy County in connection with the IRB Transactions shall be subject to all Liens thereon created under the Loan Documents, and such Liens created under the Loan Documents shall continue in effect after such sale or conveyance.”</w:t>
      </w:r>
    </w:p>
    <w:p>
      <w:pPr>
        <w:spacing w:after="0" w:line="200" w:lineRule="exact"/>
        <w:rPr>
          <w:sz w:val="20"/>
          <w:szCs w:val="20"/>
          <w:color w:val="auto"/>
        </w:rPr>
      </w:pPr>
    </w:p>
    <w:p>
      <w:pPr>
        <w:spacing w:after="0" w:line="211" w:lineRule="exact"/>
        <w:rPr>
          <w:sz w:val="20"/>
          <w:szCs w:val="20"/>
          <w:color w:val="auto"/>
        </w:rPr>
      </w:pPr>
    </w:p>
    <w:p>
      <w:pPr>
        <w:ind w:left="860" w:hanging="855"/>
        <w:spacing w:after="0"/>
        <w:tabs>
          <w:tab w:leader="none" w:pos="86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following Section 9.26 is hereby added to the Credit Agreement as follows:</w:t>
      </w:r>
    </w:p>
    <w:p>
      <w:pPr>
        <w:spacing w:after="0" w:line="206" w:lineRule="exact"/>
        <w:rPr>
          <w:sz w:val="20"/>
          <w:szCs w:val="20"/>
          <w:color w:val="auto"/>
        </w:rPr>
      </w:pPr>
    </w:p>
    <w:p>
      <w:pPr>
        <w:jc w:val="both"/>
        <w:ind w:firstLine="810"/>
        <w:spacing w:after="0" w:line="275" w:lineRule="auto"/>
        <w:rPr>
          <w:sz w:val="20"/>
          <w:szCs w:val="20"/>
          <w:color w:val="auto"/>
        </w:rPr>
      </w:pPr>
      <w:r>
        <w:rPr>
          <w:rFonts w:ascii="Arial" w:cs="Arial" w:eastAsia="Arial" w:hAnsi="Arial"/>
          <w:sz w:val="19"/>
          <w:szCs w:val="19"/>
          <w:color w:val="auto"/>
        </w:rPr>
        <w:t xml:space="preserve">“Section 9.26 </w:t>
      </w:r>
      <w:r>
        <w:rPr>
          <w:rFonts w:ascii="Arial" w:cs="Arial" w:eastAsia="Arial" w:hAnsi="Arial"/>
          <w:sz w:val="19"/>
          <w:szCs w:val="19"/>
          <w:i w:val="1"/>
          <w:iCs w:val="1"/>
          <w:color w:val="auto"/>
        </w:rPr>
        <w:t>Acknowledgement Regarding Any Supported QFCs.</w:t>
      </w:r>
      <w:r>
        <w:rPr>
          <w:rFonts w:ascii="Arial" w:cs="Arial" w:eastAsia="Arial" w:hAnsi="Arial"/>
          <w:sz w:val="19"/>
          <w:szCs w:val="19"/>
          <w:color w:val="auto"/>
        </w:rPr>
        <w:t xml:space="preserve"> To the extent that the Loan Documents provide support, through a guarantee or otherwise, for any agreement or instrument that is a QFC (such support “</w:t>
      </w:r>
      <w:r>
        <w:rPr>
          <w:rFonts w:ascii="Arial" w:cs="Arial" w:eastAsia="Arial" w:hAnsi="Arial"/>
          <w:sz w:val="19"/>
          <w:szCs w:val="19"/>
          <w:u w:val="single" w:color="auto"/>
          <w:color w:val="auto"/>
        </w:rPr>
        <w:t>QFC</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Support</w:t>
      </w:r>
      <w:r>
        <w:rPr>
          <w:rFonts w:ascii="Arial" w:cs="Arial" w:eastAsia="Arial" w:hAnsi="Arial"/>
          <w:sz w:val="19"/>
          <w:szCs w:val="19"/>
          <w:color w:val="auto"/>
        </w:rPr>
        <w:t>” and each such QFC a “</w:t>
      </w:r>
      <w:r>
        <w:rPr>
          <w:rFonts w:ascii="Arial" w:cs="Arial" w:eastAsia="Arial" w:hAnsi="Arial"/>
          <w:sz w:val="19"/>
          <w:szCs w:val="19"/>
          <w:u w:val="single" w:color="auto"/>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9"/>
          <w:szCs w:val="19"/>
          <w:u w:val="single" w:color="auto"/>
          <w:color w:val="auto"/>
        </w:rPr>
        <w:t>U.S. Special Resolution Regimes</w:t>
      </w:r>
      <w:r>
        <w:rPr>
          <w:rFonts w:ascii="Arial" w:cs="Arial" w:eastAsia="Arial" w:hAnsi="Arial"/>
          <w:sz w:val="19"/>
          <w:szCs w:val="19"/>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63500</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540"/>
          </w:cols>
          <w:pgMar w:left="1120" w:top="361" w:right="239" w:bottom="1440" w:gutter="0" w:footer="0" w:header="0"/>
        </w:sectPr>
      </w:pPr>
    </w:p>
    <w:bookmarkStart w:id="70" w:name="page71"/>
    <w:bookmarkEnd w:id="70"/>
    <w:p>
      <w:pPr>
        <w:jc w:val="both"/>
        <w:ind w:left="880" w:firstLine="810"/>
        <w:spacing w:after="0" w:line="271"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sz w:val="20"/>
          <w:szCs w:val="20"/>
          <w:color w:val="auto"/>
        </w:rPr>
      </w:pPr>
    </w:p>
    <w:p>
      <w:pPr>
        <w:ind w:left="1700" w:hanging="815"/>
        <w:spacing w:after="0"/>
        <w:tabs>
          <w:tab w:leader="none" w:pos="1700" w:val="left"/>
        </w:tabs>
        <w:numPr>
          <w:ilvl w:val="0"/>
          <w:numId w:val="78"/>
        </w:numPr>
        <w:rPr>
          <w:rFonts w:ascii="Arial" w:cs="Arial" w:eastAsia="Arial" w:hAnsi="Arial"/>
          <w:sz w:val="22"/>
          <w:szCs w:val="22"/>
          <w:color w:val="auto"/>
        </w:rPr>
      </w:pPr>
      <w:r>
        <w:rPr>
          <w:rFonts w:ascii="Arial" w:cs="Arial" w:eastAsia="Arial" w:hAnsi="Arial"/>
          <w:sz w:val="22"/>
          <w:szCs w:val="22"/>
          <w:u w:val="single" w:color="auto"/>
          <w:color w:val="auto"/>
        </w:rPr>
        <w:t>Amendments to Collateral Agreement</w:t>
      </w:r>
      <w:r>
        <w:rPr>
          <w:rFonts w:ascii="Arial" w:cs="Arial" w:eastAsia="Arial" w:hAnsi="Arial"/>
          <w:sz w:val="22"/>
          <w:szCs w:val="22"/>
          <w:color w:val="auto"/>
        </w:rPr>
        <w:t>.</w:t>
      </w:r>
    </w:p>
    <w:p>
      <w:pPr>
        <w:spacing w:after="0" w:line="206" w:lineRule="exact"/>
        <w:rPr>
          <w:sz w:val="20"/>
          <w:szCs w:val="20"/>
          <w:color w:val="auto"/>
        </w:rPr>
      </w:pPr>
    </w:p>
    <w:p>
      <w:pPr>
        <w:ind w:left="1780" w:hanging="895"/>
        <w:spacing w:after="0"/>
        <w:tabs>
          <w:tab w:leader="none" w:pos="1780" w:val="left"/>
        </w:tabs>
        <w:numPr>
          <w:ilvl w:val="0"/>
          <w:numId w:val="79"/>
        </w:numPr>
        <w:rPr>
          <w:rFonts w:ascii="Arial" w:cs="Arial" w:eastAsia="Arial" w:hAnsi="Arial"/>
          <w:sz w:val="19"/>
          <w:szCs w:val="19"/>
          <w:color w:val="auto"/>
        </w:rPr>
      </w:pPr>
      <w:r>
        <w:rPr>
          <w:rFonts w:ascii="Arial" w:cs="Arial" w:eastAsia="Arial" w:hAnsi="Arial"/>
          <w:sz w:val="19"/>
          <w:szCs w:val="19"/>
          <w:color w:val="auto"/>
        </w:rPr>
        <w:t>Section 3.01 of the Collateral Agreement is amended by amending and restating clause (a)(ii) thereof in its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entirety as follows:</w:t>
      </w:r>
    </w:p>
    <w:p>
      <w:pPr>
        <w:spacing w:after="0" w:line="188" w:lineRule="exact"/>
        <w:rPr>
          <w:sz w:val="20"/>
          <w:szCs w:val="20"/>
          <w:color w:val="auto"/>
        </w:rPr>
      </w:pPr>
    </w:p>
    <w:p>
      <w:pPr>
        <w:ind w:left="880" w:firstLine="810"/>
        <w:spacing w:after="0" w:line="251" w:lineRule="auto"/>
        <w:rPr>
          <w:sz w:val="20"/>
          <w:szCs w:val="20"/>
          <w:color w:val="auto"/>
        </w:rPr>
      </w:pPr>
      <w:r>
        <w:rPr>
          <w:rFonts w:ascii="Arial" w:cs="Arial" w:eastAsia="Arial" w:hAnsi="Arial"/>
          <w:sz w:val="22"/>
          <w:szCs w:val="22"/>
          <w:color w:val="auto"/>
        </w:rPr>
        <w:t>“(ii) any other Equity Interests owned in the future by such Pledgor and issued by the Borrower, a Subsidiary Loan Party, an Included Entity, an Ohio Joint Venture or the Double E Joint Venture;”</w:t>
      </w:r>
    </w:p>
    <w:p>
      <w:pPr>
        <w:spacing w:after="0" w:line="173" w:lineRule="exact"/>
        <w:rPr>
          <w:sz w:val="20"/>
          <w:szCs w:val="20"/>
          <w:color w:val="auto"/>
        </w:rPr>
      </w:pPr>
    </w:p>
    <w:p>
      <w:pPr>
        <w:ind w:firstLine="885"/>
        <w:spacing w:after="0" w:line="251" w:lineRule="auto"/>
        <w:tabs>
          <w:tab w:leader="none" w:pos="1778" w:val="left"/>
        </w:tabs>
        <w:numPr>
          <w:ilvl w:val="0"/>
          <w:numId w:val="80"/>
        </w:numPr>
        <w:rPr>
          <w:rFonts w:ascii="Arial" w:cs="Arial" w:eastAsia="Arial" w:hAnsi="Arial"/>
          <w:sz w:val="22"/>
          <w:szCs w:val="22"/>
          <w:color w:val="auto"/>
        </w:rPr>
      </w:pPr>
      <w:r>
        <w:rPr>
          <w:rFonts w:ascii="Arial" w:cs="Arial" w:eastAsia="Arial" w:hAnsi="Arial"/>
          <w:sz w:val="22"/>
          <w:szCs w:val="22"/>
          <w:color w:val="auto"/>
        </w:rPr>
        <w:t>Section 3.03(e) of the Collateral Agreement is hereby amended by amending and restating clauses (i) and (ii) thereof in its entirety as follows:</w:t>
      </w:r>
    </w:p>
    <w:p>
      <w:pPr>
        <w:spacing w:after="0" w:line="173" w:lineRule="exact"/>
        <w:rPr>
          <w:sz w:val="20"/>
          <w:szCs w:val="20"/>
          <w:color w:val="auto"/>
        </w:rPr>
      </w:pPr>
    </w:p>
    <w:p>
      <w:pPr>
        <w:jc w:val="both"/>
        <w:ind w:left="880" w:firstLine="810"/>
        <w:spacing w:after="0" w:line="247" w:lineRule="auto"/>
        <w:rPr>
          <w:sz w:val="20"/>
          <w:szCs w:val="20"/>
          <w:color w:val="auto"/>
        </w:rPr>
      </w:pPr>
      <w:r>
        <w:rPr>
          <w:rFonts w:ascii="Arial" w:cs="Arial" w:eastAsia="Arial" w:hAnsi="Arial"/>
          <w:sz w:val="21"/>
          <w:szCs w:val="21"/>
          <w:color w:val="auto"/>
        </w:rPr>
        <w:t>“(i) the Pledged Collateral (other than Pledged Collateral consisting of Equity Interests in any Ohio Joint Venture and the Double E Joint Venture) is and will continue to be freely transferable and assignable and (ii) none of the Pledged Collateral (other than Pledged Collateral consisting of Equity Interests in any Ohio Joint Venture and the Double E Joint Venture) is or will be subject to any option, right of first refusal, shareholders agreement, charter or by-law provisions or contractual restriction of any nature that might prohibit, impair, delay or otherwise affect the pledge of such Pledged Collateral hereunder, the sale or disposition thereof pursuant hereto or the exercise by the Collateral Agent of rights and remedies hereunder.”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1" w:name="page72"/>
    <w:bookmarkEnd w:id="71"/>
    <w:p>
      <w:pPr>
        <w:jc w:val="both"/>
        <w:ind w:firstLine="885"/>
        <w:spacing w:after="0"/>
        <w:tabs>
          <w:tab w:leader="none" w:pos="1688" w:val="left"/>
        </w:tabs>
        <w:numPr>
          <w:ilvl w:val="0"/>
          <w:numId w:val="81"/>
        </w:numPr>
        <w:rPr>
          <w:rFonts w:ascii="Arial" w:cs="Arial" w:eastAsia="Arial" w:hAnsi="Arial"/>
          <w:sz w:val="22"/>
          <w:szCs w:val="22"/>
          <w:color w:val="auto"/>
        </w:rPr>
      </w:pPr>
      <w:r>
        <w:rPr>
          <w:rFonts w:ascii="Arial" w:cs="Arial" w:eastAsia="Arial" w:hAnsi="Arial"/>
          <w:sz w:val="22"/>
          <w:szCs w:val="22"/>
          <w:u w:val="single" w:color="auto"/>
          <w:color w:val="auto"/>
        </w:rPr>
        <w:t>Designation of Unrestricted Subsidiary</w:t>
      </w:r>
      <w:r>
        <w:rPr>
          <w:rFonts w:ascii="Arial" w:cs="Arial" w:eastAsia="Arial" w:hAnsi="Arial"/>
          <w:sz w:val="22"/>
          <w:szCs w:val="22"/>
          <w:color w:val="auto"/>
        </w:rPr>
        <w:t>. The Borrower hereby designates the Double E Joint Venture as an Unrestricted Subsidiary under the Credit Agreement (as hereby amended). Such designation complies with all requirements set forth in the definition of “Unrestricted Subsidiary” in the Credit Agreement, including that:</w:t>
      </w:r>
    </w:p>
    <w:p>
      <w:pPr>
        <w:spacing w:after="0" w:line="186" w:lineRule="exact"/>
        <w:rPr>
          <w:sz w:val="20"/>
          <w:szCs w:val="20"/>
          <w:color w:val="auto"/>
        </w:rPr>
      </w:pPr>
    </w:p>
    <w:p>
      <w:pPr>
        <w:ind w:left="1780" w:hanging="895"/>
        <w:spacing w:after="0"/>
        <w:tabs>
          <w:tab w:leader="none" w:pos="17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both before and after giving effect to such designation, no Default or Event of Default shall have occurred and</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be continuing;</w:t>
      </w:r>
    </w:p>
    <w:p>
      <w:pPr>
        <w:spacing w:after="0" w:line="188" w:lineRule="exact"/>
        <w:rPr>
          <w:rFonts w:ascii="Arial" w:cs="Arial" w:eastAsia="Arial" w:hAnsi="Arial"/>
          <w:sz w:val="19"/>
          <w:szCs w:val="19"/>
          <w:color w:val="auto"/>
        </w:rPr>
      </w:pPr>
    </w:p>
    <w:p>
      <w:pPr>
        <w:jc w:val="both"/>
        <w:ind w:firstLine="885"/>
        <w:spacing w:after="0" w:line="238" w:lineRule="auto"/>
        <w:tabs>
          <w:tab w:leader="none" w:pos="177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at the time of such designation, the Borrower or any of its Restricted Subsidiaries are permitted to make Investments pursuant to the terms of Section 6.04(t) of the Credit Agreement in an amount equal to the Investments previously made in the Double E Joint Venture hereby and that have not been repaid by the Double E Joint Venture as dividends or distributions to any Loan Party;</w:t>
      </w:r>
    </w:p>
    <w:p>
      <w:pPr>
        <w:spacing w:after="0" w:line="185" w:lineRule="exact"/>
        <w:rPr>
          <w:rFonts w:ascii="Arial" w:cs="Arial" w:eastAsia="Arial" w:hAnsi="Arial"/>
          <w:sz w:val="22"/>
          <w:szCs w:val="22"/>
          <w:color w:val="auto"/>
        </w:rPr>
      </w:pPr>
    </w:p>
    <w:p>
      <w:pPr>
        <w:jc w:val="both"/>
        <w:ind w:firstLine="885"/>
        <w:spacing w:after="0" w:line="238" w:lineRule="auto"/>
        <w:tabs>
          <w:tab w:leader="none" w:pos="1765"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amount of such Investments previously made by the Borrower or any of its Restricted Subsidiaries in the Double E Joint Venture during the period from the Restatement Date to the date hereof, and that have not been repaid via dividend or distribution to the Borrower or a Restricted Subsidiary, shall be included in the calculation of the aggregate amount of Investments permitted under Section 6.04(t) of the Credit Agreement;</w:t>
      </w:r>
    </w:p>
    <w:p>
      <w:pPr>
        <w:spacing w:after="0" w:line="185" w:lineRule="exact"/>
        <w:rPr>
          <w:rFonts w:ascii="Arial" w:cs="Arial" w:eastAsia="Arial" w:hAnsi="Arial"/>
          <w:sz w:val="22"/>
          <w:szCs w:val="22"/>
          <w:color w:val="auto"/>
        </w:rPr>
      </w:pPr>
    </w:p>
    <w:p>
      <w:pPr>
        <w:ind w:firstLine="885"/>
        <w:spacing w:after="0" w:line="251" w:lineRule="auto"/>
        <w:tabs>
          <w:tab w:leader="none" w:pos="177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after giving effect to such designation, the Double E Joint Venture will have no Indebtedness other than Non-Recourse Debt and Indebtedness that is guaranteed pursuant to Section 6.01(p) of the Credit Agreement;</w:t>
      </w:r>
    </w:p>
    <w:p>
      <w:pPr>
        <w:spacing w:after="0" w:line="173" w:lineRule="exact"/>
        <w:rPr>
          <w:rFonts w:ascii="Arial" w:cs="Arial" w:eastAsia="Arial" w:hAnsi="Arial"/>
          <w:sz w:val="22"/>
          <w:szCs w:val="22"/>
          <w:color w:val="auto"/>
        </w:rPr>
      </w:pPr>
    </w:p>
    <w:p>
      <w:pPr>
        <w:ind w:firstLine="885"/>
        <w:spacing w:after="0" w:line="274" w:lineRule="auto"/>
        <w:tabs>
          <w:tab w:leader="none" w:pos="1765" w:val="left"/>
        </w:tabs>
        <w:numPr>
          <w:ilvl w:val="0"/>
          <w:numId w:val="82"/>
        </w:numPr>
        <w:rPr>
          <w:rFonts w:ascii="Arial" w:cs="Arial" w:eastAsia="Arial" w:hAnsi="Arial"/>
          <w:sz w:val="21"/>
          <w:szCs w:val="21"/>
          <w:color w:val="auto"/>
        </w:rPr>
      </w:pPr>
      <w:r>
        <w:rPr>
          <w:rFonts w:ascii="Arial" w:cs="Arial" w:eastAsia="Arial" w:hAnsi="Arial"/>
          <w:sz w:val="21"/>
          <w:szCs w:val="21"/>
          <w:color w:val="auto"/>
        </w:rPr>
        <w:t>except as not prohibited by Section 6.07 of the Credit Agreement, after giving effect to such designation the Double E Joint Venture is not party to any transaction with the Borrower or any Restricted Subsidiary; and</w:t>
      </w:r>
    </w:p>
    <w:p>
      <w:pPr>
        <w:spacing w:after="0" w:line="150" w:lineRule="exact"/>
        <w:rPr>
          <w:rFonts w:ascii="Arial" w:cs="Arial" w:eastAsia="Arial" w:hAnsi="Arial"/>
          <w:sz w:val="21"/>
          <w:szCs w:val="21"/>
          <w:color w:val="auto"/>
        </w:rPr>
      </w:pPr>
    </w:p>
    <w:p>
      <w:pPr>
        <w:jc w:val="both"/>
        <w:ind w:firstLine="885"/>
        <w:spacing w:after="0" w:line="235" w:lineRule="auto"/>
        <w:tabs>
          <w:tab w:leader="none" w:pos="1742" w:val="left"/>
        </w:tabs>
        <w:numPr>
          <w:ilvl w:val="0"/>
          <w:numId w:val="82"/>
        </w:numPr>
        <w:rPr>
          <w:rFonts w:ascii="Arial" w:cs="Arial" w:eastAsia="Arial" w:hAnsi="Arial"/>
          <w:sz w:val="22"/>
          <w:szCs w:val="22"/>
          <w:color w:val="auto"/>
        </w:rPr>
      </w:pPr>
      <w:r>
        <w:rPr>
          <w:rFonts w:ascii="Arial" w:cs="Arial" w:eastAsia="Arial" w:hAnsi="Arial"/>
          <w:sz w:val="22"/>
          <w:szCs w:val="22"/>
          <w:color w:val="auto"/>
        </w:rPr>
        <w:t>after giving effect to such designation, (i) neither the Borrower nor any Restricted Subsidiary has or would have any direct or indirect obligation for any obligation or liability of the Double E Joint Venture and (ii) neither the Borrower nor any Restricted Subsidiary is required to maintain or preserve the Double E Joint Venture’s financial condition or to cause the Double E Joint Venture to achieve any specified levels of operating results, other than, in the case of clauses (i) and (ii), Guarantees that are permitted under Sections 6.01 and 6.04 of the Credit Agreement by the Borrower or any Restricted Subsidiary of obligations of the Double E Joint Venture.</w:t>
      </w:r>
    </w:p>
    <w:p>
      <w:pPr>
        <w:spacing w:after="0" w:line="188" w:lineRule="exact"/>
        <w:rPr>
          <w:sz w:val="20"/>
          <w:szCs w:val="20"/>
          <w:color w:val="auto"/>
        </w:rPr>
      </w:pPr>
    </w:p>
    <w:p>
      <w:pPr>
        <w:jc w:val="both"/>
        <w:ind w:firstLine="885"/>
        <w:spacing w:after="0" w:line="258" w:lineRule="auto"/>
        <w:tabs>
          <w:tab w:leader="none" w:pos="1688" w:val="left"/>
        </w:tabs>
        <w:numPr>
          <w:ilvl w:val="0"/>
          <w:numId w:val="83"/>
        </w:numPr>
        <w:rPr>
          <w:rFonts w:ascii="Arial" w:cs="Arial" w:eastAsia="Arial" w:hAnsi="Arial"/>
          <w:sz w:val="21"/>
          <w:szCs w:val="21"/>
          <w:color w:val="auto"/>
        </w:rPr>
      </w:pPr>
      <w:r>
        <w:rPr>
          <w:rFonts w:ascii="Arial" w:cs="Arial" w:eastAsia="Arial" w:hAnsi="Arial"/>
          <w:sz w:val="21"/>
          <w:szCs w:val="21"/>
          <w:u w:val="single" w:color="auto"/>
          <w:color w:val="auto"/>
        </w:rPr>
        <w:t>Conditions Precedent</w:t>
      </w:r>
      <w:r>
        <w:rPr>
          <w:rFonts w:ascii="Arial" w:cs="Arial" w:eastAsia="Arial" w:hAnsi="Arial"/>
          <w:sz w:val="21"/>
          <w:szCs w:val="21"/>
          <w:color w:val="auto"/>
        </w:rPr>
        <w:t>. This Amendment shall become effective as of the Second Amendment Effective Date provided that each of the following conditions is satisfied (or waived by (a) Required Lenders and (b) each other Person required to consent to such waiver pursuant to and in accordance with Section 9.08 of the Credit Agreement):</w:t>
      </w:r>
    </w:p>
    <w:p>
      <w:pPr>
        <w:spacing w:after="0" w:line="167" w:lineRule="exact"/>
        <w:rPr>
          <w:sz w:val="20"/>
          <w:szCs w:val="20"/>
          <w:color w:val="auto"/>
        </w:rPr>
      </w:pPr>
    </w:p>
    <w:p>
      <w:pPr>
        <w:jc w:val="both"/>
        <w:ind w:firstLine="885"/>
        <w:spacing w:after="0" w:line="238" w:lineRule="auto"/>
        <w:tabs>
          <w:tab w:leader="none" w:pos="1765"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from the Borrower, the other Loan Parties party hereto and the Required Lenders either (x) an original counterpart of this Amendment signed on behalf of such party or (y) evidence satisfactory to the Administrative Agent (which may include a facsimile copy or PDF copy of each signed signature page) that such party has signed a counterpart of this Amendment.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2" w:name="page73"/>
    <w:bookmarkEnd w:id="72"/>
    <w:p>
      <w:pPr>
        <w:jc w:val="both"/>
        <w:ind w:firstLine="885"/>
        <w:spacing w:after="0" w:line="236" w:lineRule="auto"/>
        <w:tabs>
          <w:tab w:leader="none" w:pos="177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received, to the extent invoiced, all amounts due and payable pursuant to the Credit Agreement and Loan Documents on or prior to the Second Amendment Effective Date, including, to the extent invoiced, reimbursement or payment of all reasonable out-of-pocket expenses (including reasonable fees and expenses of Sidley Austin LLP, counsel to the Administrative Agent) that are required to be reimbursed or paid by the Borrower under the Credit Agreement, hereunder or under any Loan Document.</w:t>
      </w:r>
    </w:p>
    <w:p>
      <w:pPr>
        <w:spacing w:after="0" w:line="187" w:lineRule="exact"/>
        <w:rPr>
          <w:rFonts w:ascii="Arial" w:cs="Arial" w:eastAsia="Arial" w:hAnsi="Arial"/>
          <w:sz w:val="22"/>
          <w:szCs w:val="22"/>
          <w:color w:val="auto"/>
        </w:rPr>
      </w:pPr>
    </w:p>
    <w:p>
      <w:pPr>
        <w:jc w:val="both"/>
        <w:ind w:firstLine="885"/>
        <w:spacing w:after="0" w:line="238" w:lineRule="auto"/>
        <w:tabs>
          <w:tab w:leader="none" w:pos="1765"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Administrative Agent shall have received (i) evidence that all Equity Interests in the Double E Joint Venture owned by the Borrower or a Restricted Subsidiary as of the Second Amendment Effective Date have been pledged pursuant to the Collateral Agreement and (ii) all certificates or other instruments (if any), together with stock powers or other instruments of transfer, with respect to such Equity Interests in the Double E Joint Venture.</w:t>
      </w:r>
    </w:p>
    <w:p>
      <w:pPr>
        <w:spacing w:after="0" w:line="185" w:lineRule="exact"/>
        <w:rPr>
          <w:rFonts w:ascii="Arial" w:cs="Arial" w:eastAsia="Arial" w:hAnsi="Arial"/>
          <w:sz w:val="22"/>
          <w:szCs w:val="22"/>
          <w:color w:val="auto"/>
        </w:rPr>
      </w:pPr>
    </w:p>
    <w:p>
      <w:pPr>
        <w:ind w:left="1780" w:hanging="895"/>
        <w:spacing w:after="0"/>
        <w:tabs>
          <w:tab w:leader="none" w:pos="17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 xml:space="preserve">The representations and warranties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shall be true and correct in all material respects as of the date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188" w:lineRule="exact"/>
        <w:rPr>
          <w:rFonts w:ascii="Arial" w:cs="Arial" w:eastAsia="Arial" w:hAnsi="Arial"/>
          <w:sz w:val="19"/>
          <w:szCs w:val="19"/>
          <w:color w:val="auto"/>
        </w:rPr>
      </w:pPr>
    </w:p>
    <w:p>
      <w:pPr>
        <w:ind w:left="1780" w:hanging="895"/>
        <w:spacing w:after="0"/>
        <w:tabs>
          <w:tab w:leader="none" w:pos="17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Double  E  Transaction  Documents  shall  be  effective  substantially  contemporaneously  with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Amendment.</w:t>
      </w:r>
    </w:p>
    <w:p>
      <w:pPr>
        <w:spacing w:after="0" w:line="188"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The Administrative Agent shall notify the Borrower and the Lenders of the Second Amendment Effective Date, and such notice shall be conclusive and binding absent manifest error.</w:t>
      </w:r>
    </w:p>
    <w:p>
      <w:pPr>
        <w:spacing w:after="0" w:line="65" w:lineRule="exact"/>
        <w:rPr>
          <w:sz w:val="20"/>
          <w:szCs w:val="20"/>
          <w:color w:val="auto"/>
        </w:rPr>
      </w:pPr>
    </w:p>
    <w:p>
      <w:pPr>
        <w:ind w:left="1700" w:hanging="815"/>
        <w:spacing w:after="0"/>
        <w:tabs>
          <w:tab w:leader="none" w:pos="1700"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Loan Party represents and warrants to the Administrative Agent and each</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of the Lenders that:</w:t>
      </w:r>
    </w:p>
    <w:p>
      <w:pPr>
        <w:spacing w:after="0" w:line="188" w:lineRule="exact"/>
        <w:rPr>
          <w:rFonts w:ascii="Arial" w:cs="Arial" w:eastAsia="Arial" w:hAnsi="Arial"/>
          <w:sz w:val="19"/>
          <w:szCs w:val="19"/>
          <w:color w:val="auto"/>
        </w:rPr>
      </w:pPr>
    </w:p>
    <w:p>
      <w:pPr>
        <w:jc w:val="both"/>
        <w:ind w:left="1760" w:firstLine="746"/>
        <w:spacing w:after="0" w:line="245" w:lineRule="auto"/>
        <w:tabs>
          <w:tab w:leader="none" w:pos="3391" w:val="left"/>
        </w:tabs>
        <w:numPr>
          <w:ilvl w:val="1"/>
          <w:numId w:val="86"/>
        </w:numPr>
        <w:rPr>
          <w:rFonts w:ascii="Arial" w:cs="Arial" w:eastAsia="Arial" w:hAnsi="Arial"/>
          <w:sz w:val="21"/>
          <w:szCs w:val="21"/>
          <w:color w:val="auto"/>
        </w:rPr>
      </w:pPr>
      <w:r>
        <w:rPr>
          <w:rFonts w:ascii="Arial" w:cs="Arial" w:eastAsia="Arial" w:hAnsi="Arial"/>
          <w:sz w:val="21"/>
          <w:szCs w:val="21"/>
          <w:color w:val="auto"/>
        </w:rPr>
        <w:t>all of the representations and warranties contained in the Credit Agreement and the other Loan Documents are true and correct in all material respects (except for any representation and warranty that is qualified by materiality or Material Adverse Effect, which such representation and warranty shall be true and correct in all respects) on and as of the date hereof except to the extent that such representations and warranties expressly relate solely to an earlier date in which case they shall have been true and correct in all material respects (except for any representation and warranty that is qualified by materiality or Material Adverse Effect, which such representation and warranty shall be true and correct in all respects) as of such earlier date, except that the representations and warranties contained in Section 3.05 of the Credit Agreement shall be deemed to refer to the most recent financial statements furnished pursuant to Sections 5.04(a) and (b) of the Credit Agreement, respectively;</w:t>
      </w:r>
    </w:p>
    <w:p>
      <w:pPr>
        <w:spacing w:after="0" w:line="181" w:lineRule="exact"/>
        <w:rPr>
          <w:rFonts w:ascii="Arial" w:cs="Arial" w:eastAsia="Arial" w:hAnsi="Arial"/>
          <w:sz w:val="21"/>
          <w:szCs w:val="21"/>
          <w:color w:val="auto"/>
        </w:rPr>
      </w:pPr>
    </w:p>
    <w:p>
      <w:pPr>
        <w:ind w:left="1760" w:right="20" w:firstLine="746"/>
        <w:spacing w:after="0" w:line="251" w:lineRule="auto"/>
        <w:tabs>
          <w:tab w:leader="none" w:pos="3403" w:val="left"/>
        </w:tabs>
        <w:numPr>
          <w:ilvl w:val="1"/>
          <w:numId w:val="86"/>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as of the date hereof under any Loan Document;</w:t>
      </w:r>
    </w:p>
    <w:p>
      <w:pPr>
        <w:spacing w:after="0" w:line="173" w:lineRule="exact"/>
        <w:rPr>
          <w:rFonts w:ascii="Arial" w:cs="Arial" w:eastAsia="Arial" w:hAnsi="Arial"/>
          <w:sz w:val="22"/>
          <w:szCs w:val="22"/>
          <w:color w:val="auto"/>
        </w:rPr>
      </w:pPr>
    </w:p>
    <w:p>
      <w:pPr>
        <w:ind w:left="1760" w:firstLine="746"/>
        <w:spacing w:after="0" w:line="251" w:lineRule="auto"/>
        <w:tabs>
          <w:tab w:leader="none" w:pos="3391" w:val="left"/>
        </w:tabs>
        <w:numPr>
          <w:ilvl w:val="1"/>
          <w:numId w:val="86"/>
        </w:numPr>
        <w:rPr>
          <w:rFonts w:ascii="Arial" w:cs="Arial" w:eastAsia="Arial" w:hAnsi="Arial"/>
          <w:sz w:val="22"/>
          <w:szCs w:val="22"/>
          <w:color w:val="auto"/>
        </w:rPr>
      </w:pPr>
      <w:r>
        <w:rPr>
          <w:rFonts w:ascii="Arial" w:cs="Arial" w:eastAsia="Arial" w:hAnsi="Arial"/>
          <w:sz w:val="22"/>
          <w:szCs w:val="22"/>
          <w:color w:val="auto"/>
        </w:rPr>
        <w:t>this Amendment is within such Loan Party’s organizational powers and has been duly authorized by all necessary organizational action on the part of such Loan Party;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3" w:name="page74"/>
    <w:bookmarkEnd w:id="73"/>
    <w:p>
      <w:pPr>
        <w:jc w:val="both"/>
        <w:ind w:left="1760" w:firstLine="746"/>
        <w:spacing w:after="0" w:line="279" w:lineRule="auto"/>
        <w:tabs>
          <w:tab w:leader="none" w:pos="3403" w:val="left"/>
        </w:tabs>
        <w:numPr>
          <w:ilvl w:val="1"/>
          <w:numId w:val="87"/>
        </w:numPr>
        <w:rPr>
          <w:rFonts w:ascii="Arial" w:cs="Arial" w:eastAsia="Arial" w:hAnsi="Arial"/>
          <w:sz w:val="19"/>
          <w:szCs w:val="19"/>
          <w:color w:val="auto"/>
        </w:rPr>
      </w:pPr>
      <w:r>
        <w:rPr>
          <w:rFonts w:ascii="Arial" w:cs="Arial" w:eastAsia="Arial" w:hAnsi="Arial"/>
          <w:sz w:val="19"/>
          <w:szCs w:val="19"/>
          <w:color w:val="auto"/>
        </w:rPr>
        <w:t>this Amendment has been duly executed and delivered by each Loan Party and constitutes a legal, valid and binding obligation of each Loan Party, enforceable against such Loan Party in accordance with its terms, subject to applicable laws affecting creditors’ rights generally and subject to (i) the effects of bankruptcy, insolvency, moratorium, reorganization, fraudulent conveyance or other laws affecting creditors’ rights generally, (ii) general principles of equity (regardless of whether such enforceability is considered in a proceeding in equity or at law) and (iii) implied covenants of good faith and fair dealing; and</w:t>
      </w:r>
    </w:p>
    <w:p>
      <w:pPr>
        <w:spacing w:after="0" w:line="150" w:lineRule="exact"/>
        <w:rPr>
          <w:rFonts w:ascii="Arial" w:cs="Arial" w:eastAsia="Arial" w:hAnsi="Arial"/>
          <w:sz w:val="19"/>
          <w:szCs w:val="19"/>
          <w:color w:val="auto"/>
        </w:rPr>
      </w:pPr>
    </w:p>
    <w:p>
      <w:pPr>
        <w:jc w:val="both"/>
        <w:ind w:left="1760" w:firstLine="746"/>
        <w:spacing w:after="0" w:line="236" w:lineRule="auto"/>
        <w:tabs>
          <w:tab w:leader="none" w:pos="3391"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this Amendment will not violate any applicable law in any material respect, will not violate or result in a default or require any consent or approval under any indenture, agreement or other instrument binding upon any Loan Party or its property, or give rise to a right thereunder to require any payment to be made by any Loan Party, except for violations, defaults or the creation of such rights that could not reasonably be expected to result in a Material Adverse Effect.</w:t>
      </w:r>
    </w:p>
    <w:p>
      <w:pPr>
        <w:spacing w:after="0" w:line="187" w:lineRule="exact"/>
        <w:rPr>
          <w:rFonts w:ascii="Arial" w:cs="Arial" w:eastAsia="Arial" w:hAnsi="Arial"/>
          <w:sz w:val="22"/>
          <w:szCs w:val="22"/>
          <w:color w:val="auto"/>
        </w:rPr>
      </w:pPr>
    </w:p>
    <w:p>
      <w:pPr>
        <w:jc w:val="both"/>
        <w:ind w:firstLine="885"/>
        <w:spacing w:after="0" w:line="236" w:lineRule="auto"/>
        <w:tabs>
          <w:tab w:leader="none" w:pos="1688"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Ratification</w:t>
      </w:r>
      <w:r>
        <w:rPr>
          <w:rFonts w:ascii="Arial" w:cs="Arial" w:eastAsia="Arial" w:hAnsi="Arial"/>
          <w:sz w:val="22"/>
          <w:szCs w:val="22"/>
          <w:color w:val="auto"/>
        </w:rPr>
        <w:t>. Except as expressly amended hereby, the Loan Documents shall remain in full force and effect. The Credit Agreement, as hereby amended, and all rights and powers created thereby or thereunder and under the other Loan Documents are in all respects ratified and confirmed and remain in full force and effect. The Collateral Agreement, as hereby amended, and all rights and powers created thereby or thereunder are in all respects ratified and confirmed and remain in full force and effect.</w:t>
      </w:r>
    </w:p>
    <w:p>
      <w:pPr>
        <w:spacing w:after="0" w:line="187" w:lineRule="exact"/>
        <w:rPr>
          <w:rFonts w:ascii="Arial" w:cs="Arial" w:eastAsia="Arial" w:hAnsi="Arial"/>
          <w:sz w:val="22"/>
          <w:szCs w:val="22"/>
          <w:color w:val="auto"/>
        </w:rPr>
      </w:pPr>
    </w:p>
    <w:p>
      <w:pPr>
        <w:jc w:val="both"/>
        <w:ind w:firstLine="885"/>
        <w:spacing w:after="0" w:line="273" w:lineRule="auto"/>
        <w:tabs>
          <w:tab w:leader="none" w:pos="16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Reaffirmation of Collateral Documents</w:t>
      </w:r>
      <w:r>
        <w:rPr>
          <w:rFonts w:ascii="Arial" w:cs="Arial" w:eastAsia="Arial" w:hAnsi="Arial"/>
          <w:sz w:val="19"/>
          <w:szCs w:val="19"/>
          <w:color w:val="auto"/>
        </w:rPr>
        <w:t>. In connection with this Amendment, each Loan Party party hereto, as debtor, grantor, pledgor, guarantor, or another similar capacity in which such Loan Party grants Liens or security interests or otherwise acts as a guarantor, joint or several obligor or other accommodation party, as the case may be, in each case under the Collateral Documents heretofore executed and delivered in connection with or pursuant to the Credit Agreement (as such Collateral Documents may have been heretofore, or are hereby, amended, restated, supplemented or otherwise modified), hereby (a) ratifies and reaffirms all of its payment and performance obligations, contingent or otherwise, under such Collateral Documents to which it is a party, (b) to the extent such Loan Party granted Liens on or security interests in any of its properties pursuant to such Collateral Documents, hereby ratifies and reaffirms such grant of security and confirms that such Liens and security interests continue to secure the Secured Obligations (as defined in the Collateral Agreement) thereunder and (c) to the extent such Loan Party guaranteed, was joint or severally liable, or provided other accommodations with respect to, the Obligations or any portion thereof, hereby ratifies and reaffirms such guaranties, liabilities and other accommodations.</w:t>
      </w:r>
    </w:p>
    <w:p>
      <w:pPr>
        <w:spacing w:after="0" w:line="156" w:lineRule="exact"/>
        <w:rPr>
          <w:rFonts w:ascii="Arial" w:cs="Arial" w:eastAsia="Arial" w:hAnsi="Arial"/>
          <w:sz w:val="19"/>
          <w:szCs w:val="19"/>
          <w:color w:val="auto"/>
        </w:rPr>
      </w:pPr>
    </w:p>
    <w:p>
      <w:pPr>
        <w:jc w:val="both"/>
        <w:ind w:firstLine="885"/>
        <w:spacing w:after="0" w:line="282" w:lineRule="auto"/>
        <w:tabs>
          <w:tab w:leader="none" w:pos="1688" w:val="left"/>
        </w:tabs>
        <w:numPr>
          <w:ilvl w:val="0"/>
          <w:numId w:val="88"/>
        </w:numPr>
        <w:rPr>
          <w:rFonts w:ascii="Arial" w:cs="Arial" w:eastAsia="Arial" w:hAnsi="Arial"/>
          <w:sz w:val="19"/>
          <w:szCs w:val="19"/>
          <w:color w:val="auto"/>
        </w:rPr>
      </w:pPr>
      <w:r>
        <w:rPr>
          <w:rFonts w:ascii="Arial" w:cs="Arial" w:eastAsia="Arial" w:hAnsi="Arial"/>
          <w:sz w:val="19"/>
          <w:szCs w:val="19"/>
          <w:u w:val="single" w:color="auto"/>
          <w:color w:val="auto"/>
        </w:rPr>
        <w:t>Definitions and References</w:t>
      </w:r>
      <w:r>
        <w:rPr>
          <w:rFonts w:ascii="Arial" w:cs="Arial" w:eastAsia="Arial" w:hAnsi="Arial"/>
          <w:sz w:val="19"/>
          <w:szCs w:val="19"/>
          <w:color w:val="auto"/>
        </w:rPr>
        <w:t>. Any term used in this Amendment that is defined in the Credit Agreement shall have the meaning therein ascribed to it. The terms “Agreement” ,“Credit Agreement” and “Collateral Agreement” as used in the Loan Documents or any other instrument, document or writing furnished to the Administrative Agent, the Collateral Agent or the Lenders by the Borrower and referring to the Credit Agreement or the Collateral Agreement, as applicable, shall mean the Credit Agreement as hereby amended or the Collateral Agreement as hereby amended, as applicable.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4" w:name="page75"/>
    <w:bookmarkEnd w:id="74"/>
    <w:p>
      <w:pPr>
        <w:jc w:val="both"/>
        <w:ind w:firstLine="885"/>
        <w:spacing w:after="0" w:line="270" w:lineRule="auto"/>
        <w:tabs>
          <w:tab w:leader="none" w:pos="1688"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Miscellaneous</w:t>
      </w:r>
      <w:r>
        <w:rPr>
          <w:rFonts w:ascii="Arial" w:cs="Arial" w:eastAsia="Arial" w:hAnsi="Arial"/>
          <w:sz w:val="19"/>
          <w:szCs w:val="19"/>
          <w:color w:val="auto"/>
        </w:rPr>
        <w:t>. This Amendment (a) shall be binding upon and inure to the benefit of the Borrower, the Guarantors, the Administrative Agent, the Collateral Agent and the Lenders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 party may assign its rights hereunder except in accordance with the Credit Agreement); (b) may be modified or amended only in accordance with the Credit Agreement; (c) may be executed in several counterparts, and by the parties hereto on separate counterparts, and each counterpart, when so executed and delivered, shall constitute an original agreement, and all such separate counterparts shall constitute but one and the same agreement; and (d) </w:t>
      </w:r>
      <w:r>
        <w:rPr>
          <w:rFonts w:ascii="Arial" w:cs="Arial" w:eastAsia="Arial" w:hAnsi="Arial"/>
          <w:sz w:val="19"/>
          <w:szCs w:val="19"/>
          <w:b w:val="1"/>
          <w:bCs w:val="1"/>
          <w:color w:val="auto"/>
        </w:rPr>
        <w:t>TOGETHER WITH THE OTHER LOAN</w:t>
      </w:r>
    </w:p>
    <w:p>
      <w:pPr>
        <w:spacing w:after="0" w:line="1" w:lineRule="exact"/>
        <w:rPr>
          <w:rFonts w:ascii="Arial" w:cs="Arial" w:eastAsia="Arial" w:hAnsi="Arial"/>
          <w:sz w:val="19"/>
          <w:szCs w:val="19"/>
          <w:color w:val="auto"/>
        </w:rPr>
      </w:pPr>
    </w:p>
    <w:p>
      <w:pPr>
        <w:jc w:val="both"/>
        <w:spacing w:after="0" w:line="233" w:lineRule="auto"/>
        <w:rPr>
          <w:rFonts w:ascii="Arial" w:cs="Arial" w:eastAsia="Arial" w:hAnsi="Arial"/>
          <w:sz w:val="19"/>
          <w:szCs w:val="19"/>
          <w:color w:val="auto"/>
        </w:rPr>
      </w:pPr>
      <w:r>
        <w:rPr>
          <w:rFonts w:ascii="Arial" w:cs="Arial" w:eastAsia="Arial" w:hAnsi="Arial"/>
          <w:sz w:val="22"/>
          <w:szCs w:val="22"/>
          <w:b w:val="1"/>
          <w:bCs w:val="1"/>
          <w:color w:val="auto"/>
        </w:rPr>
        <w:t>DOCUMENTS, EMBODIES THE ENTIRE AGREEMENT AND UNDERSTANDING AMONG THE PARTIES WITH RESPECT TO THE SUBJECT MATTER HEREOF AND SUPERSEDES ALL PRIOR AGREEMENTS, CONSENTS AND UNDERSTANDINGS RELATING TO SUCH SUBJECT MATTER</w:t>
      </w:r>
      <w:r>
        <w:rPr>
          <w:rFonts w:ascii="Arial" w:cs="Arial" w:eastAsia="Arial" w:hAnsi="Arial"/>
          <w:sz w:val="22"/>
          <w:szCs w:val="22"/>
          <w:color w:val="auto"/>
        </w:rPr>
        <w:t>. Delivery of an executed counterpart of a signature</w:t>
      </w:r>
      <w:r>
        <w:rPr>
          <w:rFonts w:ascii="Arial" w:cs="Arial" w:eastAsia="Arial" w:hAnsi="Arial"/>
          <w:sz w:val="22"/>
          <w:szCs w:val="22"/>
          <w:b w:val="1"/>
          <w:bCs w:val="1"/>
          <w:color w:val="auto"/>
        </w:rPr>
        <w:t xml:space="preserve"> </w:t>
      </w:r>
      <w:r>
        <w:rPr>
          <w:rFonts w:ascii="Arial" w:cs="Arial" w:eastAsia="Arial" w:hAnsi="Arial"/>
          <w:sz w:val="22"/>
          <w:szCs w:val="22"/>
          <w:color w:val="auto"/>
        </w:rPr>
        <w:t>page to this Amendment by telecopy or as an attachment to an email shall be effective as delivery of a manually executed counterpart of this Amendment.</w:t>
      </w:r>
    </w:p>
    <w:p>
      <w:pPr>
        <w:spacing w:after="0" w:line="185" w:lineRule="exact"/>
        <w:rPr>
          <w:rFonts w:ascii="Arial" w:cs="Arial" w:eastAsia="Arial" w:hAnsi="Arial"/>
          <w:sz w:val="19"/>
          <w:szCs w:val="19"/>
          <w:color w:val="auto"/>
        </w:rPr>
      </w:pPr>
    </w:p>
    <w:p>
      <w:pPr>
        <w:jc w:val="both"/>
        <w:ind w:firstLine="885"/>
        <w:spacing w:after="0" w:line="287" w:lineRule="auto"/>
        <w:tabs>
          <w:tab w:leader="none" w:pos="1796"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Loan Document</w:t>
      </w:r>
      <w:r>
        <w:rPr>
          <w:rFonts w:ascii="Arial" w:cs="Arial" w:eastAsia="Arial" w:hAnsi="Arial"/>
          <w:sz w:val="19"/>
          <w:szCs w:val="19"/>
          <w:color w:val="auto"/>
        </w:rPr>
        <w:t>. The execution, delivery and effectiveness of this Amendment shall not, except as expressly provided herein, operate as a waiver of any right, power or remedy of any Lender, the Administrative Agent or the Collateral Agent under any of the Loan Documents, nor constitute a waiver of any provision of any of the Loan Documents. On and after the effectiveness of this Amendment, this Amendment shall for all purposes constitute a Loan Document.</w:t>
      </w:r>
    </w:p>
    <w:p>
      <w:pPr>
        <w:spacing w:after="0" w:line="143" w:lineRule="exact"/>
        <w:rPr>
          <w:rFonts w:ascii="Arial" w:cs="Arial" w:eastAsia="Arial" w:hAnsi="Arial"/>
          <w:sz w:val="19"/>
          <w:szCs w:val="19"/>
          <w:color w:val="auto"/>
        </w:rPr>
      </w:pPr>
    </w:p>
    <w:p>
      <w:pPr>
        <w:ind w:left="1800" w:hanging="915"/>
        <w:spacing w:after="0"/>
        <w:tabs>
          <w:tab w:leader="none" w:pos="1800" w:val="left"/>
        </w:tabs>
        <w:numPr>
          <w:ilvl w:val="0"/>
          <w:numId w:val="89"/>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governed by, and construed in accordance with, the law of the</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 of New York.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5" w:name="page76"/>
    <w:bookmarkEnd w:id="75"/>
    <w:p>
      <w:pPr>
        <w:spacing w:after="0"/>
        <w:rPr>
          <w:sz w:val="20"/>
          <w:szCs w:val="20"/>
          <w:color w:val="auto"/>
        </w:rPr>
      </w:pPr>
      <w:r>
        <w:rPr>
          <w:rFonts w:ascii="Arial" w:cs="Arial" w:eastAsia="Arial" w:hAnsi="Arial"/>
          <w:sz w:val="19"/>
          <w:szCs w:val="19"/>
          <w:color w:val="auto"/>
        </w:rPr>
        <w:t>The parties hereto have caused this Amendment to be duly executed as of the day and year first above written.</w:t>
      </w:r>
    </w:p>
    <w:p>
      <w:pPr>
        <w:sectPr>
          <w:pgSz w:w="11900" w:h="16838" w:orient="portrait"/>
          <w:cols w:equalWidth="0" w:num="1">
            <w:col w:w="9540"/>
          </w:cols>
          <w:pgMar w:left="1120" w:top="361" w:right="1239" w:bottom="1440" w:gutter="0" w:footer="0" w:header="0"/>
        </w:sectPr>
      </w:pPr>
    </w:p>
    <w:p>
      <w:pPr>
        <w:spacing w:after="0" w:line="235" w:lineRule="exact"/>
        <w:rPr>
          <w:sz w:val="20"/>
          <w:szCs w:val="20"/>
          <w:color w:val="auto"/>
        </w:rPr>
      </w:pPr>
    </w:p>
    <w:p>
      <w:pPr>
        <w:ind w:left="3520"/>
        <w:spacing w:after="0"/>
        <w:rPr>
          <w:sz w:val="20"/>
          <w:szCs w:val="20"/>
          <w:color w:val="auto"/>
        </w:rPr>
      </w:pPr>
      <w:r>
        <w:rPr>
          <w:rFonts w:ascii="Arial" w:cs="Arial" w:eastAsia="Arial" w:hAnsi="Arial"/>
          <w:sz w:val="22"/>
          <w:szCs w:val="22"/>
          <w:b w:val="1"/>
          <w:bCs w:val="1"/>
          <w:u w:val="single" w:color="auto"/>
          <w:color w:val="auto"/>
        </w:rPr>
        <w:t>BORROWER:</w:t>
      </w:r>
    </w:p>
    <w:p>
      <w:pPr>
        <w:spacing w:after="0" w:line="21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SUMMIT MIDSTREAM HOLDINGS, LLC</w:t>
      </w:r>
    </w:p>
    <w:p>
      <w:pPr>
        <w:spacing w:after="0" w:line="206" w:lineRule="exact"/>
        <w:rPr>
          <w:sz w:val="20"/>
          <w:szCs w:val="20"/>
          <w:color w:val="auto"/>
        </w:rPr>
      </w:pPr>
    </w:p>
    <w:p>
      <w:pPr>
        <w:ind w:left="348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2" w:lineRule="exact"/>
        <w:rPr>
          <w:sz w:val="20"/>
          <w:szCs w:val="20"/>
          <w:color w:val="auto"/>
        </w:rPr>
      </w:pPr>
    </w:p>
    <w:tbl>
      <w:tblPr>
        <w:tblLayout w:type="fixed"/>
        <w:tblInd w:w="3960" w:type="dxa"/>
        <w:tblCellMar>
          <w:top w:w="0" w:type="dxa"/>
          <w:left w:w="0" w:type="dxa"/>
          <w:bottom w:w="0" w:type="dxa"/>
          <w:right w:w="0" w:type="dxa"/>
        </w:tblCellMar>
      </w:tblPr>
      <w:tr>
        <w:trPr>
          <w:trHeight w:val="219"/>
        </w:trPr>
        <w:tc>
          <w:tcPr>
            <w:tcW w:w="7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1520" w:type="dxa"/>
            <w:vAlign w:val="bottom"/>
            <w:tcBorders>
              <w:top w:val="single" w:sz="8" w:color="auto"/>
            </w:tcBorders>
          </w:tcPr>
          <w:p>
            <w:pPr>
              <w:ind w:left="140"/>
              <w:spacing w:after="0" w:line="219" w:lineRule="exact"/>
              <w:rPr>
                <w:sz w:val="20"/>
                <w:szCs w:val="20"/>
                <w:color w:val="auto"/>
              </w:rPr>
            </w:pPr>
            <w:r>
              <w:rPr>
                <w:rFonts w:ascii="Arial" w:cs="Arial" w:eastAsia="Arial" w:hAnsi="Arial"/>
                <w:sz w:val="22"/>
                <w:szCs w:val="22"/>
                <w:color w:val="auto"/>
              </w:rPr>
              <w:t>Marc Stratton</w:t>
            </w:r>
          </w:p>
        </w:tc>
        <w:tc>
          <w:tcPr>
            <w:tcW w:w="3240" w:type="dxa"/>
            <w:vAlign w:val="bottom"/>
          </w:tcPr>
          <w:p>
            <w:pPr>
              <w:spacing w:after="0"/>
              <w:rPr>
                <w:sz w:val="19"/>
                <w:szCs w:val="19"/>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gridSpan w:val="2"/>
          </w:tcPr>
          <w:p>
            <w:pPr>
              <w:ind w:left="140"/>
              <w:spacing w:after="0"/>
              <w:rPr>
                <w:sz w:val="20"/>
                <w:szCs w:val="20"/>
                <w:color w:val="auto"/>
              </w:rPr>
            </w:pPr>
            <w:r>
              <w:rPr>
                <w:rFonts w:ascii="Arial" w:cs="Arial" w:eastAsia="Arial" w:hAnsi="Arial"/>
                <w:sz w:val="22"/>
                <w:szCs w:val="22"/>
                <w:color w:val="auto"/>
                <w:w w:val="90"/>
              </w:rPr>
              <w:t>Executive Vice President and Chief Financial Officer</w:t>
            </w:r>
          </w:p>
        </w:tc>
      </w:tr>
    </w:tbl>
    <w:p>
      <w:pPr>
        <w:spacing w:after="0" w:line="395" w:lineRule="exact"/>
        <w:rPr>
          <w:sz w:val="20"/>
          <w:szCs w:val="20"/>
          <w:color w:val="auto"/>
        </w:rPr>
      </w:pPr>
    </w:p>
    <w:p>
      <w:pPr>
        <w:ind w:left="3480"/>
        <w:spacing w:after="0"/>
        <w:rPr>
          <w:sz w:val="20"/>
          <w:szCs w:val="20"/>
          <w:color w:val="auto"/>
        </w:rPr>
      </w:pPr>
      <w:r>
        <w:rPr>
          <w:rFonts w:ascii="Arial" w:cs="Arial" w:eastAsia="Arial" w:hAnsi="Arial"/>
          <w:sz w:val="22"/>
          <w:szCs w:val="22"/>
          <w:b w:val="1"/>
          <w:bCs w:val="1"/>
          <w:u w:val="single" w:color="auto"/>
          <w:color w:val="auto"/>
        </w:rPr>
        <w:t>OTHER LOAN PARTIES:</w:t>
      </w:r>
    </w:p>
    <w:p>
      <w:pPr>
        <w:spacing w:after="0" w:line="212"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SUMMIT MIDSTREAM PARTNERS, LP</w:t>
      </w:r>
    </w:p>
    <w:p>
      <w:pPr>
        <w:spacing w:after="0" w:line="206" w:lineRule="exact"/>
        <w:rPr>
          <w:sz w:val="20"/>
          <w:szCs w:val="20"/>
          <w:color w:val="auto"/>
        </w:rPr>
      </w:pPr>
    </w:p>
    <w:p>
      <w:pPr>
        <w:ind w:left="348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SUMMIT MIDSTREAM GP, LLC,</w:t>
      </w:r>
    </w:p>
    <w:p>
      <w:pPr>
        <w:spacing w:after="0" w:line="8" w:lineRule="exact"/>
        <w:rPr>
          <w:sz w:val="20"/>
          <w:szCs w:val="20"/>
          <w:color w:val="auto"/>
        </w:rPr>
      </w:pPr>
    </w:p>
    <w:p>
      <w:pPr>
        <w:ind w:left="3960"/>
        <w:spacing w:after="0"/>
        <w:rPr>
          <w:sz w:val="20"/>
          <w:szCs w:val="20"/>
          <w:color w:val="auto"/>
        </w:rPr>
      </w:pPr>
      <w:r>
        <w:rPr>
          <w:rFonts w:ascii="Arial" w:cs="Arial" w:eastAsia="Arial" w:hAnsi="Arial"/>
          <w:sz w:val="22"/>
          <w:szCs w:val="22"/>
          <w:color w:val="auto"/>
        </w:rPr>
        <w:t>its general partner</w:t>
      </w:r>
    </w:p>
    <w:p>
      <w:pPr>
        <w:spacing w:after="0" w:line="188" w:lineRule="exact"/>
        <w:rPr>
          <w:sz w:val="20"/>
          <w:szCs w:val="20"/>
          <w:color w:val="auto"/>
        </w:rPr>
      </w:pPr>
    </w:p>
    <w:p>
      <w:pPr>
        <w:ind w:left="3480"/>
        <w:spacing w:after="0"/>
        <w:tabs>
          <w:tab w:leader="none" w:pos="39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2" w:lineRule="exact"/>
        <w:rPr>
          <w:sz w:val="20"/>
          <w:szCs w:val="20"/>
          <w:color w:val="auto"/>
        </w:rPr>
      </w:pPr>
    </w:p>
    <w:tbl>
      <w:tblPr>
        <w:tblLayout w:type="fixed"/>
        <w:tblInd w:w="3960" w:type="dxa"/>
        <w:tblCellMar>
          <w:top w:w="0" w:type="dxa"/>
          <w:left w:w="0" w:type="dxa"/>
          <w:bottom w:w="0" w:type="dxa"/>
          <w:right w:w="0" w:type="dxa"/>
        </w:tblCellMar>
      </w:tblPr>
      <w:tr>
        <w:trPr>
          <w:trHeight w:val="219"/>
        </w:trPr>
        <w:tc>
          <w:tcPr>
            <w:tcW w:w="7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1520" w:type="dxa"/>
            <w:vAlign w:val="bottom"/>
            <w:tcBorders>
              <w:top w:val="single" w:sz="8" w:color="auto"/>
            </w:tcBorders>
          </w:tcPr>
          <w:p>
            <w:pPr>
              <w:ind w:left="140"/>
              <w:spacing w:after="0" w:line="219" w:lineRule="exact"/>
              <w:rPr>
                <w:sz w:val="20"/>
                <w:szCs w:val="20"/>
                <w:color w:val="auto"/>
              </w:rPr>
            </w:pPr>
            <w:r>
              <w:rPr>
                <w:rFonts w:ascii="Arial" w:cs="Arial" w:eastAsia="Arial" w:hAnsi="Arial"/>
                <w:sz w:val="22"/>
                <w:szCs w:val="22"/>
                <w:color w:val="auto"/>
              </w:rPr>
              <w:t>Marc Stratton</w:t>
            </w:r>
          </w:p>
        </w:tc>
        <w:tc>
          <w:tcPr>
            <w:tcW w:w="3240" w:type="dxa"/>
            <w:vAlign w:val="bottom"/>
          </w:tcPr>
          <w:p>
            <w:pPr>
              <w:spacing w:after="0"/>
              <w:rPr>
                <w:sz w:val="19"/>
                <w:szCs w:val="19"/>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gridSpan w:val="2"/>
          </w:tcPr>
          <w:p>
            <w:pPr>
              <w:ind w:left="140"/>
              <w:spacing w:after="0"/>
              <w:rPr>
                <w:sz w:val="20"/>
                <w:szCs w:val="20"/>
                <w:color w:val="auto"/>
              </w:rPr>
            </w:pPr>
            <w:r>
              <w:rPr>
                <w:rFonts w:ascii="Arial" w:cs="Arial" w:eastAsia="Arial" w:hAnsi="Arial"/>
                <w:sz w:val="22"/>
                <w:szCs w:val="22"/>
                <w:color w:val="auto"/>
                <w:w w:val="90"/>
              </w:rPr>
              <w:t>Executive Vice President and Chief Financial Officer</w:t>
            </w:r>
          </w:p>
        </w:tc>
      </w:tr>
    </w:tbl>
    <w:p>
      <w:pPr>
        <w:spacing w:after="0" w:line="185"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DFW MIDSTREAM SERVICES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SUMMIT MIDSTREAM FINANCE CORP.</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GRAND RIVER GATHERING,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RED ROCK GATHERING COMPANY,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BISON MIDSTREAM,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POLAR MIDSTREAM,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EPPING TRANSMISSION COMPANY,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SUMMIT MIDSTREAM MARKETING,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SUMMIT MIDSTREAM PERMIAN,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MEADOWLARK MIDSTREAM COMPANY, LLC</w:t>
      </w:r>
    </w:p>
    <w:p>
      <w:pPr>
        <w:spacing w:after="0" w:line="98" w:lineRule="exact"/>
        <w:rPr>
          <w:sz w:val="20"/>
          <w:szCs w:val="20"/>
          <w:color w:val="auto"/>
        </w:rPr>
      </w:pPr>
    </w:p>
    <w:p>
      <w:pPr>
        <w:ind w:left="3520"/>
        <w:spacing w:after="0"/>
        <w:rPr>
          <w:sz w:val="20"/>
          <w:szCs w:val="20"/>
          <w:color w:val="auto"/>
        </w:rPr>
      </w:pPr>
      <w:r>
        <w:rPr>
          <w:rFonts w:ascii="Arial" w:cs="Arial" w:eastAsia="Arial" w:hAnsi="Arial"/>
          <w:sz w:val="22"/>
          <w:szCs w:val="22"/>
          <w:color w:val="auto"/>
        </w:rPr>
        <w:t>SUMMIT MIDSTREAM UTICA, LLC</w:t>
      </w:r>
    </w:p>
    <w:p>
      <w:pPr>
        <w:spacing w:after="0" w:line="98" w:lineRule="exact"/>
        <w:rPr>
          <w:sz w:val="20"/>
          <w:szCs w:val="20"/>
          <w:color w:val="auto"/>
        </w:rPr>
      </w:pPr>
    </w:p>
    <w:p>
      <w:pPr>
        <w:ind w:left="3520" w:right="1140"/>
        <w:spacing w:after="0" w:line="343" w:lineRule="auto"/>
        <w:rPr>
          <w:sz w:val="20"/>
          <w:szCs w:val="20"/>
          <w:color w:val="auto"/>
        </w:rPr>
      </w:pPr>
      <w:r>
        <w:rPr>
          <w:rFonts w:ascii="Arial" w:cs="Arial" w:eastAsia="Arial" w:hAnsi="Arial"/>
          <w:sz w:val="22"/>
          <w:szCs w:val="22"/>
          <w:color w:val="auto"/>
        </w:rPr>
        <w:t>SUMMIT MIDSTREAM PERMIAN FINANCE CORP. SUMMIT MIDSTREAM NIOBRARA, LLC SUMMIT MIDSTREAM PERMIAN II, LLC</w:t>
      </w: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5"/>
          <w:szCs w:val="15"/>
          <w:i w:val="1"/>
          <w:iCs w:val="1"/>
          <w:color w:val="auto"/>
        </w:rPr>
        <w:t>Signature Pages – SMLP Second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92710</wp:posOffset>
            </wp:positionV>
            <wp:extent cx="72891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540"/>
          </w:cols>
          <w:pgMar w:left="1120" w:top="361" w:right="1239" w:bottom="1440" w:gutter="0" w:footer="0" w:header="0"/>
          <w:type w:val="continuous"/>
        </w:sectPr>
      </w:pPr>
    </w:p>
    <w:bookmarkStart w:id="76" w:name="page77"/>
    <w:bookmarkEnd w:id="76"/>
    <w:p>
      <w:pPr>
        <w:ind w:left="4360"/>
        <w:spacing w:after="0"/>
        <w:rPr>
          <w:sz w:val="20"/>
          <w:szCs w:val="20"/>
          <w:color w:val="auto"/>
        </w:rPr>
      </w:pPr>
      <w:r>
        <w:rPr>
          <w:rFonts w:ascii="Arial" w:cs="Arial" w:eastAsia="Arial" w:hAnsi="Arial"/>
          <w:sz w:val="22"/>
          <w:szCs w:val="22"/>
          <w:color w:val="auto"/>
        </w:rPr>
        <w:t>SUMMIT PERMIAN TRANSMISSION, LLC</w:t>
      </w:r>
    </w:p>
    <w:p>
      <w:pPr>
        <w:spacing w:after="0" w:line="206" w:lineRule="exact"/>
        <w:rPr>
          <w:sz w:val="20"/>
          <w:szCs w:val="20"/>
          <w:color w:val="auto"/>
        </w:rPr>
      </w:pPr>
    </w:p>
    <w:p>
      <w:pPr>
        <w:ind w:left="4360"/>
        <w:spacing w:after="0"/>
        <w:tabs>
          <w:tab w:leader="none" w:pos="4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2" w:lineRule="exact"/>
        <w:rPr>
          <w:sz w:val="20"/>
          <w:szCs w:val="20"/>
          <w:color w:val="auto"/>
        </w:rPr>
      </w:pPr>
    </w:p>
    <w:tbl>
      <w:tblPr>
        <w:tblLayout w:type="fixed"/>
        <w:tblInd w:w="4840" w:type="dxa"/>
        <w:tblCellMar>
          <w:top w:w="0" w:type="dxa"/>
          <w:left w:w="0" w:type="dxa"/>
          <w:bottom w:w="0" w:type="dxa"/>
          <w:right w:w="0" w:type="dxa"/>
        </w:tblCellMar>
      </w:tblPr>
      <w:tr>
        <w:trPr>
          <w:trHeight w:val="219"/>
        </w:trPr>
        <w:tc>
          <w:tcPr>
            <w:tcW w:w="7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1520" w:type="dxa"/>
            <w:vAlign w:val="bottom"/>
            <w:tcBorders>
              <w:top w:val="single" w:sz="8" w:color="auto"/>
            </w:tcBorders>
          </w:tcPr>
          <w:p>
            <w:pPr>
              <w:ind w:left="140"/>
              <w:spacing w:after="0" w:line="219" w:lineRule="exact"/>
              <w:rPr>
                <w:sz w:val="20"/>
                <w:szCs w:val="20"/>
                <w:color w:val="auto"/>
              </w:rPr>
            </w:pPr>
            <w:r>
              <w:rPr>
                <w:rFonts w:ascii="Arial" w:cs="Arial" w:eastAsia="Arial" w:hAnsi="Arial"/>
                <w:sz w:val="22"/>
                <w:szCs w:val="22"/>
                <w:color w:val="auto"/>
              </w:rPr>
              <w:t>Marc Stratton</w:t>
            </w:r>
          </w:p>
        </w:tc>
        <w:tc>
          <w:tcPr>
            <w:tcW w:w="3240" w:type="dxa"/>
            <w:vAlign w:val="bottom"/>
          </w:tcPr>
          <w:p>
            <w:pPr>
              <w:spacing w:after="0"/>
              <w:rPr>
                <w:sz w:val="19"/>
                <w:szCs w:val="19"/>
                <w:color w:val="auto"/>
              </w:rPr>
            </w:pPr>
          </w:p>
        </w:tc>
      </w:tr>
      <w:tr>
        <w:trPr>
          <w:trHeight w:val="275"/>
        </w:trPr>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gridSpan w:val="2"/>
          </w:tcPr>
          <w:p>
            <w:pPr>
              <w:ind w:left="140"/>
              <w:spacing w:after="0"/>
              <w:rPr>
                <w:sz w:val="20"/>
                <w:szCs w:val="20"/>
                <w:color w:val="auto"/>
              </w:rPr>
            </w:pPr>
            <w:r>
              <w:rPr>
                <w:rFonts w:ascii="Arial" w:cs="Arial" w:eastAsia="Arial" w:hAnsi="Arial"/>
                <w:sz w:val="22"/>
                <w:szCs w:val="22"/>
                <w:color w:val="auto"/>
                <w:w w:val="90"/>
              </w:rPr>
              <w:t>Executive Vice President and Chief Financial Officer</w:t>
            </w:r>
          </w:p>
        </w:tc>
      </w:tr>
    </w:tbl>
    <w:p>
      <w:pPr>
        <w:spacing w:after="0" w:line="18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SUMMIT MIDSTREAM OPCO, LP</w:t>
      </w:r>
    </w:p>
    <w:p>
      <w:pPr>
        <w:spacing w:after="0" w:line="206" w:lineRule="exact"/>
        <w:rPr>
          <w:sz w:val="20"/>
          <w:szCs w:val="20"/>
          <w:color w:val="auto"/>
        </w:rPr>
      </w:pPr>
    </w:p>
    <w:p>
      <w:pPr>
        <w:ind w:left="4360"/>
        <w:spacing w:after="0"/>
        <w:tabs>
          <w:tab w:leader="none" w:pos="48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1"/>
          <w:szCs w:val="21"/>
          <w:color w:val="auto"/>
        </w:rPr>
        <w:t>SUMMIT MIDSTREAM MARKETING, LLC,</w:t>
      </w:r>
    </w:p>
    <w:p>
      <w:pPr>
        <w:spacing w:after="0" w:line="8"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its general partner</w:t>
      </w:r>
    </w:p>
    <w:p>
      <w:pPr>
        <w:spacing w:after="0" w:line="200" w:lineRule="exact"/>
        <w:rPr>
          <w:sz w:val="20"/>
          <w:szCs w:val="20"/>
          <w:color w:val="auto"/>
        </w:rPr>
      </w:pPr>
    </w:p>
    <w:p>
      <w:pPr>
        <w:spacing w:after="0" w:line="204" w:lineRule="exact"/>
        <w:rPr>
          <w:sz w:val="20"/>
          <w:szCs w:val="20"/>
          <w:color w:val="auto"/>
        </w:rPr>
      </w:pPr>
    </w:p>
    <w:p>
      <w:pPr>
        <w:jc w:val="center"/>
        <w:ind w:right="-339"/>
        <w:spacing w:after="0"/>
        <w:tabs>
          <w:tab w:leader="none" w:pos="1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Marc Stratton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94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720" w:type="dxa"/>
            <w:vAlign w:val="bottom"/>
            <w:tcBorders>
              <w:top w:val="single" w:sz="8" w:color="auto"/>
            </w:tcBorders>
          </w:tcPr>
          <w:p>
            <w:pPr>
              <w:spacing w:after="0" w:line="219" w:lineRule="exact"/>
              <w:rPr>
                <w:sz w:val="20"/>
                <w:szCs w:val="20"/>
                <w:color w:val="auto"/>
              </w:rPr>
            </w:pPr>
            <w:r>
              <w:rPr>
                <w:rFonts w:ascii="Arial" w:cs="Arial" w:eastAsia="Arial" w:hAnsi="Arial"/>
                <w:sz w:val="22"/>
                <w:szCs w:val="22"/>
                <w:color w:val="auto"/>
              </w:rPr>
              <w:t>Name:</w:t>
            </w:r>
          </w:p>
        </w:tc>
        <w:tc>
          <w:tcPr>
            <w:tcW w:w="1520" w:type="dxa"/>
            <w:vAlign w:val="bottom"/>
            <w:tcBorders>
              <w:top w:val="single" w:sz="8" w:color="auto"/>
            </w:tcBorders>
            <w:gridSpan w:val="2"/>
          </w:tcPr>
          <w:p>
            <w:pPr>
              <w:ind w:left="140"/>
              <w:spacing w:after="0" w:line="219" w:lineRule="exact"/>
              <w:rPr>
                <w:sz w:val="20"/>
                <w:szCs w:val="20"/>
                <w:color w:val="auto"/>
              </w:rPr>
            </w:pPr>
            <w:r>
              <w:rPr>
                <w:rFonts w:ascii="Arial" w:cs="Arial" w:eastAsia="Arial" w:hAnsi="Arial"/>
                <w:sz w:val="22"/>
                <w:szCs w:val="22"/>
                <w:color w:val="auto"/>
              </w:rPr>
              <w:t>Marc Stratton</w:t>
            </w:r>
          </w:p>
        </w:tc>
        <w:tc>
          <w:tcPr>
            <w:tcW w:w="3240" w:type="dxa"/>
            <w:vAlign w:val="bottom"/>
          </w:tcPr>
          <w:p>
            <w:pPr>
              <w:spacing w:after="0"/>
              <w:rPr>
                <w:sz w:val="19"/>
                <w:szCs w:val="19"/>
                <w:color w:val="auto"/>
              </w:rPr>
            </w:pPr>
          </w:p>
        </w:tc>
      </w:tr>
      <w:tr>
        <w:trPr>
          <w:trHeight w:val="275"/>
        </w:trPr>
        <w:tc>
          <w:tcPr>
            <w:tcW w:w="94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720" w:type="dxa"/>
            <w:vAlign w:val="bottom"/>
          </w:tcPr>
          <w:p>
            <w:pPr>
              <w:spacing w:after="0"/>
              <w:rPr>
                <w:sz w:val="20"/>
                <w:szCs w:val="20"/>
                <w:color w:val="auto"/>
              </w:rPr>
            </w:pPr>
            <w:r>
              <w:rPr>
                <w:rFonts w:ascii="Arial" w:cs="Arial" w:eastAsia="Arial" w:hAnsi="Arial"/>
                <w:sz w:val="22"/>
                <w:szCs w:val="22"/>
                <w:color w:val="auto"/>
              </w:rPr>
              <w:t>Title:</w:t>
            </w:r>
          </w:p>
        </w:tc>
        <w:tc>
          <w:tcPr>
            <w:tcW w:w="4760" w:type="dxa"/>
            <w:vAlign w:val="bottom"/>
            <w:gridSpan w:val="3"/>
          </w:tcPr>
          <w:p>
            <w:pPr>
              <w:ind w:left="140"/>
              <w:spacing w:after="0"/>
              <w:rPr>
                <w:sz w:val="20"/>
                <w:szCs w:val="20"/>
                <w:color w:val="auto"/>
              </w:rPr>
            </w:pPr>
            <w:r>
              <w:rPr>
                <w:rFonts w:ascii="Arial" w:cs="Arial" w:eastAsia="Arial" w:hAnsi="Arial"/>
                <w:sz w:val="22"/>
                <w:szCs w:val="22"/>
                <w:color w:val="auto"/>
                <w:w w:val="90"/>
              </w:rPr>
              <w:t>Executive Vice President and Chief Financial Officer</w:t>
            </w:r>
          </w:p>
        </w:tc>
      </w:tr>
      <w:tr>
        <w:trPr>
          <w:trHeight w:val="428"/>
        </w:trPr>
        <w:tc>
          <w:tcPr>
            <w:tcW w:w="5560" w:type="dxa"/>
            <w:vAlign w:val="bottom"/>
            <w:gridSpan w:val="3"/>
          </w:tcPr>
          <w:p>
            <w:pPr>
              <w:spacing w:after="0"/>
              <w:rPr>
                <w:sz w:val="20"/>
                <w:szCs w:val="20"/>
                <w:color w:val="auto"/>
              </w:rPr>
            </w:pPr>
            <w:r>
              <w:rPr>
                <w:rFonts w:ascii="Arial" w:cs="Arial" w:eastAsia="Arial" w:hAnsi="Arial"/>
                <w:sz w:val="22"/>
                <w:szCs w:val="22"/>
                <w:color w:val="auto"/>
              </w:rPr>
              <w:t>WELLS FARGO BANK, NATIONAL ASSOCIATION,</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5"/>
        </w:trPr>
        <w:tc>
          <w:tcPr>
            <w:tcW w:w="5560" w:type="dxa"/>
            <w:vAlign w:val="bottom"/>
            <w:gridSpan w:val="3"/>
          </w:tcPr>
          <w:p>
            <w:pPr>
              <w:spacing w:after="0"/>
              <w:rPr>
                <w:sz w:val="20"/>
                <w:szCs w:val="20"/>
                <w:color w:val="auto"/>
              </w:rPr>
            </w:pPr>
            <w:r>
              <w:rPr>
                <w:rFonts w:ascii="Arial" w:cs="Arial" w:eastAsia="Arial" w:hAnsi="Arial"/>
                <w:sz w:val="22"/>
                <w:szCs w:val="22"/>
                <w:color w:val="auto"/>
              </w:rPr>
              <w:t>as Administrative Agent, Collateral Agent and a Lender</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40" w:type="dxa"/>
            <w:vAlign w:val="bottom"/>
          </w:tcPr>
          <w:p>
            <w:pPr>
              <w:spacing w:after="0"/>
              <w:rPr>
                <w:sz w:val="23"/>
                <w:szCs w:val="23"/>
                <w:color w:val="auto"/>
              </w:rPr>
            </w:pPr>
          </w:p>
        </w:tc>
      </w:tr>
      <w:tr>
        <w:trPr>
          <w:trHeight w:val="665"/>
        </w:trPr>
        <w:tc>
          <w:tcPr>
            <w:tcW w:w="940" w:type="dxa"/>
            <w:vAlign w:val="bottom"/>
          </w:tcPr>
          <w:p>
            <w:pPr>
              <w:spacing w:after="0"/>
              <w:rPr>
                <w:sz w:val="20"/>
                <w:szCs w:val="20"/>
                <w:color w:val="auto"/>
              </w:rPr>
            </w:pPr>
            <w:r>
              <w:rPr>
                <w:rFonts w:ascii="Arial" w:cs="Arial" w:eastAsia="Arial" w:hAnsi="Arial"/>
                <w:sz w:val="22"/>
                <w:szCs w:val="22"/>
                <w:color w:val="auto"/>
              </w:rPr>
              <w:t>By:</w:t>
            </w:r>
          </w:p>
        </w:tc>
        <w:tc>
          <w:tcPr>
            <w:tcW w:w="46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rPr>
              <w:t>/s/ Brandon Kast</w:t>
            </w:r>
          </w:p>
        </w:tc>
        <w:tc>
          <w:tcPr>
            <w:tcW w:w="140" w:type="dxa"/>
            <w:vAlign w:val="bottom"/>
            <w:tcBorders>
              <w:bottom w:val="single" w:sz="8" w:color="auto"/>
            </w:tcBorders>
          </w:tcPr>
          <w:p>
            <w:pPr>
              <w:spacing w:after="0"/>
              <w:rPr>
                <w:sz w:val="24"/>
                <w:szCs w:val="24"/>
                <w:color w:val="auto"/>
              </w:rPr>
            </w:pPr>
          </w:p>
        </w:tc>
        <w:tc>
          <w:tcPr>
            <w:tcW w:w="13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15"/>
        </w:trPr>
        <w:tc>
          <w:tcPr>
            <w:tcW w:w="94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620" w:type="dxa"/>
            <w:vAlign w:val="bottom"/>
            <w:gridSpan w:val="2"/>
          </w:tcPr>
          <w:p>
            <w:pPr>
              <w:spacing w:after="0" w:line="216" w:lineRule="exact"/>
              <w:rPr>
                <w:sz w:val="20"/>
                <w:szCs w:val="20"/>
                <w:color w:val="auto"/>
              </w:rPr>
            </w:pPr>
            <w:r>
              <w:rPr>
                <w:rFonts w:ascii="Arial" w:cs="Arial" w:eastAsia="Arial" w:hAnsi="Arial"/>
                <w:sz w:val="22"/>
                <w:szCs w:val="22"/>
                <w:color w:val="auto"/>
              </w:rPr>
              <w:t>Brandon Kast</w:t>
            </w: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75"/>
        </w:trPr>
        <w:tc>
          <w:tcPr>
            <w:tcW w:w="940" w:type="dxa"/>
            <w:vAlign w:val="bottom"/>
          </w:tcPr>
          <w:p>
            <w:pPr>
              <w:spacing w:after="0"/>
              <w:rPr>
                <w:sz w:val="20"/>
                <w:szCs w:val="20"/>
                <w:color w:val="auto"/>
              </w:rPr>
            </w:pPr>
            <w:r>
              <w:rPr>
                <w:rFonts w:ascii="Arial" w:cs="Arial" w:eastAsia="Arial" w:hAnsi="Arial"/>
                <w:sz w:val="22"/>
                <w:szCs w:val="22"/>
                <w:color w:val="auto"/>
              </w:rPr>
              <w:t>Title:</w:t>
            </w:r>
          </w:p>
        </w:tc>
        <w:tc>
          <w:tcPr>
            <w:tcW w:w="4620" w:type="dxa"/>
            <w:vAlign w:val="bottom"/>
            <w:gridSpan w:val="2"/>
          </w:tcPr>
          <w:p>
            <w:pPr>
              <w:spacing w:after="0"/>
              <w:rPr>
                <w:sz w:val="20"/>
                <w:szCs w:val="20"/>
                <w:color w:val="auto"/>
              </w:rPr>
            </w:pPr>
            <w:r>
              <w:rPr>
                <w:rFonts w:ascii="Arial" w:cs="Arial" w:eastAsia="Arial" w:hAnsi="Arial"/>
                <w:sz w:val="22"/>
                <w:szCs w:val="22"/>
                <w:color w:val="auto"/>
              </w:rPr>
              <w:t>Director</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3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080"/>
        <w:spacing w:after="0"/>
        <w:rPr>
          <w:sz w:val="20"/>
          <w:szCs w:val="20"/>
          <w:color w:val="auto"/>
        </w:rPr>
      </w:pPr>
      <w:r>
        <w:rPr>
          <w:rFonts w:ascii="Arial" w:cs="Arial" w:eastAsia="Arial" w:hAnsi="Arial"/>
          <w:sz w:val="18"/>
          <w:szCs w:val="18"/>
          <w:i w:val="1"/>
          <w:iCs w:val="1"/>
          <w:color w:val="auto"/>
        </w:rPr>
        <w:t>Signature Pages – SMLP Second Amendment</w:t>
      </w:r>
    </w:p>
    <w:p>
      <w:pPr>
        <w:sectPr>
          <w:pgSz w:w="11900" w:h="16838" w:orient="portrait"/>
          <w:cols w:equalWidth="0" w:num="1">
            <w:col w:w="10320"/>
          </w:cols>
          <w:pgMar w:left="240" w:top="361" w:right="1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Leonard W. Mallett, certify that:</w:t>
      </w:r>
    </w:p>
    <w:p>
      <w:pPr>
        <w:spacing w:after="0" w:line="158" w:lineRule="exact"/>
        <w:rPr>
          <w:sz w:val="20"/>
          <w:szCs w:val="20"/>
          <w:color w:val="auto"/>
        </w:rPr>
      </w:pPr>
    </w:p>
    <w:p>
      <w:pPr>
        <w:ind w:left="400" w:hanging="191"/>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460" w:firstLine="9"/>
        <w:spacing w:after="0" w:line="246" w:lineRule="auto"/>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200" w:right="20" w:firstLine="9"/>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500" w:right="140" w:firstLine="9"/>
        <w:spacing w:after="0"/>
        <w:tabs>
          <w:tab w:leader="none" w:pos="7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180" w:firstLine="9"/>
        <w:spacing w:after="0"/>
        <w:tabs>
          <w:tab w:leader="none" w:pos="7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500" w:right="100" w:firstLine="9"/>
        <w:spacing w:after="0"/>
        <w:tabs>
          <w:tab w:leader="none" w:pos="7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firstLine="9"/>
        <w:spacing w:after="0"/>
        <w:tabs>
          <w:tab w:leader="none" w:pos="7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440" w:firstLine="9"/>
        <w:spacing w:after="0"/>
        <w:tabs>
          <w:tab w:leader="none" w:pos="4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320" w:firstLine="9"/>
        <w:spacing w:after="0" w:line="246" w:lineRule="auto"/>
        <w:tabs>
          <w:tab w:leader="none" w:pos="7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560" w:firstLine="9"/>
        <w:spacing w:after="0" w:line="246" w:lineRule="auto"/>
        <w:tabs>
          <w:tab w:leader="none" w:pos="77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2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r>
        <w:rPr>
          <w:sz w:val="20"/>
          <w:szCs w:val="20"/>
          <w:color w:val="auto"/>
        </w:rPr>
        <w:tab/>
      </w:r>
      <w:r>
        <w:rPr>
          <w:rFonts w:ascii="Arial" w:cs="Arial" w:eastAsia="Arial" w:hAnsi="Arial"/>
          <w:sz w:val="17"/>
          <w:szCs w:val="17"/>
          <w:i w:val="1"/>
          <w:iCs w:val="1"/>
          <w:color w:val="auto"/>
        </w:rPr>
        <w:t>/s/ Leonard W. Mallett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8890</wp:posOffset>
            </wp:positionV>
            <wp:extent cx="678370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Leonard W. Mallett</w:t>
      </w:r>
    </w:p>
    <w:p>
      <w:pPr>
        <w:ind w:left="6800"/>
        <w:spacing w:after="0" w:line="234" w:lineRule="auto"/>
        <w:rPr>
          <w:sz w:val="20"/>
          <w:szCs w:val="20"/>
          <w:color w:val="auto"/>
        </w:rPr>
      </w:pPr>
      <w:r>
        <w:rPr>
          <w:rFonts w:ascii="Arial" w:cs="Arial" w:eastAsia="Arial" w:hAnsi="Arial"/>
          <w:sz w:val="18"/>
          <w:szCs w:val="18"/>
          <w:color w:val="auto"/>
        </w:rPr>
        <w:t>President, Chief Executive Officer and Director of Summit</w:t>
      </w:r>
    </w:p>
    <w:p>
      <w:pPr>
        <w:ind w:left="6800"/>
        <w:spacing w:after="0" w:line="235" w:lineRule="auto"/>
        <w:rPr>
          <w:sz w:val="20"/>
          <w:szCs w:val="20"/>
          <w:color w:val="auto"/>
        </w:rPr>
      </w:pPr>
      <w:r>
        <w:rPr>
          <w:rFonts w:ascii="Arial" w:cs="Arial" w:eastAsia="Arial" w:hAnsi="Arial"/>
          <w:sz w:val="18"/>
          <w:szCs w:val="18"/>
          <w:color w:val="auto"/>
        </w:rPr>
        <w:t>Midstream GP, LLC (the general partner of Summit</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31.1-1</w:t>
      </w:r>
    </w:p>
    <w:p>
      <w:pPr>
        <w:sectPr>
          <w:pgSz w:w="11900" w:h="16838" w:orient="portrait"/>
          <w:cols w:equalWidth="0" w:num="1">
            <w:col w:w="11420"/>
          </w:cols>
          <w:pgMar w:left="240" w:top="118"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 D. Stratton, certify that:</w:t>
      </w:r>
    </w:p>
    <w:p>
      <w:pPr>
        <w:spacing w:after="0" w:line="158" w:lineRule="exact"/>
        <w:rPr>
          <w:sz w:val="20"/>
          <w:szCs w:val="20"/>
          <w:color w:val="auto"/>
        </w:rPr>
      </w:pPr>
    </w:p>
    <w:p>
      <w:pPr>
        <w:ind w:left="400" w:hanging="191"/>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Summit Midstream Partners, LP;</w:t>
      </w:r>
    </w:p>
    <w:p>
      <w:pPr>
        <w:spacing w:after="0" w:line="76" w:lineRule="exact"/>
        <w:rPr>
          <w:rFonts w:ascii="Arial" w:cs="Arial" w:eastAsia="Arial" w:hAnsi="Arial"/>
          <w:sz w:val="18"/>
          <w:szCs w:val="18"/>
          <w:color w:val="auto"/>
        </w:rPr>
      </w:pPr>
    </w:p>
    <w:p>
      <w:pPr>
        <w:ind w:left="200" w:right="80" w:firstLine="9"/>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Arial" w:cs="Arial" w:eastAsia="Arial" w:hAnsi="Arial"/>
          <w:sz w:val="18"/>
          <w:szCs w:val="18"/>
          <w:color w:val="auto"/>
        </w:rPr>
      </w:pPr>
    </w:p>
    <w:p>
      <w:pPr>
        <w:ind w:left="200" w:right="460" w:firstLine="9"/>
        <w:spacing w:after="0" w:line="246" w:lineRule="auto"/>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8" w:lineRule="exact"/>
        <w:rPr>
          <w:rFonts w:ascii="Arial" w:cs="Arial" w:eastAsia="Arial" w:hAnsi="Arial"/>
          <w:sz w:val="18"/>
          <w:szCs w:val="18"/>
          <w:color w:val="auto"/>
        </w:rPr>
      </w:pPr>
    </w:p>
    <w:p>
      <w:pPr>
        <w:ind w:left="200" w:right="20" w:firstLine="9"/>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Arial" w:cs="Arial" w:eastAsia="Arial" w:hAnsi="Arial"/>
          <w:sz w:val="18"/>
          <w:szCs w:val="18"/>
          <w:color w:val="auto"/>
        </w:rPr>
      </w:pPr>
    </w:p>
    <w:p>
      <w:pPr>
        <w:ind w:left="500" w:right="140" w:firstLine="9"/>
        <w:spacing w:after="0"/>
        <w:tabs>
          <w:tab w:leader="none" w:pos="7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Arial" w:cs="Arial" w:eastAsia="Arial" w:hAnsi="Arial"/>
          <w:sz w:val="18"/>
          <w:szCs w:val="18"/>
          <w:color w:val="auto"/>
        </w:rPr>
      </w:pPr>
    </w:p>
    <w:p>
      <w:pPr>
        <w:ind w:left="500" w:right="180" w:firstLine="9"/>
        <w:spacing w:after="0"/>
        <w:tabs>
          <w:tab w:leader="none" w:pos="7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8"/>
          <w:szCs w:val="18"/>
          <w:color w:val="auto"/>
        </w:rPr>
      </w:pPr>
    </w:p>
    <w:p>
      <w:pPr>
        <w:jc w:val="both"/>
        <w:ind w:left="500" w:right="100" w:firstLine="9"/>
        <w:spacing w:after="0"/>
        <w:tabs>
          <w:tab w:leader="none" w:pos="76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4" w:lineRule="exact"/>
        <w:rPr>
          <w:rFonts w:ascii="Arial" w:cs="Arial" w:eastAsia="Arial" w:hAnsi="Arial"/>
          <w:sz w:val="18"/>
          <w:szCs w:val="18"/>
          <w:color w:val="auto"/>
        </w:rPr>
      </w:pPr>
    </w:p>
    <w:p>
      <w:pPr>
        <w:ind w:left="500" w:firstLine="9"/>
        <w:spacing w:after="0"/>
        <w:tabs>
          <w:tab w:leader="none" w:pos="7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Arial" w:cs="Arial" w:eastAsia="Arial" w:hAnsi="Arial"/>
          <w:sz w:val="18"/>
          <w:szCs w:val="18"/>
          <w:color w:val="auto"/>
        </w:rPr>
      </w:pPr>
    </w:p>
    <w:p>
      <w:pPr>
        <w:ind w:left="200" w:right="440" w:firstLine="9"/>
        <w:spacing w:after="0"/>
        <w:tabs>
          <w:tab w:leader="none" w:pos="4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Arial" w:cs="Arial" w:eastAsia="Arial" w:hAnsi="Arial"/>
          <w:sz w:val="18"/>
          <w:szCs w:val="18"/>
          <w:color w:val="auto"/>
        </w:rPr>
      </w:pPr>
    </w:p>
    <w:p>
      <w:pPr>
        <w:ind w:left="500" w:right="320" w:firstLine="9"/>
        <w:spacing w:after="0" w:line="246" w:lineRule="auto"/>
        <w:tabs>
          <w:tab w:leader="none" w:pos="7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8" w:lineRule="exact"/>
        <w:rPr>
          <w:rFonts w:ascii="Arial" w:cs="Arial" w:eastAsia="Arial" w:hAnsi="Arial"/>
          <w:sz w:val="18"/>
          <w:szCs w:val="18"/>
          <w:color w:val="auto"/>
        </w:rPr>
      </w:pPr>
    </w:p>
    <w:p>
      <w:pPr>
        <w:ind w:left="500" w:right="560" w:firstLine="9"/>
        <w:spacing w:after="0" w:line="246" w:lineRule="auto"/>
        <w:tabs>
          <w:tab w:leader="none" w:pos="770"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8" w:lineRule="exact"/>
        <w:rPr>
          <w:sz w:val="20"/>
          <w:szCs w:val="20"/>
          <w:color w:val="auto"/>
        </w:rPr>
      </w:pPr>
    </w:p>
    <w:p>
      <w:pPr>
        <w:ind w:left="40"/>
        <w:spacing w:after="0"/>
        <w:tabs>
          <w:tab w:leader="none" w:pos="2120" w:val="left"/>
          <w:tab w:leader="none" w:pos="67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r>
        <w:rPr>
          <w:sz w:val="20"/>
          <w:szCs w:val="20"/>
          <w:color w:val="auto"/>
        </w:rPr>
        <w:tab/>
      </w: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8890</wp:posOffset>
            </wp:positionV>
            <wp:extent cx="678370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678370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Marc D. Stratton</w:t>
      </w:r>
    </w:p>
    <w:p>
      <w:pPr>
        <w:ind w:left="6800"/>
        <w:spacing w:after="0" w:line="234" w:lineRule="auto"/>
        <w:rPr>
          <w:sz w:val="20"/>
          <w:szCs w:val="20"/>
          <w:color w:val="auto"/>
        </w:rPr>
      </w:pPr>
      <w:r>
        <w:rPr>
          <w:rFonts w:ascii="Arial" w:cs="Arial" w:eastAsia="Arial" w:hAnsi="Arial"/>
          <w:sz w:val="18"/>
          <w:szCs w:val="18"/>
          <w:color w:val="auto"/>
        </w:rPr>
        <w:t>Executive Vice President and Chief Financial Officer of</w:t>
      </w:r>
    </w:p>
    <w:p>
      <w:pPr>
        <w:ind w:left="6800"/>
        <w:spacing w:after="0" w:line="235" w:lineRule="auto"/>
        <w:rPr>
          <w:sz w:val="20"/>
          <w:szCs w:val="20"/>
          <w:color w:val="auto"/>
        </w:rPr>
      </w:pPr>
      <w:r>
        <w:rPr>
          <w:rFonts w:ascii="Arial" w:cs="Arial" w:eastAsia="Arial" w:hAnsi="Arial"/>
          <w:sz w:val="18"/>
          <w:szCs w:val="18"/>
          <w:color w:val="auto"/>
        </w:rPr>
        <w:t>Summit Midstream GP, LLC (the general partner of</w:t>
      </w:r>
    </w:p>
    <w:p>
      <w:pPr>
        <w:spacing w:after="0" w:line="1"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Summit Midstream Partners, LP)</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31.2-1</w:t>
      </w:r>
    </w:p>
    <w:p>
      <w:pPr>
        <w:sectPr>
          <w:pgSz w:w="11900" w:h="16838" w:orient="portrait"/>
          <w:cols w:equalWidth="0" w:num="1">
            <w:col w:w="11420"/>
          </w:cols>
          <w:pgMar w:left="240" w:top="118"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8" w:lineRule="exact"/>
        <w:rPr>
          <w:sz w:val="20"/>
          <w:szCs w:val="20"/>
          <w:color w:val="auto"/>
        </w:rPr>
      </w:pPr>
    </w:p>
    <w:p>
      <w:pPr>
        <w:ind w:right="140"/>
        <w:spacing w:after="0" w:line="241" w:lineRule="auto"/>
        <w:rPr>
          <w:sz w:val="20"/>
          <w:szCs w:val="20"/>
          <w:color w:val="auto"/>
        </w:rPr>
      </w:pPr>
      <w:r>
        <w:rPr>
          <w:rFonts w:ascii="Arial" w:cs="Arial" w:eastAsia="Arial" w:hAnsi="Arial"/>
          <w:sz w:val="18"/>
          <w:szCs w:val="18"/>
          <w:color w:val="auto"/>
        </w:rPr>
        <w:t>In connection with the quarterly report on Form 10-Q of Summit Midstream Partners, LP (the “Registrant”) for the quarterly period ended June 30, 2019, as filed with the Securities and Exchange Commission on the date hereof (the “Report”), the undersigned, Leonard W. Mallett, as President, Chief Executive Officer and Director of Summit Midstream GP, LLC, the general partner of the Registrant, and Marc D. Stratton,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spacing w:after="0" w:line="230" w:lineRule="exact"/>
        <w:rPr>
          <w:sz w:val="20"/>
          <w:szCs w:val="20"/>
          <w:color w:val="auto"/>
        </w:rPr>
      </w:pPr>
    </w:p>
    <w:p>
      <w:pPr>
        <w:ind w:left="580" w:hanging="572"/>
        <w:spacing w:after="0"/>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8" w:lineRule="exact"/>
        <w:rPr>
          <w:rFonts w:ascii="Arial" w:cs="Arial" w:eastAsia="Arial" w:hAnsi="Arial"/>
          <w:sz w:val="18"/>
          <w:szCs w:val="18"/>
          <w:color w:val="auto"/>
        </w:rPr>
      </w:pPr>
    </w:p>
    <w:p>
      <w:pPr>
        <w:ind w:left="580" w:right="260" w:hanging="572"/>
        <w:spacing w:after="0" w:line="246" w:lineRule="auto"/>
        <w:tabs>
          <w:tab w:leader="none" w:pos="5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Leonard W. Mallett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77151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Leonard W. Mallett</w:t>
      </w:r>
    </w:p>
    <w:p>
      <w:pPr>
        <w:spacing w:after="0" w:line="36" w:lineRule="exact"/>
        <w:rPr>
          <w:sz w:val="20"/>
          <w:szCs w:val="20"/>
          <w:color w:val="auto"/>
        </w:rPr>
      </w:pPr>
    </w:p>
    <w:p>
      <w:pPr>
        <w:ind w:left="740" w:right="4500" w:hanging="739"/>
        <w:spacing w:after="0" w:line="281" w:lineRule="auto"/>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Chief Executive Officer and Director of Summit Midstream GP, LLC (the general partner of Summit Midstream Partners, LP)</w:t>
      </w:r>
    </w:p>
    <w:p>
      <w:pPr>
        <w:spacing w:after="0" w:line="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Marc D. Stratton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577151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5771515" cy="8890"/>
                    </a:xfrm>
                    <a:prstGeom prst="rect">
                      <a:avLst/>
                    </a:prstGeom>
                    <a:noFill/>
                  </pic:spPr>
                </pic:pic>
              </a:graphicData>
            </a:graphic>
          </wp:anchor>
        </w:drawing>
      </w:r>
    </w:p>
    <w:p>
      <w:pPr>
        <w:spacing w:after="0" w:line="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Marc D. Stratton</w:t>
      </w:r>
    </w:p>
    <w:p>
      <w:pPr>
        <w:spacing w:after="0" w:line="36" w:lineRule="exact"/>
        <w:rPr>
          <w:sz w:val="20"/>
          <w:szCs w:val="20"/>
          <w:color w:val="auto"/>
        </w:rPr>
      </w:pPr>
    </w:p>
    <w:p>
      <w:pPr>
        <w:ind w:left="740" w:right="4060" w:hanging="739"/>
        <w:spacing w:after="0" w:line="281" w:lineRule="auto"/>
        <w:tabs>
          <w:tab w:leader="none" w:pos="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Executive Vice President and Chief Financial Officer of Summit Midstream GP, LLC (the general partner of Summit Midstream Partners, LP)</w:t>
      </w:r>
    </w:p>
    <w:p>
      <w:pPr>
        <w:spacing w:after="0" w:line="2"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2019</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 32.1-1</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
      <w:numFmt w:val="bullet"/>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1."/>
      <w:numFmt w:val="decimal"/>
      <w:start w:val="2"/>
    </w:lvl>
    <w:lvl w:ilvl="1">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1)"/>
      <w:numFmt w:val="decimal"/>
      <w:start w:val="1"/>
    </w:lvl>
  </w:abstractNum>
  <w:abstractNum w:abstractNumId="9">
    <w:nsid w:val="1BA026FA"/>
    <w:multiLevelType w:val="hybridMultilevel"/>
    <w:lvl w:ilvl="0">
      <w:lvlJc w:val="left"/>
      <w:lvlText w:val="(%1)"/>
      <w:numFmt w:val="decimal"/>
      <w:start w:val="1"/>
    </w:lvl>
  </w:abstractNum>
  <w:abstractNum w:abstractNumId="10">
    <w:nsid w:val="79A1DEAA"/>
    <w:multiLevelType w:val="hybridMultilevel"/>
    <w:lvl w:ilvl="0">
      <w:lvlJc w:val="left"/>
      <w:lvlText w:val="(%1)"/>
      <w:numFmt w:val="decimal"/>
      <w:start w:val="1"/>
    </w:lvl>
  </w:abstractNum>
  <w:abstractNum w:abstractNumId="11">
    <w:nsid w:val="75C6C33A"/>
    <w:multiLevelType w:val="hybridMultilevel"/>
    <w:lvl w:ilvl="0">
      <w:lvlJc w:val="left"/>
      <w:lvlText w:val="(%1)"/>
      <w:numFmt w:val="decimal"/>
      <w:start w:val="1"/>
    </w:lvl>
  </w:abstractNum>
  <w:abstractNum w:abstractNumId="12">
    <w:nsid w:val="12E685FB"/>
    <w:multiLevelType w:val="hybridMultilevel"/>
    <w:lvl w:ilvl="0">
      <w:lvlJc w:val="left"/>
      <w:lvlText w:val="%1."/>
      <w:numFmt w:val="decimal"/>
      <w:start w:val="8"/>
    </w:lvl>
  </w:abstractNum>
  <w:abstractNum w:abstractNumId="13">
    <w:nsid w:val="70C6A529"/>
    <w:multiLevelType w:val="hybridMultilevel"/>
    <w:lvl w:ilvl="0">
      <w:lvlJc w:val="left"/>
      <w:lvlText w:val="%1."/>
      <w:numFmt w:val="decimal"/>
      <w:start w:val="14"/>
    </w:lvl>
    <w:lvl w:ilvl="1">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1)"/>
      <w:numFmt w:val="decimal"/>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1)"/>
      <w:numFmt w:val="decimal"/>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lvl w:ilvl="1">
      <w:lvlJc w:val="left"/>
      <w:lvlText w:val="%2"/>
      <w:numFmt w:val="decimal"/>
      <w:start w:val="104"/>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lowerLetter"/>
      <w:start w:val="1"/>
    </w:lvl>
    <w:lvl w:ilvl="1">
      <w:lvlJc w:val="left"/>
      <w:lvlText w:val="(%2)"/>
      <w:numFmt w:val="lowerLetter"/>
      <w:start w:val="9"/>
    </w:lvl>
  </w:abstractNum>
  <w:abstractNum w:abstractNumId="56">
    <w:nsid w:val="540A471C"/>
    <w:multiLevelType w:val="hybridMultilevel"/>
    <w:lvl w:ilvl="0">
      <w:lvlJc w:val="left"/>
      <w:lvlText w:val="(%1)"/>
      <w:numFmt w:val="lowerLetter"/>
      <w:start w:val="3"/>
    </w:lvl>
  </w:abstractNum>
  <w:abstractNum w:abstractNumId="57">
    <w:nsid w:val="7BD3EE7B"/>
    <w:multiLevelType w:val="hybridMultilevel"/>
    <w:lvl w:ilvl="0">
      <w:lvlJc w:val="left"/>
      <w:lvlText w:val="(%1)"/>
      <w:numFmt w:val="lowerRoman"/>
      <w:start w:val="2"/>
    </w:lvl>
  </w:abstractNum>
  <w:abstractNum w:abstractNumId="58">
    <w:nsid w:val="51D9C564"/>
    <w:multiLevelType w:val="hybridMultilevel"/>
    <w:lvl w:ilvl="0">
      <w:lvlJc w:val="left"/>
      <w:lvlText w:val="(%1)"/>
      <w:numFmt w:val="lowerRoman"/>
      <w:start w:val="2"/>
    </w:lvl>
  </w:abstractNum>
  <w:abstractNum w:abstractNumId="59">
    <w:nsid w:val="613EFDC5"/>
    <w:multiLevelType w:val="hybridMultilevel"/>
    <w:lvl w:ilvl="0">
      <w:lvlJc w:val="left"/>
      <w:lvlText w:val="(%1)"/>
      <w:numFmt w:val="lowerRoman"/>
      <w:start w:val="1"/>
    </w:lvl>
  </w:abstractNum>
  <w:abstractNum w:abstractNumId="60">
    <w:nsid w:val="BF72B14"/>
    <w:multiLevelType w:val="hybridMultilevel"/>
    <w:lvl w:ilvl="0">
      <w:lvlJc w:val="left"/>
      <w:lvlText w:val="(%1)"/>
      <w:numFmt w:val="lowerLetter"/>
      <w:start w:val="25"/>
    </w:lvl>
  </w:abstractNum>
  <w:abstractNum w:abstractNumId="61">
    <w:nsid w:val="11447B73"/>
    <w:multiLevelType w:val="hybridMultilevel"/>
    <w:lvl w:ilvl="0">
      <w:lvlJc w:val="left"/>
      <w:lvlText w:val="(%1)"/>
      <w:numFmt w:val="lowerRoman"/>
      <w:start w:val="3"/>
    </w:lvl>
  </w:abstractNum>
  <w:abstractNum w:abstractNumId="62">
    <w:nsid w:val="42963E5A"/>
    <w:multiLevelType w:val="hybridMultilevel"/>
    <w:lvl w:ilvl="0">
      <w:lvlJc w:val="left"/>
      <w:lvlText w:val="%1"/>
      <w:numFmt w:val="lowerRoman"/>
      <w:start w:val="1"/>
    </w:lvl>
    <w:lvl w:ilvl="1">
      <w:lvlJc w:val="left"/>
      <w:lvlText w:val="(%2)"/>
      <w:numFmt w:val="lowerRoman"/>
      <w:start w:val="4"/>
    </w:lvl>
  </w:abstractNum>
  <w:abstractNum w:abstractNumId="63">
    <w:nsid w:val="A0382C5"/>
    <w:multiLevelType w:val="hybridMultilevel"/>
    <w:lvl w:ilvl="0">
      <w:lvlJc w:val="left"/>
      <w:lvlText w:val="(%1)"/>
      <w:numFmt w:val="lowerRoman"/>
      <w:start w:val="3"/>
    </w:lvl>
    <w:lvl w:ilvl="1">
      <w:lvlJc w:val="left"/>
      <w:lvlText w:val="%2"/>
      <w:numFmt w:val="lowerRoman"/>
      <w:start w:val="1"/>
    </w:lvl>
  </w:abstractNum>
  <w:abstractNum w:abstractNumId="64">
    <w:nsid w:val="8F2B15E"/>
    <w:multiLevelType w:val="hybridMultilevel"/>
    <w:lvl w:ilvl="0">
      <w:lvlJc w:val="left"/>
      <w:lvlText w:val="(%1)"/>
      <w:numFmt w:val="upperLetter"/>
      <w:start w:val="3"/>
    </w:lvl>
  </w:abstractNum>
  <w:abstractNum w:abstractNumId="65">
    <w:nsid w:val="1A32234B"/>
    <w:multiLevelType w:val="hybridMultilevel"/>
    <w:lvl w:ilvl="0">
      <w:lvlJc w:val="left"/>
      <w:lvlText w:val="(%1)"/>
      <w:numFmt w:val="lowerRoman"/>
      <w:start w:val="5"/>
    </w:lvl>
  </w:abstractNum>
  <w:abstractNum w:abstractNumId="66">
    <w:nsid w:val="3B0FD379"/>
    <w:multiLevelType w:val="hybridMultilevel"/>
    <w:lvl w:ilvl="0">
      <w:lvlJc w:val="left"/>
      <w:lvlText w:val="(%1)"/>
      <w:numFmt w:val="upperLetter"/>
      <w:start w:val="1"/>
    </w:lvl>
  </w:abstractNum>
  <w:abstractNum w:abstractNumId="67">
    <w:nsid w:val="68EB2F63"/>
    <w:multiLevelType w:val="hybridMultilevel"/>
    <w:lvl w:ilvl="0">
      <w:lvlJc w:val="left"/>
      <w:lvlText w:val="(%1)"/>
      <w:numFmt w:val="lowerRoman"/>
      <w:start w:val="6"/>
    </w:lvl>
  </w:abstractNum>
  <w:abstractNum w:abstractNumId="68">
    <w:nsid w:val="4962813B"/>
    <w:multiLevelType w:val="hybridMultilevel"/>
    <w:lvl w:ilvl="0">
      <w:lvlJc w:val="left"/>
      <w:lvlText w:val="(%1)"/>
      <w:numFmt w:val="lowerRoman"/>
      <w:start w:val="7"/>
    </w:lvl>
  </w:abstractNum>
  <w:abstractNum w:abstractNumId="69">
    <w:nsid w:val="60B6DF70"/>
    <w:multiLevelType w:val="hybridMultilevel"/>
    <w:lvl w:ilvl="0">
      <w:lvlJc w:val="left"/>
      <w:lvlText w:val="(%1)"/>
      <w:numFmt w:val="lowerLetter"/>
      <w:start w:val="2"/>
    </w:lvl>
  </w:abstractNum>
  <w:abstractNum w:abstractNumId="70">
    <w:nsid w:val="6A5EE64"/>
    <w:multiLevelType w:val="hybridMultilevel"/>
    <w:lvl w:ilvl="0">
      <w:lvlJc w:val="left"/>
      <w:lvlText w:val="(%1)"/>
      <w:numFmt w:val="lowerLetter"/>
      <w:start w:val="3"/>
    </w:lvl>
    <w:lvl w:ilvl="1">
      <w:lvlJc w:val="left"/>
      <w:lvlText w:val="\ldblquote"/>
      <w:numFmt w:val="bullet"/>
      <w:start w:val="1"/>
    </w:lvl>
  </w:abstractNum>
  <w:abstractNum w:abstractNumId="71">
    <w:nsid w:val="14330624"/>
    <w:multiLevelType w:val="hybridMultilevel"/>
    <w:lvl w:ilvl="0">
      <w:lvlJc w:val="left"/>
      <w:lvlText w:val="(%1)"/>
      <w:numFmt w:val="lowerLetter"/>
      <w:start w:val="5"/>
    </w:lvl>
  </w:abstractNum>
  <w:abstractNum w:abstractNumId="72">
    <w:nsid w:val="7FFFCA11"/>
    <w:multiLevelType w:val="hybridMultilevel"/>
    <w:lvl w:ilvl="0">
      <w:lvlJc w:val="left"/>
      <w:lvlText w:val="(%1)"/>
      <w:numFmt w:val="lowerLetter"/>
      <w:start w:val="6"/>
    </w:lvl>
  </w:abstractNum>
  <w:abstractNum w:abstractNumId="73">
    <w:nsid w:val="1A27709E"/>
    <w:multiLevelType w:val="hybridMultilevel"/>
    <w:lvl w:ilvl="0">
      <w:lvlJc w:val="left"/>
      <w:lvlText w:val="%1"/>
      <w:numFmt w:val="lowerLetter"/>
      <w:start w:val="1"/>
    </w:lvl>
    <w:lvl w:ilvl="1">
      <w:lvlJc w:val="left"/>
      <w:lvlText w:val="(%2)"/>
      <w:numFmt w:val="lowerRoman"/>
      <w:start w:val="15"/>
    </w:lvl>
  </w:abstractNum>
  <w:abstractNum w:abstractNumId="74">
    <w:nsid w:val="71EA1109"/>
    <w:multiLevelType w:val="hybridMultilevel"/>
    <w:lvl w:ilvl="0">
      <w:lvlJc w:val="left"/>
      <w:lvlText w:val="(%1)"/>
      <w:numFmt w:val="lowerLetter"/>
      <w:start w:val="7"/>
    </w:lvl>
    <w:lvl w:ilvl="1">
      <w:lvlJc w:val="left"/>
      <w:lvlText w:val="%2"/>
      <w:numFmt w:val="lowerRoman"/>
      <w:start w:val="1"/>
    </w:lvl>
  </w:abstractNum>
  <w:abstractNum w:abstractNumId="75">
    <w:nsid w:val="100F59DC"/>
    <w:multiLevelType w:val="hybridMultilevel"/>
    <w:lvl w:ilvl="0">
      <w:lvlJc w:val="left"/>
      <w:lvlText w:val="(%1)"/>
      <w:numFmt w:val="lowerLetter"/>
      <w:start w:val="8"/>
    </w:lvl>
  </w:abstractNum>
  <w:abstractNum w:abstractNumId="76">
    <w:nsid w:val="7FB7E0AA"/>
    <w:multiLevelType w:val="hybridMultilevel"/>
    <w:lvl w:ilvl="0">
      <w:lvlJc w:val="left"/>
      <w:lvlText w:val="(%1)"/>
      <w:numFmt w:val="lowerRoman"/>
      <w:start w:val="1"/>
    </w:lvl>
  </w:abstractNum>
  <w:abstractNum w:abstractNumId="77">
    <w:nsid w:val="6EB5BD4"/>
    <w:multiLevelType w:val="hybridMultilevel"/>
    <w:lvl w:ilvl="0">
      <w:lvlJc w:val="left"/>
      <w:lvlText w:val="%1."/>
      <w:numFmt w:val="decimal"/>
      <w:start w:val="2"/>
    </w:lvl>
  </w:abstractNum>
  <w:abstractNum w:abstractNumId="78">
    <w:nsid w:val="6F6DD9AC"/>
    <w:multiLevelType w:val="hybridMultilevel"/>
    <w:lvl w:ilvl="0">
      <w:lvlJc w:val="left"/>
      <w:lvlText w:val="(%1)"/>
      <w:numFmt w:val="lowerLetter"/>
      <w:start w:val="1"/>
    </w:lvl>
  </w:abstractNum>
  <w:abstractNum w:abstractNumId="79">
    <w:nsid w:val="94211F2"/>
    <w:multiLevelType w:val="hybridMultilevel"/>
    <w:lvl w:ilvl="0">
      <w:lvlJc w:val="left"/>
      <w:lvlText w:val="(%1)"/>
      <w:numFmt w:val="lowerLetter"/>
      <w:start w:val="2"/>
    </w:lvl>
  </w:abstractNum>
  <w:abstractNum w:abstractNumId="80">
    <w:nsid w:val="885E1B"/>
    <w:multiLevelType w:val="hybridMultilevel"/>
    <w:lvl w:ilvl="0">
      <w:lvlJc w:val="left"/>
      <w:lvlText w:val="%1."/>
      <w:numFmt w:val="decimal"/>
      <w:start w:val="3"/>
    </w:lvl>
  </w:abstractNum>
  <w:abstractNum w:abstractNumId="81">
    <w:nsid w:val="76272110"/>
    <w:multiLevelType w:val="hybridMultilevel"/>
    <w:lvl w:ilvl="0">
      <w:lvlJc w:val="left"/>
      <w:lvlText w:val="(%1)"/>
      <w:numFmt w:val="lowerLetter"/>
      <w:start w:val="1"/>
    </w:lvl>
  </w:abstractNum>
  <w:abstractNum w:abstractNumId="82">
    <w:nsid w:val="4C04A8AF"/>
    <w:multiLevelType w:val="hybridMultilevel"/>
    <w:lvl w:ilvl="0">
      <w:lvlJc w:val="left"/>
      <w:lvlText w:val="%1."/>
      <w:numFmt w:val="decimal"/>
      <w:start w:val="4"/>
    </w:lvl>
  </w:abstractNum>
  <w:abstractNum w:abstractNumId="83">
    <w:nsid w:val="1716703B"/>
    <w:multiLevelType w:val="hybridMultilevel"/>
    <w:lvl w:ilvl="0">
      <w:lvlJc w:val="left"/>
      <w:lvlText w:val="(%1)"/>
      <w:numFmt w:val="lowerLetter"/>
      <w:start w:val="1"/>
    </w:lvl>
  </w:abstractNum>
  <w:abstractNum w:abstractNumId="84">
    <w:nsid w:val="14E17E33"/>
    <w:multiLevelType w:val="hybridMultilevel"/>
    <w:lvl w:ilvl="0">
      <w:lvlJc w:val="left"/>
      <w:lvlText w:val="(%1)"/>
      <w:numFmt w:val="lowerLetter"/>
      <w:start w:val="2"/>
    </w:lvl>
  </w:abstractNum>
  <w:abstractNum w:abstractNumId="85">
    <w:nsid w:val="3222E7CD"/>
    <w:multiLevelType w:val="hybridMultilevel"/>
    <w:lvl w:ilvl="0">
      <w:lvlJc w:val="left"/>
      <w:lvlText w:val="%1."/>
      <w:numFmt w:val="decimal"/>
      <w:start w:val="5"/>
    </w:lvl>
    <w:lvl w:ilvl="1">
      <w:lvlJc w:val="left"/>
      <w:lvlText w:val="(%2)"/>
      <w:numFmt w:val="lowerLetter"/>
      <w:start w:val="1"/>
    </w:lvl>
  </w:abstractNum>
  <w:abstractNum w:abstractNumId="86">
    <w:nsid w:val="74DE0EE3"/>
    <w:multiLevelType w:val="hybridMultilevel"/>
    <w:lvl w:ilvl="0">
      <w:lvlJc w:val="left"/>
      <w:lvlText w:val="%1"/>
      <w:numFmt w:val="decimal"/>
      <w:start w:val="1"/>
    </w:lvl>
    <w:lvl w:ilvl="1">
      <w:lvlJc w:val="left"/>
      <w:lvlText w:val="(%2)"/>
      <w:numFmt w:val="lowerLetter"/>
      <w:start w:val="4"/>
    </w:lvl>
  </w:abstractNum>
  <w:abstractNum w:abstractNumId="87">
    <w:nsid w:val="68EBC550"/>
    <w:multiLevelType w:val="hybridMultilevel"/>
    <w:lvl w:ilvl="0">
      <w:lvlJc w:val="left"/>
      <w:lvlText w:val="%1."/>
      <w:numFmt w:val="decimal"/>
      <w:start w:val="6"/>
    </w:lvl>
    <w:lvl w:ilvl="1">
      <w:lvlJc w:val="left"/>
      <w:lvlText w:val="%2"/>
      <w:numFmt w:val="lowerLetter"/>
      <w:start w:val="1"/>
    </w:lvl>
  </w:abstractNum>
  <w:abstractNum w:abstractNumId="88">
    <w:nsid w:val="2DF6D648"/>
    <w:multiLevelType w:val="hybridMultilevel"/>
    <w:lvl w:ilvl="0">
      <w:lvlJc w:val="left"/>
      <w:lvlText w:val="%1."/>
      <w:numFmt w:val="decimal"/>
      <w:start w:val="9"/>
    </w:lvl>
  </w:abstractNum>
  <w:abstractNum w:abstractNumId="89">
    <w:nsid w:val="46B7D447"/>
    <w:multiLevelType w:val="hybridMultilevel"/>
    <w:lvl w:ilvl="0">
      <w:lvlJc w:val="left"/>
      <w:lvlText w:val="%1."/>
      <w:numFmt w:val="decimal"/>
      <w:start w:val="1"/>
    </w:lvl>
    <w:lvl w:ilvl="1">
      <w:lvlJc w:val="left"/>
      <w:lvlText w:val="(%2)"/>
      <w:numFmt w:val="lowerLetter"/>
      <w:start w:val="1"/>
    </w:lvl>
  </w:abstractNum>
  <w:abstractNum w:abstractNumId="90">
    <w:nsid w:val="4A2AC315"/>
    <w:multiLevelType w:val="hybridMultilevel"/>
    <w:lvl w:ilvl="0">
      <w:lvlJc w:val="left"/>
      <w:lvlText w:val="%1."/>
      <w:numFmt w:val="decimal"/>
      <w:start w:val="1"/>
    </w:lvl>
    <w:lvl w:ilvl="1">
      <w:lvlJc w:val="left"/>
      <w:lvlText w:val="(%2)"/>
      <w:numFmt w:val="lowerLetter"/>
      <w:start w:val="1"/>
    </w:lvl>
  </w:abstractNum>
  <w:abstractNum w:abstractNumId="91">
    <w:nsid w:val="39EE01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85" Type="http://schemas.openxmlformats.org/officeDocument/2006/relationships/hyperlink" Target="http://www.sec.gov/Archives/edgar/data/1549922/000156459019009022/smlp-ex31_11.htm" TargetMode="External"/><Relationship Id="rId86" Type="http://schemas.openxmlformats.org/officeDocument/2006/relationships/hyperlink" Target="http://www.sec.gov/Archives/edgar/data/1549922/000110465912067606/a12-22459_2ex3d2.htm" TargetMode="External"/><Relationship Id="rId87" Type="http://schemas.openxmlformats.org/officeDocument/2006/relationships/hyperlink" Target="http://www.sec.gov/Archives/edgar/data/1549922/000104746912008450/a2209444zex-3_1.htm" TargetMode="External"/><Relationship Id="rId88" Type="http://schemas.openxmlformats.org/officeDocument/2006/relationships/hyperlink" Target="http://www.sec.gov/Archives/edgar/data/1549922/000104746912008450/a2209444zex-3_4.htm" TargetMode="External"/><Relationship Id="rId89" Type="http://schemas.openxmlformats.org/officeDocument/2006/relationships/hyperlink" Target="http://www.sec.gov/Archives/edgar/data/1549922/000156459019022240/smlp-ex101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2019-12-28T07:04:33Z</dcterms:created>
  <dcterms:modified xsi:type="dcterms:W3CDTF">2019-12-28T07:04:33Z</dcterms:modified>
</cp:coreProperties>
</file>