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621030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641350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1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220" w:type="dxa"/>
            <w:vAlign w:val="bottom"/>
            <w:vMerge w:val="restart"/>
          </w:tcPr>
          <w:p>
            <w:pPr>
              <w:ind w:left="20"/>
              <w:spacing w:after="0"/>
              <w:rPr>
                <w:sz w:val="20"/>
                <w:szCs w:val="20"/>
                <w:color w:val="auto"/>
              </w:rPr>
            </w:pPr>
            <w:r>
              <w:rPr>
                <w:rFonts w:ascii="Wingdings" w:cs="Wingdings" w:eastAsia="Wingdings" w:hAnsi="Wingdings"/>
                <w:sz w:val="11"/>
                <w:szCs w:val="11"/>
                <w:b w:val="1"/>
                <w:bCs w:val="1"/>
                <w:color w:val="auto"/>
              </w:rPr>
              <w:t>x</w:t>
            </w: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ANNUAL REPORT PURSUANT TO SECTION 13 OR 15(d) OF THE SECURITIES EXCHANGE ACT OF 1934</w:t>
            </w:r>
          </w:p>
        </w:tc>
        <w:tc>
          <w:tcPr>
            <w:tcW w:w="2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20" w:type="dxa"/>
            <w:vAlign w:val="bottom"/>
            <w:vMerge w:val="continue"/>
          </w:tcPr>
          <w:p>
            <w:pPr>
              <w:spacing w:after="0"/>
              <w:rPr>
                <w:sz w:val="6"/>
                <w:szCs w:val="6"/>
                <w:color w:val="auto"/>
              </w:rPr>
            </w:pPr>
          </w:p>
        </w:tc>
        <w:tc>
          <w:tcPr>
            <w:tcW w:w="3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7760" w:type="dxa"/>
            <w:vAlign w:val="bottom"/>
            <w:gridSpan w:val="4"/>
          </w:tcPr>
          <w:p>
            <w:pPr>
              <w:jc w:val="center"/>
              <w:ind w:right="3471"/>
              <w:spacing w:after="0"/>
              <w:rPr>
                <w:sz w:val="20"/>
                <w:szCs w:val="20"/>
                <w:color w:val="auto"/>
              </w:rPr>
            </w:pPr>
            <w:r>
              <w:rPr>
                <w:rFonts w:ascii="Times New Roman" w:cs="Times New Roman" w:eastAsia="Times New Roman" w:hAnsi="Times New Roman"/>
                <w:sz w:val="10"/>
                <w:szCs w:val="10"/>
                <w:b w:val="1"/>
                <w:bCs w:val="1"/>
                <w:color w:val="auto"/>
                <w:w w:val="99"/>
              </w:rPr>
              <w:t>For the fiscal year ended December 31, 2023</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jc w:val="center"/>
              <w:ind w:left="171"/>
              <w:spacing w:after="0"/>
              <w:rPr>
                <w:sz w:val="20"/>
                <w:szCs w:val="20"/>
                <w:color w:val="auto"/>
              </w:rPr>
            </w:pPr>
            <w:r>
              <w:rPr>
                <w:rFonts w:ascii="Times New Roman" w:cs="Times New Roman" w:eastAsia="Times New Roman" w:hAnsi="Times New Roman"/>
                <w:sz w:val="10"/>
                <w:szCs w:val="10"/>
                <w:b w:val="1"/>
                <w:bCs w:val="1"/>
                <w:color w:val="auto"/>
              </w:rPr>
              <w:t>or</w:t>
            </w:r>
          </w:p>
        </w:tc>
        <w:tc>
          <w:tcPr>
            <w:tcW w:w="2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20" w:type="dxa"/>
            <w:vAlign w:val="bottom"/>
            <w:vMerge w:val="restart"/>
          </w:tcPr>
          <w:p>
            <w:pPr>
              <w:ind w:left="20"/>
              <w:spacing w:after="0"/>
              <w:rPr>
                <w:sz w:val="20"/>
                <w:szCs w:val="20"/>
                <w:color w:val="auto"/>
              </w:rPr>
            </w:pPr>
            <w:r>
              <w:rPr>
                <w:rFonts w:ascii="Wingdings" w:cs="Wingdings" w:eastAsia="Wingdings" w:hAnsi="Wingdings"/>
                <w:sz w:val="11"/>
                <w:szCs w:val="11"/>
                <w:b w:val="1"/>
                <w:bCs w:val="1"/>
                <w:color w:val="auto"/>
              </w:rPr>
              <w:t>o</w:t>
            </w:r>
          </w:p>
        </w:tc>
        <w:tc>
          <w:tcPr>
            <w:tcW w:w="60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TRANSITION REPORT PURSUANT TO SECTION 13 OR 15(d) OF THE SECURITIES EXCHANGE ACT OF 1934</w:t>
            </w:r>
          </w:p>
        </w:tc>
        <w:tc>
          <w:tcPr>
            <w:tcW w:w="2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2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20" w:type="dxa"/>
            <w:vAlign w:val="bottom"/>
            <w:gridSpan w:val="2"/>
          </w:tcPr>
          <w:p>
            <w:pPr>
              <w:ind w:left="1240"/>
              <w:spacing w:after="0"/>
              <w:rPr>
                <w:sz w:val="20"/>
                <w:szCs w:val="20"/>
                <w:color w:val="auto"/>
              </w:rPr>
            </w:pPr>
            <w:r>
              <w:rPr>
                <w:rFonts w:ascii="Times New Roman" w:cs="Times New Roman" w:eastAsia="Times New Roman" w:hAnsi="Times New Roman"/>
                <w:sz w:val="10"/>
                <w:szCs w:val="10"/>
                <w:b w:val="1"/>
                <w:bCs w:val="1"/>
                <w:color w:val="auto"/>
              </w:rPr>
              <w:t>For the transition period from</w:t>
            </w:r>
          </w:p>
        </w:tc>
        <w:tc>
          <w:tcPr>
            <w:tcW w:w="50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to</w:t>
            </w: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40" w:type="dxa"/>
            <w:vAlign w:val="bottom"/>
            <w:gridSpan w:val="3"/>
          </w:tcPr>
          <w:p>
            <w:pPr>
              <w:jc w:val="center"/>
              <w:ind w:right="4791"/>
              <w:spacing w:after="0"/>
              <w:rPr>
                <w:sz w:val="20"/>
                <w:szCs w:val="20"/>
                <w:color w:val="auto"/>
              </w:rPr>
            </w:pPr>
            <w:r>
              <w:rPr>
                <w:rFonts w:ascii="Times New Roman" w:cs="Times New Roman" w:eastAsia="Times New Roman" w:hAnsi="Times New Roman"/>
                <w:sz w:val="10"/>
                <w:szCs w:val="10"/>
                <w:b w:val="1"/>
                <w:bCs w:val="1"/>
                <w:color w:val="auto"/>
                <w:w w:val="98"/>
              </w:rPr>
              <w:t>Commission file number: 001-35666</w:t>
            </w:r>
          </w:p>
        </w:tc>
        <w:tc>
          <w:tcPr>
            <w:tcW w:w="0" w:type="dxa"/>
            <w:vAlign w:val="bottom"/>
          </w:tcPr>
          <w:p>
            <w:pPr>
              <w:spacing w:after="0"/>
              <w:rPr>
                <w:sz w:val="1"/>
                <w:szCs w:val="1"/>
                <w:color w:val="auto"/>
              </w:rPr>
            </w:pPr>
          </w:p>
        </w:tc>
      </w:tr>
      <w:tr>
        <w:trPr>
          <w:trHeight w:val="295"/>
        </w:trPr>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760" w:type="dxa"/>
            <w:vAlign w:val="bottom"/>
            <w:gridSpan w:val="4"/>
          </w:tcPr>
          <w:p>
            <w:pPr>
              <w:jc w:val="center"/>
              <w:ind w:right="3471"/>
              <w:spacing w:after="0"/>
              <w:rPr>
                <w:sz w:val="20"/>
                <w:szCs w:val="20"/>
                <w:color w:val="auto"/>
              </w:rPr>
            </w:pPr>
            <w:r>
              <w:rPr>
                <w:rFonts w:ascii="Times New Roman" w:cs="Times New Roman" w:eastAsia="Times New Roman" w:hAnsi="Times New Roman"/>
                <w:sz w:val="20"/>
                <w:szCs w:val="20"/>
                <w:b w:val="1"/>
                <w:bCs w:val="1"/>
                <w:color w:val="auto"/>
                <w:w w:val="99"/>
              </w:rPr>
              <w:t>Summit Midstream Partners, LP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760" w:type="dxa"/>
            <w:vAlign w:val="bottom"/>
            <w:gridSpan w:val="4"/>
          </w:tcPr>
          <w:p>
            <w:pPr>
              <w:jc w:val="center"/>
              <w:ind w:right="3471"/>
              <w:spacing w:after="0"/>
              <w:rPr>
                <w:sz w:val="20"/>
                <w:szCs w:val="20"/>
                <w:color w:val="auto"/>
              </w:rPr>
            </w:pPr>
            <w:r>
              <w:rPr>
                <w:rFonts w:ascii="Times New Roman" w:cs="Times New Roman" w:eastAsia="Times New Roman" w:hAnsi="Times New Roman"/>
                <w:sz w:val="10"/>
                <w:szCs w:val="10"/>
                <w:color w:val="auto"/>
                <w:w w:val="98"/>
              </w:rPr>
              <w:t>(Exact name of registrant as specified in its charter)</w:t>
            </w:r>
          </w:p>
        </w:tc>
        <w:tc>
          <w:tcPr>
            <w:tcW w:w="0" w:type="dxa"/>
            <w:vAlign w:val="bottom"/>
          </w:tcPr>
          <w:p>
            <w:pPr>
              <w:spacing w:after="0"/>
              <w:rPr>
                <w:sz w:val="1"/>
                <w:szCs w:val="1"/>
                <w:color w:val="auto"/>
              </w:rPr>
            </w:pPr>
          </w:p>
        </w:tc>
      </w:tr>
      <w:tr>
        <w:trPr>
          <w:trHeight w:val="179"/>
        </w:trPr>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tcPr>
          <w:p>
            <w:pPr>
              <w:jc w:val="center"/>
              <w:ind w:left="151"/>
              <w:spacing w:after="0"/>
              <w:rPr>
                <w:sz w:val="20"/>
                <w:szCs w:val="20"/>
                <w:color w:val="auto"/>
              </w:rPr>
            </w:pPr>
            <w:r>
              <w:rPr>
                <w:rFonts w:ascii="Times New Roman" w:cs="Times New Roman" w:eastAsia="Times New Roman" w:hAnsi="Times New Roman"/>
                <w:sz w:val="10"/>
                <w:szCs w:val="10"/>
                <w:color w:val="auto"/>
                <w:w w:val="99"/>
              </w:rPr>
              <w:t>(State or other jurisdiction of</w:t>
            </w: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jc w:val="center"/>
              <w:ind w:left="151"/>
              <w:spacing w:after="0"/>
              <w:rPr>
                <w:sz w:val="20"/>
                <w:szCs w:val="20"/>
                <w:color w:val="auto"/>
              </w:rPr>
            </w:pPr>
            <w:r>
              <w:rPr>
                <w:rFonts w:ascii="Times New Roman" w:cs="Times New Roman" w:eastAsia="Times New Roman" w:hAnsi="Times New Roman"/>
                <w:sz w:val="10"/>
                <w:szCs w:val="10"/>
                <w:color w:val="auto"/>
                <w:w w:val="99"/>
              </w:rPr>
              <w:t>incorporation or organization)</w:t>
            </w:r>
          </w:p>
        </w:tc>
        <w:tc>
          <w:tcPr>
            <w:tcW w:w="2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40" w:type="dxa"/>
            <w:vAlign w:val="bottom"/>
            <w:gridSpan w:val="3"/>
          </w:tcPr>
          <w:p>
            <w:pPr>
              <w:jc w:val="center"/>
              <w:ind w:right="4791"/>
              <w:spacing w:after="0"/>
              <w:rPr>
                <w:sz w:val="20"/>
                <w:szCs w:val="20"/>
                <w:color w:val="auto"/>
              </w:rPr>
            </w:pPr>
            <w:r>
              <w:rPr>
                <w:rFonts w:ascii="Times New Roman" w:cs="Times New Roman" w:eastAsia="Times New Roman" w:hAnsi="Times New Roman"/>
                <w:sz w:val="10"/>
                <w:szCs w:val="10"/>
                <w:b w:val="1"/>
                <w:bCs w:val="1"/>
                <w:color w:val="auto"/>
                <w:w w:val="99"/>
              </w:rPr>
              <w:t>910 Louisiana Street, Suite 4200</w:t>
            </w: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tcPr>
          <w:p>
            <w:pPr>
              <w:jc w:val="center"/>
              <w:ind w:left="171"/>
              <w:spacing w:after="0"/>
              <w:rPr>
                <w:sz w:val="20"/>
                <w:szCs w:val="20"/>
                <w:color w:val="auto"/>
              </w:rPr>
            </w:pPr>
            <w:r>
              <w:rPr>
                <w:rFonts w:ascii="Times New Roman" w:cs="Times New Roman" w:eastAsia="Times New Roman" w:hAnsi="Times New Roman"/>
                <w:sz w:val="10"/>
                <w:szCs w:val="10"/>
                <w:b w:val="1"/>
                <w:bCs w:val="1"/>
                <w:color w:val="auto"/>
                <w:w w:val="98"/>
              </w:rPr>
              <w:t>Houston, TX</w:t>
            </w: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40" w:type="dxa"/>
            <w:vAlign w:val="bottom"/>
            <w:gridSpan w:val="3"/>
          </w:tcPr>
          <w:p>
            <w:pPr>
              <w:jc w:val="center"/>
              <w:ind w:right="4791"/>
              <w:spacing w:after="0"/>
              <w:rPr>
                <w:sz w:val="20"/>
                <w:szCs w:val="20"/>
                <w:color w:val="auto"/>
              </w:rPr>
            </w:pPr>
            <w:r>
              <w:rPr>
                <w:rFonts w:ascii="Times New Roman" w:cs="Times New Roman" w:eastAsia="Times New Roman" w:hAnsi="Times New Roman"/>
                <w:sz w:val="10"/>
                <w:szCs w:val="10"/>
                <w:color w:val="auto"/>
                <w:w w:val="98"/>
              </w:rPr>
              <w:t>(Address of principal executive offices)</w:t>
            </w: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720" w:type="dxa"/>
            <w:vAlign w:val="bottom"/>
            <w:gridSpan w:val="2"/>
          </w:tcPr>
          <w:p>
            <w:pPr>
              <w:jc w:val="center"/>
              <w:ind w:left="1464"/>
              <w:spacing w:after="0"/>
              <w:rPr>
                <w:sz w:val="20"/>
                <w:szCs w:val="20"/>
                <w:color w:val="auto"/>
              </w:rPr>
            </w:pPr>
            <w:r>
              <w:rPr>
                <w:rFonts w:ascii="Times New Roman" w:cs="Times New Roman" w:eastAsia="Times New Roman" w:hAnsi="Times New Roman"/>
                <w:sz w:val="10"/>
                <w:szCs w:val="10"/>
                <w:b w:val="1"/>
                <w:bCs w:val="1"/>
                <w:color w:val="auto"/>
                <w:w w:val="99"/>
              </w:rPr>
              <w:t>45-5200503</w:t>
            </w: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tcPr>
          <w:p>
            <w:pPr>
              <w:jc w:val="center"/>
              <w:ind w:left="151"/>
              <w:spacing w:after="0"/>
              <w:rPr>
                <w:sz w:val="20"/>
                <w:szCs w:val="20"/>
                <w:color w:val="auto"/>
              </w:rPr>
            </w:pPr>
            <w:r>
              <w:rPr>
                <w:rFonts w:ascii="Times New Roman" w:cs="Times New Roman" w:eastAsia="Times New Roman" w:hAnsi="Times New Roman"/>
                <w:sz w:val="10"/>
                <w:szCs w:val="10"/>
                <w:color w:val="auto"/>
                <w:w w:val="99"/>
              </w:rPr>
              <w:t>(I.R.S. Employer</w:t>
            </w: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0" w:type="dxa"/>
            <w:vAlign w:val="bottom"/>
          </w:tcPr>
          <w:p>
            <w:pPr>
              <w:jc w:val="center"/>
              <w:ind w:left="171"/>
              <w:spacing w:after="0"/>
              <w:rPr>
                <w:sz w:val="20"/>
                <w:szCs w:val="20"/>
                <w:color w:val="auto"/>
              </w:rPr>
            </w:pPr>
            <w:r>
              <w:rPr>
                <w:rFonts w:ascii="Times New Roman" w:cs="Times New Roman" w:eastAsia="Times New Roman" w:hAnsi="Times New Roman"/>
                <w:sz w:val="10"/>
                <w:szCs w:val="10"/>
                <w:color w:val="auto"/>
                <w:w w:val="99"/>
              </w:rPr>
              <w:t>Identification No.)</w:t>
            </w:r>
          </w:p>
        </w:tc>
        <w:tc>
          <w:tcPr>
            <w:tcW w:w="2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20" w:type="dxa"/>
            <w:vAlign w:val="bottom"/>
            <w:gridSpan w:val="2"/>
          </w:tcPr>
          <w:p>
            <w:pPr>
              <w:jc w:val="center"/>
              <w:ind w:left="1464"/>
              <w:spacing w:after="0"/>
              <w:rPr>
                <w:sz w:val="20"/>
                <w:szCs w:val="20"/>
                <w:color w:val="auto"/>
              </w:rPr>
            </w:pPr>
            <w:r>
              <w:rPr>
                <w:rFonts w:ascii="Times New Roman" w:cs="Times New Roman" w:eastAsia="Times New Roman" w:hAnsi="Times New Roman"/>
                <w:sz w:val="10"/>
                <w:szCs w:val="10"/>
                <w:b w:val="1"/>
                <w:bCs w:val="1"/>
                <w:color w:val="auto"/>
                <w:w w:val="95"/>
              </w:rPr>
              <w:t>77002</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0" w:type="dxa"/>
            <w:vAlign w:val="bottom"/>
          </w:tcPr>
          <w:p>
            <w:pPr>
              <w:jc w:val="center"/>
              <w:ind w:left="151"/>
              <w:spacing w:after="0"/>
              <w:rPr>
                <w:sz w:val="20"/>
                <w:szCs w:val="20"/>
                <w:color w:val="auto"/>
              </w:rPr>
            </w:pPr>
            <w:r>
              <w:rPr>
                <w:rFonts w:ascii="Times New Roman" w:cs="Times New Roman" w:eastAsia="Times New Roman" w:hAnsi="Times New Roman"/>
                <w:sz w:val="10"/>
                <w:szCs w:val="10"/>
                <w:color w:val="auto"/>
                <w:w w:val="99"/>
              </w:rPr>
              <w:t>(Zip Code)</w:t>
            </w:r>
          </w:p>
        </w:tc>
        <w:tc>
          <w:tcPr>
            <w:tcW w:w="2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720" w:type="dxa"/>
            <w:vAlign w:val="bottom"/>
            <w:gridSpan w:val="2"/>
          </w:tcPr>
          <w:p>
            <w:pPr>
              <w:jc w:val="center"/>
              <w:ind w:left="1484"/>
              <w:spacing w:after="0"/>
              <w:rPr>
                <w:sz w:val="20"/>
                <w:szCs w:val="20"/>
                <w:color w:val="auto"/>
              </w:rPr>
            </w:pPr>
            <w:r>
              <w:rPr>
                <w:rFonts w:ascii="Times New Roman" w:cs="Times New Roman" w:eastAsia="Times New Roman" w:hAnsi="Times New Roman"/>
                <w:sz w:val="10"/>
                <w:szCs w:val="10"/>
                <w:b w:val="1"/>
                <w:bCs w:val="1"/>
                <w:color w:val="auto"/>
                <w:w w:val="99"/>
              </w:rPr>
              <w:t>(832) 413-4770</w:t>
            </w: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760" w:type="dxa"/>
            <w:vAlign w:val="bottom"/>
            <w:gridSpan w:val="4"/>
          </w:tcPr>
          <w:p>
            <w:pPr>
              <w:jc w:val="center"/>
              <w:ind w:right="3451"/>
              <w:spacing w:after="0"/>
              <w:rPr>
                <w:sz w:val="20"/>
                <w:szCs w:val="20"/>
                <w:color w:val="auto"/>
              </w:rPr>
            </w:pPr>
            <w:r>
              <w:rPr>
                <w:rFonts w:ascii="Times New Roman" w:cs="Times New Roman" w:eastAsia="Times New Roman" w:hAnsi="Times New Roman"/>
                <w:sz w:val="10"/>
                <w:szCs w:val="10"/>
                <w:color w:val="auto"/>
                <w:w w:val="98"/>
              </w:rPr>
              <w:t>(Registrant’s telephone number, including area code)</w:t>
            </w: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Securities Act:</w:t>
            </w: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20" w:type="dxa"/>
            <w:vAlign w:val="bottom"/>
            <w:tcBorders>
              <w:left w:val="single" w:sz="8" w:color="auto"/>
              <w:bottom w:val="single" w:sz="8" w:color="auto"/>
            </w:tcBorders>
          </w:tcPr>
          <w:p>
            <w:pPr>
              <w:spacing w:after="0"/>
              <w:rPr>
                <w:sz w:val="10"/>
                <w:szCs w:val="10"/>
                <w:color w:val="auto"/>
              </w:rPr>
            </w:pPr>
          </w:p>
        </w:tc>
        <w:tc>
          <w:tcPr>
            <w:tcW w:w="3300" w:type="dxa"/>
            <w:vAlign w:val="bottom"/>
            <w:tcBorders>
              <w:bottom w:val="single" w:sz="8" w:color="auto"/>
            </w:tcBorders>
          </w:tcPr>
          <w:p>
            <w:pPr>
              <w:jc w:val="center"/>
              <w:ind w:left="1051"/>
              <w:spacing w:after="0"/>
              <w:rPr>
                <w:sz w:val="20"/>
                <w:szCs w:val="20"/>
                <w:color w:val="auto"/>
              </w:rPr>
            </w:pPr>
            <w:r>
              <w:rPr>
                <w:rFonts w:ascii="Times New Roman" w:cs="Times New Roman" w:eastAsia="Times New Roman" w:hAnsi="Times New Roman"/>
                <w:sz w:val="10"/>
                <w:szCs w:val="10"/>
                <w:color w:val="auto"/>
                <w:w w:val="99"/>
              </w:rPr>
              <w:t>Title of each class</w:t>
            </w:r>
          </w:p>
        </w:tc>
        <w:tc>
          <w:tcPr>
            <w:tcW w:w="132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0"/>
                <w:szCs w:val="10"/>
                <w:color w:val="auto"/>
                <w:w w:val="97"/>
              </w:rPr>
              <w:t>Trading Symbol(s)</w:t>
            </w:r>
          </w:p>
        </w:tc>
        <w:tc>
          <w:tcPr>
            <w:tcW w:w="220" w:type="dxa"/>
            <w:vAlign w:val="bottom"/>
            <w:tcBorders>
              <w:bottom w:val="single" w:sz="8" w:color="auto"/>
              <w:right w:val="single" w:sz="8" w:color="auto"/>
            </w:tcBorders>
          </w:tcPr>
          <w:p>
            <w:pPr>
              <w:spacing w:after="0"/>
              <w:rPr>
                <w:sz w:val="10"/>
                <w:szCs w:val="10"/>
                <w:color w:val="auto"/>
              </w:rPr>
            </w:pP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Name of each exchange on which registered</w:t>
            </w:r>
          </w:p>
        </w:tc>
        <w:tc>
          <w:tcPr>
            <w:tcW w:w="0" w:type="dxa"/>
            <w:vAlign w:val="bottom"/>
          </w:tcPr>
          <w:p>
            <w:pPr>
              <w:spacing w:after="0"/>
              <w:rPr>
                <w:sz w:val="1"/>
                <w:szCs w:val="1"/>
                <w:color w:val="auto"/>
              </w:rPr>
            </w:pPr>
          </w:p>
        </w:tc>
      </w:tr>
      <w:tr>
        <w:trPr>
          <w:trHeight w:val="129"/>
        </w:trPr>
        <w:tc>
          <w:tcPr>
            <w:tcW w:w="220" w:type="dxa"/>
            <w:vAlign w:val="bottom"/>
            <w:tcBorders>
              <w:left w:val="single" w:sz="8" w:color="auto"/>
              <w:bottom w:val="single" w:sz="8" w:color="auto"/>
            </w:tcBorders>
          </w:tcPr>
          <w:p>
            <w:pPr>
              <w:spacing w:after="0"/>
              <w:rPr>
                <w:sz w:val="11"/>
                <w:szCs w:val="11"/>
                <w:color w:val="auto"/>
              </w:rPr>
            </w:pPr>
          </w:p>
        </w:tc>
        <w:tc>
          <w:tcPr>
            <w:tcW w:w="3300" w:type="dxa"/>
            <w:vAlign w:val="bottom"/>
            <w:tcBorders>
              <w:bottom w:val="single" w:sz="8" w:color="auto"/>
            </w:tcBorders>
          </w:tcPr>
          <w:p>
            <w:pPr>
              <w:jc w:val="center"/>
              <w:ind w:left="1031"/>
              <w:spacing w:after="0"/>
              <w:rPr>
                <w:sz w:val="20"/>
                <w:szCs w:val="20"/>
                <w:color w:val="auto"/>
              </w:rPr>
            </w:pPr>
            <w:r>
              <w:rPr>
                <w:rFonts w:ascii="Times New Roman" w:cs="Times New Roman" w:eastAsia="Times New Roman" w:hAnsi="Times New Roman"/>
                <w:sz w:val="10"/>
                <w:szCs w:val="10"/>
                <w:color w:val="auto"/>
              </w:rPr>
              <w:t>Common Units</w:t>
            </w:r>
          </w:p>
        </w:tc>
        <w:tc>
          <w:tcPr>
            <w:tcW w:w="132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0"/>
                <w:szCs w:val="10"/>
                <w:color w:val="auto"/>
                <w:w w:val="99"/>
              </w:rPr>
              <w:t>SMLP</w:t>
            </w:r>
          </w:p>
        </w:tc>
        <w:tc>
          <w:tcPr>
            <w:tcW w:w="220" w:type="dxa"/>
            <w:vAlign w:val="bottom"/>
            <w:tcBorders>
              <w:bottom w:val="single" w:sz="8" w:color="auto"/>
              <w:right w:val="single" w:sz="8" w:color="auto"/>
            </w:tcBorders>
          </w:tcPr>
          <w:p>
            <w:pPr>
              <w:spacing w:after="0"/>
              <w:rPr>
                <w:sz w:val="11"/>
                <w:szCs w:val="11"/>
                <w:color w:val="auto"/>
              </w:rPr>
            </w:pP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New York Stock Exchange</w:t>
            </w:r>
          </w:p>
        </w:tc>
        <w:tc>
          <w:tcPr>
            <w:tcW w:w="0" w:type="dxa"/>
            <w:vAlign w:val="bottom"/>
          </w:tcPr>
          <w:p>
            <w:pPr>
              <w:spacing w:after="0"/>
              <w:rPr>
                <w:sz w:val="1"/>
                <w:szCs w:val="1"/>
                <w:color w:val="auto"/>
              </w:rPr>
            </w:pPr>
          </w:p>
        </w:tc>
      </w:tr>
    </w:tbl>
    <w:p>
      <w:pPr>
        <w:spacing w:after="0" w:line="137" w:lineRule="exact"/>
        <w:rPr>
          <w:sz w:val="24"/>
          <w:szCs w:val="24"/>
          <w:color w:val="auto"/>
        </w:rPr>
      </w:pPr>
    </w:p>
    <w:p>
      <w:pPr>
        <w:sectPr>
          <w:pgSz w:w="11900" w:h="16838" w:orient="portrait"/>
          <w:cols w:equalWidth="0" w:num="1">
            <w:col w:w="11280"/>
          </w:cols>
          <w:pgMar w:left="300" w:top="1113" w:right="31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59" w:lineRule="exact"/>
        <w:rPr>
          <w:sz w:val="24"/>
          <w:szCs w:val="24"/>
          <w:color w:val="auto"/>
        </w:rPr>
      </w:pPr>
    </w:p>
    <w:p>
      <w:pPr>
        <w:spacing w:after="0"/>
        <w:tabs>
          <w:tab w:leader="none" w:pos="5180" w:val="left"/>
          <w:tab w:leader="none" w:pos="550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ab/>
        <w:t>Yes</w:t>
      </w:r>
      <w:r>
        <w:rPr>
          <w:sz w:val="20"/>
          <w:szCs w:val="20"/>
          <w:color w:val="auto"/>
        </w:rPr>
        <w:tab/>
      </w:r>
      <w:r>
        <w:rPr>
          <w:rFonts w:ascii="Wingdings" w:cs="Wingdings" w:eastAsia="Wingdings" w:hAnsi="Wingdings"/>
          <w:sz w:val="11"/>
          <w:szCs w:val="11"/>
          <w:b w:val="1"/>
          <w:bCs w:val="1"/>
          <w:color w:val="auto"/>
        </w:rPr>
        <w:t>x</w:t>
      </w:r>
    </w:p>
    <w:p>
      <w:pPr>
        <w:spacing w:after="0" w:line="75" w:lineRule="exact"/>
        <w:rPr>
          <w:sz w:val="24"/>
          <w:szCs w:val="24"/>
          <w:color w:val="auto"/>
        </w:rPr>
      </w:pPr>
    </w:p>
    <w:p>
      <w:pPr>
        <w:spacing w:after="0"/>
        <w:tabs>
          <w:tab w:leader="none" w:pos="4940" w:val="left"/>
          <w:tab w:leader="none" w:pos="526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15(d) of the Act.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ab/>
        <w:t>Yes</w:t>
      </w:r>
      <w:r>
        <w:rPr>
          <w:sz w:val="20"/>
          <w:szCs w:val="20"/>
          <w:color w:val="auto"/>
        </w:rPr>
        <w:tab/>
      </w:r>
      <w:r>
        <w:rPr>
          <w:rFonts w:ascii="Wingdings" w:cs="Wingdings" w:eastAsia="Wingdings" w:hAnsi="Wingdings"/>
          <w:sz w:val="10"/>
          <w:szCs w:val="10"/>
          <w:b w:val="1"/>
          <w:bCs w:val="1"/>
          <w:color w:val="auto"/>
        </w:rPr>
        <w:t xml:space="preserve">x </w:t>
      </w:r>
      <w:r>
        <w:rPr>
          <w:rFonts w:ascii="Times New Roman" w:cs="Times New Roman" w:eastAsia="Times New Roman" w:hAnsi="Times New Roman"/>
          <w:sz w:val="10"/>
          <w:szCs w:val="10"/>
          <w:color w:val="auto"/>
        </w:rPr>
        <w:t>No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w:t>
      </w:r>
    </w:p>
    <w:p>
      <w:pPr>
        <w:spacing w:after="0" w:line="276" w:lineRule="exact"/>
        <w:rPr>
          <w:sz w:val="24"/>
          <w:szCs w:val="24"/>
          <w:color w:val="auto"/>
        </w:rPr>
      </w:pPr>
    </w:p>
    <w:p>
      <w:pPr>
        <w:sectPr>
          <w:pgSz w:w="11900" w:h="16838" w:orient="portrait"/>
          <w:cols w:equalWidth="0" w:num="2">
            <w:col w:w="5640" w:space="100"/>
            <w:col w:w="5540"/>
          </w:cols>
          <w:pgMar w:left="300" w:top="1113" w:right="319" w:bottom="1440" w:gutter="0" w:footer="0" w:header="0"/>
          <w:type w:val="continuous"/>
        </w:sectPr>
      </w:pPr>
    </w:p>
    <w:p>
      <w:pPr>
        <w:ind w:right="80"/>
        <w:spacing w:after="0" w:line="264"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w:t>
      </w:r>
    </w:p>
    <w:p>
      <w:pPr>
        <w:spacing w:after="0" w:line="40" w:lineRule="exact"/>
        <w:rPr>
          <w:sz w:val="24"/>
          <w:szCs w:val="24"/>
          <w:color w:val="auto"/>
        </w:rPr>
      </w:pPr>
    </w:p>
    <w:p>
      <w:pPr>
        <w:ind w:right="200"/>
        <w:spacing w:after="0" w:line="264" w:lineRule="auto"/>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w:t>
      </w:r>
    </w:p>
    <w:p>
      <w:pPr>
        <w:spacing w:after="0" w:line="51" w:lineRule="exact"/>
        <w:rPr>
          <w:sz w:val="24"/>
          <w:szCs w:val="24"/>
          <w:color w:val="auto"/>
        </w:rPr>
      </w:pPr>
    </w:p>
    <w:p>
      <w:pPr>
        <w:ind w:right="40"/>
        <w:spacing w:after="0" w:line="26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139"/>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4340" w:type="dxa"/>
            <w:vAlign w:val="bottom"/>
          </w:tcPr>
          <w:p>
            <w:pPr>
              <w:ind w:left="960"/>
              <w:spacing w:after="0"/>
              <w:rPr>
                <w:sz w:val="20"/>
                <w:szCs w:val="20"/>
                <w:color w:val="auto"/>
              </w:rPr>
            </w:pPr>
            <w:r>
              <w:rPr>
                <w:rFonts w:ascii="Wingdings" w:cs="Wingdings" w:eastAsia="Wingdings" w:hAnsi="Wingdings"/>
                <w:sz w:val="11"/>
                <w:szCs w:val="11"/>
                <w:b w:val="1"/>
                <w:bCs w:val="1"/>
                <w:color w:val="auto"/>
              </w:rPr>
              <w:t>o</w:t>
            </w:r>
          </w:p>
        </w:tc>
        <w:tc>
          <w:tcPr>
            <w:tcW w:w="4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Accelerated filer</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4340" w:type="dxa"/>
            <w:vAlign w:val="bottom"/>
          </w:tcPr>
          <w:p>
            <w:pPr>
              <w:ind w:left="960"/>
              <w:spacing w:after="0"/>
              <w:rPr>
                <w:sz w:val="20"/>
                <w:szCs w:val="20"/>
                <w:color w:val="auto"/>
              </w:rPr>
            </w:pPr>
            <w:r>
              <w:rPr>
                <w:rFonts w:ascii="Wingdings" w:cs="Wingdings" w:eastAsia="Wingdings" w:hAnsi="Wingdings"/>
                <w:sz w:val="11"/>
                <w:szCs w:val="11"/>
                <w:b w:val="1"/>
                <w:bCs w:val="1"/>
                <w:color w:val="auto"/>
              </w:rPr>
              <w:t>o</w:t>
            </w:r>
          </w:p>
        </w:tc>
        <w:tc>
          <w:tcPr>
            <w:tcW w:w="45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149"/>
        </w:trPr>
        <w:tc>
          <w:tcPr>
            <w:tcW w:w="212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4340" w:type="dxa"/>
            <w:vAlign w:val="bottom"/>
          </w:tcPr>
          <w:p>
            <w:pPr>
              <w:ind w:left="960"/>
              <w:spacing w:after="0"/>
              <w:rPr>
                <w:sz w:val="20"/>
                <w:szCs w:val="20"/>
                <w:color w:val="auto"/>
              </w:rPr>
            </w:pPr>
            <w:r>
              <w:rPr>
                <w:rFonts w:ascii="Wingdings" w:cs="Wingdings" w:eastAsia="Wingdings" w:hAnsi="Wingdings"/>
                <w:sz w:val="11"/>
                <w:szCs w:val="11"/>
                <w:b w:val="1"/>
                <w:bCs w:val="1"/>
                <w:color w:val="auto"/>
              </w:rPr>
              <w:t>o</w:t>
            </w: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75" w:lineRule="exact"/>
        <w:rPr>
          <w:sz w:val="24"/>
          <w:szCs w:val="24"/>
          <w:color w:val="auto"/>
        </w:rPr>
      </w:pPr>
    </w:p>
    <w:p>
      <w:pPr>
        <w:ind w:right="40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3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10" w:lineRule="exact"/>
        <w:rPr>
          <w:sz w:val="24"/>
          <w:szCs w:val="24"/>
          <w:color w:val="auto"/>
        </w:rPr>
      </w:pPr>
    </w:p>
    <w:p>
      <w:pPr>
        <w:ind w:right="120"/>
        <w:spacing w:after="0" w:line="245"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1"/>
          <w:szCs w:val="11"/>
          <w:b w:val="1"/>
          <w:bCs w:val="1"/>
          <w:color w:val="auto"/>
        </w:rPr>
        <w:t>o</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840" w:type="dxa"/>
            <w:vAlign w:val="bottom"/>
            <w:gridSpan w:val="3"/>
          </w:tcPr>
          <w:p>
            <w:pPr>
              <w:spacing w:after="0" w:line="127" w:lineRule="exact"/>
              <w:rPr>
                <w:sz w:val="20"/>
                <w:szCs w:val="20"/>
                <w:color w:val="auto"/>
              </w:rPr>
            </w:pPr>
            <w:r>
              <w:rPr>
                <w:rFonts w:ascii="Times New Roman" w:cs="Times New Roman" w:eastAsia="Times New Roman" w:hAnsi="Times New Roman"/>
                <w:sz w:val="11"/>
                <w:szCs w:val="11"/>
                <w:color w:val="auto"/>
                <w:w w:val="98"/>
              </w:rPr>
              <w:t xml:space="preserve">Indicate by check mark whether the registrant is a shell company (as defined in Rule 12b-2 of the Act). </w:t>
            </w:r>
            <w:r>
              <w:rPr>
                <w:rFonts w:ascii="MS PGothic" w:cs="MS PGothic" w:eastAsia="MS PGothic" w:hAnsi="MS PGothic"/>
                <w:sz w:val="11"/>
                <w:szCs w:val="11"/>
                <w:color w:val="auto"/>
                <w:w w:val="98"/>
              </w:rPr>
              <w:t>☐</w:t>
            </w:r>
            <w:r>
              <w:rPr>
                <w:rFonts w:ascii="Times New Roman" w:cs="Times New Roman" w:eastAsia="Times New Roman" w:hAnsi="Times New Roman"/>
                <w:sz w:val="11"/>
                <w:szCs w:val="11"/>
                <w:color w:val="auto"/>
                <w:w w:val="98"/>
              </w:rPr>
              <w:t xml:space="preserve"> Yes</w:t>
            </w:r>
          </w:p>
        </w:tc>
        <w:tc>
          <w:tcPr>
            <w:tcW w:w="6440" w:type="dxa"/>
            <w:vAlign w:val="bottom"/>
            <w:gridSpan w:val="2"/>
          </w:tcPr>
          <w:p>
            <w:pPr>
              <w:ind w:left="80"/>
              <w:spacing w:after="0"/>
              <w:rPr>
                <w:sz w:val="20"/>
                <w:szCs w:val="20"/>
                <w:color w:val="auto"/>
              </w:rPr>
            </w:pPr>
            <w:r>
              <w:rPr>
                <w:rFonts w:ascii="Wingdings" w:cs="Wingdings" w:eastAsia="Wingdings" w:hAnsi="Wingdings"/>
                <w:sz w:val="11"/>
                <w:szCs w:val="11"/>
                <w:b w:val="1"/>
                <w:bCs w:val="1"/>
                <w:color w:val="auto"/>
              </w:rPr>
              <w:t xml:space="preserve">x </w:t>
            </w:r>
            <w:r>
              <w:rPr>
                <w:rFonts w:ascii="Times New Roman" w:cs="Times New Roman" w:eastAsia="Times New Roman" w:hAnsi="Times New Roman"/>
                <w:sz w:val="11"/>
                <w:szCs w:val="11"/>
                <w:color w:val="auto"/>
              </w:rPr>
              <w:t>No</w:t>
            </w:r>
          </w:p>
        </w:tc>
      </w:tr>
      <w:tr>
        <w:trPr>
          <w:trHeight w:val="175"/>
        </w:trPr>
        <w:tc>
          <w:tcPr>
            <w:tcW w:w="112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The aggregate market value of the common units held by non-affiliates of the registrant as of June 30, 2023 was 168,613,071.</w:t>
            </w:r>
          </w:p>
        </w:tc>
      </w:tr>
      <w:tr>
        <w:trPr>
          <w:trHeight w:val="202"/>
        </w:trPr>
        <w:tc>
          <w:tcPr>
            <w:tcW w:w="112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issuer’s classes of common stock, as of the latest practicable date:</w:t>
            </w:r>
          </w:p>
        </w:tc>
      </w:tr>
      <w:tr>
        <w:trPr>
          <w:trHeight w:val="291"/>
        </w:trPr>
        <w:tc>
          <w:tcPr>
            <w:tcW w:w="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68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As of March 1, 2024</w:t>
            </w:r>
          </w:p>
        </w:tc>
      </w:tr>
      <w:tr>
        <w:trPr>
          <w:trHeight w:val="144"/>
        </w:trPr>
        <w:tc>
          <w:tcPr>
            <w:tcW w:w="20" w:type="dxa"/>
            <w:vAlign w:val="bottom"/>
          </w:tcPr>
          <w:p>
            <w:pPr>
              <w:spacing w:after="0"/>
              <w:rPr>
                <w:sz w:val="12"/>
                <w:szCs w:val="12"/>
                <w:color w:val="auto"/>
              </w:rPr>
            </w:pPr>
          </w:p>
        </w:tc>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Common Units</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760" w:type="dxa"/>
            <w:vAlign w:val="bottom"/>
            <w:tcBorders>
              <w:top w:val="single" w:sz="8" w:color="auto"/>
            </w:tcBorders>
          </w:tcPr>
          <w:p>
            <w:pPr>
              <w:jc w:val="right"/>
              <w:ind w:right="2067"/>
              <w:spacing w:after="0"/>
              <w:rPr>
                <w:sz w:val="20"/>
                <w:szCs w:val="20"/>
                <w:color w:val="auto"/>
              </w:rPr>
            </w:pPr>
            <w:r>
              <w:rPr>
                <w:rFonts w:ascii="Times New Roman" w:cs="Times New Roman" w:eastAsia="Times New Roman" w:hAnsi="Times New Roman"/>
                <w:sz w:val="11"/>
                <w:szCs w:val="11"/>
                <w:color w:val="auto"/>
              </w:rPr>
              <w:t>10,415,675</w:t>
            </w:r>
          </w:p>
        </w:tc>
      </w:tr>
    </w:tbl>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77" w:lineRule="exact"/>
        <w:rPr>
          <w:sz w:val="24"/>
          <w:szCs w:val="24"/>
          <w:color w:val="auto"/>
        </w:rPr>
      </w:pPr>
    </w:p>
    <w:p>
      <w:pPr>
        <w:ind w:right="100"/>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2024 Annual Meeting of Limited Partners, which will be filed with the Securities and Exchange Commission within 120 days of December 31, 2023,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572135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180"/>
          </w:cols>
          <w:pgMar w:left="360" w:top="21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1B.</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PART 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7.</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7A.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8.</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9A.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9B.</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9C.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Part III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Part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Signature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73660</wp:posOffset>
            </wp:positionV>
            <wp:extent cx="716153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Risk Factors.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Cybersecurity Risk Management, Strategy, and Governance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Legal Proceedings.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277495</wp:posOffset>
            </wp:positionV>
            <wp:extent cx="7161530"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Market for Registrant’s Common Equity, Related Stockholder Matters and Issuer Purchases of Equity Securities.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Quantitative and Qualitative Disclosures about Market Risk.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Changes in and Disagreements with Accountants on Accounting and Financial Disclosure.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Other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277495</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Directors, Executive Officers and Corporate Governance.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Security Ownership of Certain Beneficial Owners and Management and Related Stockholder Matters.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163195</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28575</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163195</wp:posOffset>
            </wp:positionV>
            <wp:extent cx="716153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15</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15</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32</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64</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64</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65</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65</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66</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67</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67</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70</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95</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96</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131</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131</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133</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FF"/>
        </w:rPr>
        <w:t>134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136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142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143</w:t>
      </w:r>
    </w:p>
    <w:p>
      <w:pPr>
        <w:spacing w:after="0" w:line="200" w:lineRule="exact"/>
        <w:rPr>
          <w:sz w:val="20"/>
          <w:szCs w:val="20"/>
          <w:color w:val="auto"/>
        </w:rPr>
      </w:pPr>
    </w:p>
    <w:p>
      <w:pPr>
        <w:sectPr>
          <w:pgSz w:w="11900" w:h="16838" w:orient="portrait"/>
          <w:cols w:equalWidth="0" w:num="3">
            <w:col w:w="840" w:space="640"/>
            <w:col w:w="8760" w:space="720"/>
            <w:col w:w="220"/>
          </w:cols>
          <w:pgMar w:left="360" w:top="210" w:right="35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210" w:right="359" w:bottom="1440" w:gutter="0" w:footer="0" w:header="0"/>
          <w:type w:val="continuous"/>
        </w:sectPr>
      </w:pPr>
    </w:p>
    <w:bookmarkStart w:id="2" w:name="page3"/>
    <w:bookmarkEnd w:id="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Annual Report on Form 10-K (this “Annual Report”).</w:t>
      </w:r>
    </w:p>
    <w:p>
      <w:pPr>
        <w:spacing w:after="0" w:line="6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8" w:lineRule="exact"/>
        <w:rPr>
          <w:sz w:val="20"/>
          <w:szCs w:val="20"/>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whether to pay, or our ability to grow, our cash distributions;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natural gas, NGLs and crude oil prices, including as a result of political or economic measures taken by various countries or OPEC;</w:t>
      </w:r>
    </w:p>
    <w:p>
      <w:pPr>
        <w:spacing w:after="0" w:line="51" w:lineRule="exact"/>
        <w:rPr>
          <w:rFonts w:ascii="Times New Roman" w:cs="Times New Roman" w:eastAsia="Times New Roman" w:hAnsi="Times New Roman"/>
          <w:sz w:val="14"/>
          <w:szCs w:val="14"/>
          <w:color w:val="auto"/>
        </w:rPr>
      </w:pPr>
    </w:p>
    <w:p>
      <w:pPr>
        <w:ind w:left="1020" w:right="540" w:hanging="379"/>
        <w:spacing w:after="0" w:line="284" w:lineRule="auto"/>
        <w:tabs>
          <w:tab w:leader="none" w:pos="10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success of our customers' drilling and completion efforts, as well as the quantity of natural gas, crude oil, fresh water deliveries, and produced water volumes produced within proximity of our assets;</w:t>
      </w: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delays by our customers in achieving expected production in their natural gas, crude oil and produced water projects;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conditions in our industry and their impact on our ability to connect hydrocarbon supplies to our gathering and processing assets or systems;</w:t>
      </w:r>
    </w:p>
    <w:p>
      <w:pPr>
        <w:spacing w:after="0" w:line="51" w:lineRule="exact"/>
        <w:rPr>
          <w:rFonts w:ascii="Times New Roman" w:cs="Times New Roman" w:eastAsia="Times New Roman" w:hAnsi="Times New Roman"/>
          <w:sz w:val="14"/>
          <w:szCs w:val="14"/>
          <w:color w:val="auto"/>
        </w:rPr>
      </w:pPr>
    </w:p>
    <w:p>
      <w:pPr>
        <w:ind w:left="1020" w:hanging="379"/>
        <w:spacing w:after="0" w:line="270" w:lineRule="auto"/>
        <w:tabs>
          <w:tab w:leader="none" w:pos="10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8" w:lineRule="exact"/>
        <w:rPr>
          <w:rFonts w:ascii="Times New Roman" w:cs="Times New Roman" w:eastAsia="Times New Roman" w:hAnsi="Times New Roman"/>
          <w:sz w:val="14"/>
          <w:szCs w:val="14"/>
          <w:color w:val="auto"/>
        </w:rPr>
      </w:pPr>
    </w:p>
    <w:p>
      <w:pPr>
        <w:ind w:left="1020" w:right="40" w:hanging="379"/>
        <w:spacing w:after="0" w:line="284" w:lineRule="auto"/>
        <w:tabs>
          <w:tab w:leader="none" w:pos="10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divest of certain of our assets to third parties on attractive terms, which is subject to a number of factors, including prevailing conditions and outlook in the natural gas, NGL and crude oil industries and markets;</w:t>
      </w: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attract and retain key management personnel;</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capital market conditions and the potential impact of changes or disruptions in the credit and/or capital markets;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availability and cost of capital and the results of our financing efforts, including availability of funds in the credit and/or capital markets;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placed on us by the agreements governing our debt and preferred equity instruments;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terms and cost of downstream transportation and processing services;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accidents, weather-related delays, casualty losses and other matters beyond our control;</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and potential future impact of the COVID-19 pandemic or other pandemics on our business, results of operations, financial position or cash flows;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and hazards inherent in the gathering, compression, treating and/or processing of natural gas, crude oil and produced water;</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of the agreements comprising the Global Settlement;</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terrain in certain areas in which we operate;</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and financial risks associated with climate change;</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issues that can result in deficiencies in the design, installation or operation of our gathering, compression, treating, processing and freshwater facilities;</w:t>
      </w:r>
    </w:p>
    <w:p>
      <w:pPr>
        <w:spacing w:after="0" w:line="51" w:lineRule="exact"/>
        <w:rPr>
          <w:rFonts w:ascii="Times New Roman" w:cs="Times New Roman" w:eastAsia="Times New Roman" w:hAnsi="Times New Roman"/>
          <w:sz w:val="14"/>
          <w:szCs w:val="14"/>
          <w:color w:val="auto"/>
        </w:rPr>
      </w:pPr>
    </w:p>
    <w:p>
      <w:pPr>
        <w:ind w:left="1020" w:right="80" w:hanging="379"/>
        <w:spacing w:after="0" w:line="287" w:lineRule="auto"/>
        <w:tabs>
          <w:tab w:leader="none" w:pos="10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020" w:right="20" w:hanging="379"/>
        <w:spacing w:after="0" w:line="284" w:lineRule="auto"/>
        <w:tabs>
          <w:tab w:leader="none" w:pos="10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finance our obligations related to capital expenditures, including through opportunistic asset divestitures or joint ventures and the impact any such divestitures or joint ventures could have on our results;</w:t>
      </w:r>
    </w:p>
    <w:p>
      <w:pPr>
        <w:ind w:left="1020" w:right="200" w:hanging="379"/>
        <w:spacing w:after="0" w:line="284" w:lineRule="auto"/>
        <w:tabs>
          <w:tab w:leader="none" w:pos="10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status;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litigation;</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 a transaction pursuant to our strategic review; and</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factors discussed elsewhere in this report.</w:t>
      </w:r>
    </w:p>
    <w:p>
      <w:pPr>
        <w:spacing w:after="0" w:line="9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10" w:right="39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96"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This summary briefly lists the principal risks and uncertainties facing our business, which are only a select portion of those risks. A more complete discussion of those risks and uncertainties is set forth in Part I, Item 1A of this Annual Report. Additional risks not presently known to us or that we currently deem immaterial may also affect us. If any of these risks occur, our business, financial condition or results of operations could be materially and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subject to the following principal risks and uncertainties: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Operations</w:t>
      </w:r>
    </w:p>
    <w:p>
      <w:pPr>
        <w:spacing w:after="0" w:line="96" w:lineRule="exact"/>
        <w:rPr>
          <w:sz w:val="20"/>
          <w:szCs w:val="20"/>
          <w:color w:val="auto"/>
        </w:rPr>
      </w:pPr>
    </w:p>
    <w:p>
      <w:pPr>
        <w:ind w:left="1020" w:hanging="506"/>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engaged in a strategic review process, which may pose additional risks to our business, and there can be no assurance as to its outcome.</w:t>
      </w:r>
    </w:p>
    <w:p>
      <w:pPr>
        <w:spacing w:after="0" w:line="93" w:lineRule="exact"/>
        <w:rPr>
          <w:rFonts w:ascii="Times New Roman" w:cs="Times New Roman" w:eastAsia="Times New Roman" w:hAnsi="Times New Roman"/>
          <w:sz w:val="14"/>
          <w:szCs w:val="14"/>
          <w:color w:val="auto"/>
        </w:rPr>
      </w:pPr>
    </w:p>
    <w:p>
      <w:pPr>
        <w:ind w:left="1020" w:right="120" w:hanging="506"/>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cash from operations following the establishment of cash reserves and payment of fees and expenses to enable us to pay distributions to holders of our preferred units and common units.</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a relatively small number of customers for a significant portion of our revenues.</w:t>
      </w:r>
    </w:p>
    <w:p>
      <w:pPr>
        <w:spacing w:after="0" w:line="93" w:lineRule="exact"/>
        <w:rPr>
          <w:rFonts w:ascii="Times New Roman" w:cs="Times New Roman" w:eastAsia="Times New Roman" w:hAnsi="Times New Roman"/>
          <w:sz w:val="14"/>
          <w:szCs w:val="14"/>
          <w:color w:val="auto"/>
        </w:rPr>
      </w:pPr>
    </w:p>
    <w:p>
      <w:pPr>
        <w:ind w:left="1020" w:hanging="506"/>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39" w:lineRule="exact"/>
        <w:rPr>
          <w:rFonts w:ascii="Times New Roman" w:cs="Times New Roman" w:eastAsia="Times New Roman" w:hAnsi="Times New Roman"/>
          <w:sz w:val="14"/>
          <w:szCs w:val="14"/>
          <w:color w:val="auto"/>
        </w:rPr>
      </w:pPr>
    </w:p>
    <w:p>
      <w:pPr>
        <w:ind w:left="1020" w:right="460" w:hanging="506"/>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prolonged weakness in natural gas, NGL and crude oil prices could reduce throughput on our systems and materially adversely affect our revenues and results of operations.</w:t>
      </w:r>
    </w:p>
    <w:p>
      <w:pPr>
        <w:spacing w:after="0" w:line="39" w:lineRule="exact"/>
        <w:rPr>
          <w:rFonts w:ascii="Times New Roman" w:cs="Times New Roman" w:eastAsia="Times New Roman" w:hAnsi="Times New Roman"/>
          <w:sz w:val="14"/>
          <w:szCs w:val="14"/>
          <w:color w:val="auto"/>
        </w:rPr>
      </w:pPr>
    </w:p>
    <w:p>
      <w:pPr>
        <w:ind w:left="1020" w:right="40" w:hanging="506"/>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of the natural decline in production from our customers' existing wells, our success depends in part on our customers replacing declining production and also on our ability to maintain levels of throughput on our systems.</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renew or replace expiring contracts at favorable rates or on a long-term basis.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business effectively could be impaired if we fail to attract and retain key personnel.</w:t>
      </w:r>
    </w:p>
    <w:p>
      <w:pPr>
        <w:spacing w:after="0" w:line="93"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transition from hydrocarbon energy sources to alternative energy sources could lead to changes in demand, technology and public sentiment which could have material adverse effects on our business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Finances</w:t>
      </w:r>
    </w:p>
    <w:p>
      <w:pPr>
        <w:spacing w:after="0" w:line="96" w:lineRule="exact"/>
        <w:rPr>
          <w:sz w:val="20"/>
          <w:szCs w:val="20"/>
          <w:color w:val="auto"/>
        </w:rPr>
      </w:pPr>
    </w:p>
    <w:p>
      <w:pPr>
        <w:ind w:left="1020" w:right="340" w:hanging="506"/>
        <w:spacing w:after="0" w:line="287"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access to and/or availability of the commercial bank market or debt and equity capital markets could impair our ability to grow or cause us to be unable to meet future capital requirements.</w:t>
      </w:r>
    </w:p>
    <w:p>
      <w:pPr>
        <w:spacing w:after="0" w:line="39" w:lineRule="exact"/>
        <w:rPr>
          <w:rFonts w:ascii="Times New Roman" w:cs="Times New Roman" w:eastAsia="Times New Roman" w:hAnsi="Times New Roman"/>
          <w:sz w:val="14"/>
          <w:szCs w:val="14"/>
          <w:color w:val="auto"/>
        </w:rPr>
      </w:pPr>
    </w:p>
    <w:p>
      <w:pPr>
        <w:ind w:left="1020" w:right="20" w:hanging="506"/>
        <w:spacing w:after="0" w:line="287"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leverage and debt service obligations may adversely affect our financial condition, results of operations and business prospects, and may limit our flexibility to obtain financing and to pursue other business opportunities.</w:t>
      </w:r>
    </w:p>
    <w:p>
      <w:pPr>
        <w:spacing w:after="0" w:line="39" w:lineRule="exact"/>
        <w:rPr>
          <w:rFonts w:ascii="Times New Roman" w:cs="Times New Roman" w:eastAsia="Times New Roman" w:hAnsi="Times New Roman"/>
          <w:sz w:val="14"/>
          <w:szCs w:val="14"/>
          <w:color w:val="auto"/>
        </w:rPr>
      </w:pPr>
    </w:p>
    <w:p>
      <w:pPr>
        <w:ind w:left="1020" w:right="340" w:hanging="506"/>
        <w:spacing w:after="0" w:line="287"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generate sufficient cash to service all of our indebtedness and may be forced to take other actions to satisfy our obligations under our indebtedness or to refinance, which may not be successful.</w:t>
      </w:r>
    </w:p>
    <w:p>
      <w:pPr>
        <w:spacing w:after="0" w:line="39" w:lineRule="exact"/>
        <w:rPr>
          <w:rFonts w:ascii="Times New Roman" w:cs="Times New Roman" w:eastAsia="Times New Roman" w:hAnsi="Times New Roman"/>
          <w:sz w:val="14"/>
          <w:szCs w:val="14"/>
          <w:color w:val="auto"/>
        </w:rPr>
      </w:pPr>
    </w:p>
    <w:p>
      <w:pPr>
        <w:ind w:left="1020" w:hanging="506"/>
        <w:spacing w:after="0" w:line="287"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in our debt instruments could materially adversely affect our business, financial condition, results of operations, our ability to make cash distributions to unitholders and the value of our common units.</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could have adverse effects on our results of operation.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interest rates will cause our debt service obligations to increase.</w:t>
      </w:r>
    </w:p>
    <w:p>
      <w:pPr>
        <w:spacing w:after="0" w:line="93" w:lineRule="exact"/>
        <w:rPr>
          <w:rFonts w:ascii="Times New Roman" w:cs="Times New Roman" w:eastAsia="Times New Roman" w:hAnsi="Times New Roman"/>
          <w:sz w:val="14"/>
          <w:szCs w:val="14"/>
          <w:color w:val="auto"/>
        </w:rPr>
      </w:pPr>
    </w:p>
    <w:p>
      <w:pPr>
        <w:ind w:left="1020" w:right="140" w:hanging="506"/>
        <w:spacing w:after="0" w:line="287" w:lineRule="auto"/>
        <w:tabs>
          <w:tab w:leader="none" w:pos="10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downgrade of our credit rating could impact our liquidity, access to capital and our costs of doing business, and independent third parties determine our credit ratings outside of our control.</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 the past and may in the future incur losses due to an impairment in the carrying value of our long-lived assets or equity method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Environmental Policy Risks</w:t>
      </w:r>
    </w:p>
    <w:p>
      <w:pPr>
        <w:spacing w:after="0" w:line="96" w:lineRule="exact"/>
        <w:rPr>
          <w:sz w:val="20"/>
          <w:szCs w:val="20"/>
          <w:color w:val="auto"/>
        </w:rPr>
      </w:pPr>
    </w:p>
    <w:p>
      <w:pPr>
        <w:ind w:left="1020" w:right="100" w:hanging="506"/>
        <w:spacing w:after="0" w:line="287" w:lineRule="auto"/>
        <w:tabs>
          <w:tab w:leader="none" w:pos="10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regulation of hydraulic fracturing could result in reductions or delays in customer production, which could materially adversely impact our revenues.</w:t>
      </w:r>
    </w:p>
    <w:p>
      <w:pPr>
        <w:spacing w:after="0" w:line="93" w:lineRule="exact"/>
        <w:rPr>
          <w:rFonts w:ascii="Times New Roman" w:cs="Times New Roman" w:eastAsia="Times New Roman" w:hAnsi="Times New Roman"/>
          <w:sz w:val="14"/>
          <w:szCs w:val="14"/>
          <w:color w:val="auto"/>
        </w:rPr>
      </w:pPr>
    </w:p>
    <w:p>
      <w:pPr>
        <w:ind w:left="1020" w:right="280" w:hanging="506"/>
        <w:spacing w:after="0" w:line="287" w:lineRule="auto"/>
        <w:tabs>
          <w:tab w:leader="none" w:pos="10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stringent environmental laws and regulations that may expose us to significant costs and liabilities.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legislation, regulatory initiatives and litigation could result in increased operating costs and reduced demand for the services we provide.</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opposition to the development, permitting, construction or operation of our pipelines and facilities from various groups.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complex and evolving U.S. and international laws and regulations regarding privacy and data protection.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Inherent in an Investment in Us</w:t>
      </w:r>
    </w:p>
    <w:p>
      <w:pPr>
        <w:spacing w:after="0" w:line="96" w:lineRule="exact"/>
        <w:rPr>
          <w:sz w:val="20"/>
          <w:szCs w:val="20"/>
          <w:color w:val="auto"/>
        </w:rPr>
      </w:pPr>
    </w:p>
    <w:p>
      <w:pPr>
        <w:ind w:left="1020" w:hanging="506"/>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Partnership Agreement replaces our General Partner’s fiduciary duties to unitholders and those of our officers and directors with contractual standards governing their duties.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additional units without unitholder approval, which would dilute existing ownership interests.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Risks</w:t>
      </w:r>
    </w:p>
    <w:p>
      <w:pPr>
        <w:spacing w:after="0" w:line="96" w:lineRule="exact"/>
        <w:rPr>
          <w:sz w:val="20"/>
          <w:szCs w:val="20"/>
          <w:color w:val="auto"/>
        </w:rPr>
      </w:pPr>
    </w:p>
    <w:p>
      <w:pPr>
        <w:ind w:left="1020" w:hanging="506"/>
        <w:spacing w:after="0" w:line="287"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IRS were to treat us as a corporation for federal income tax purposes, which would subject us to entity-level taxation, then our cash available for distribution to our unitholders would be substantially reduced.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subjected to a material amount of additional entity-level taxation by individual states, it would reduce our cash available for distribution to our unitholders.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unitholders are required to pay income taxes on their share of our taxable income, which may be substantial even if they do not receive any cash distributions from us.</w:t>
      </w:r>
    </w:p>
    <w:p>
      <w:pPr>
        <w:spacing w:after="0" w:line="93" w:lineRule="exact"/>
        <w:rPr>
          <w:rFonts w:ascii="Times New Roman" w:cs="Times New Roman" w:eastAsia="Times New Roman" w:hAnsi="Times New Roman"/>
          <w:sz w:val="14"/>
          <w:szCs w:val="14"/>
          <w:color w:val="auto"/>
        </w:rPr>
      </w:pPr>
    </w:p>
    <w:p>
      <w:pPr>
        <w:ind w:left="1020" w:right="60" w:hanging="506"/>
        <w:spacing w:after="0" w:line="270"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we engaged in transactions that generated substantial cancellation of debt (“COD”) income on a per unit basis relative to the trading price of our common units. We may engage in other transactions that result in substantial COD income or other substantial gains, such as gains upon asset sales, in the future, and such events may cause a unitholder to be allocated substantial income with respect to our units with no corresponding distribution of cash to fund the payment of the resulting tax liability to the unitholder.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Terrorism and Cyberterrorism</w:t>
      </w:r>
    </w:p>
    <w:p>
      <w:pPr>
        <w:spacing w:after="0" w:line="96" w:lineRule="exact"/>
        <w:rPr>
          <w:sz w:val="20"/>
          <w:szCs w:val="20"/>
          <w:color w:val="auto"/>
        </w:rPr>
      </w:pPr>
    </w:p>
    <w:p>
      <w:pPr>
        <w:ind w:left="1020" w:right="280" w:hanging="506"/>
        <w:spacing w:after="0" w:line="287" w:lineRule="auto"/>
        <w:tabs>
          <w:tab w:leader="none" w:pos="10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and threats, escalation of military activity in response to these attacks or acts of war could have a material adverse effect on our business, financial condition or results of operations.</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depend on the use of information technology and operational technology systems that could be the target of a cyberattack.</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ORGANIZATIONAL CHART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chart provides a summarized view of our legal entity structure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4608195" cy="2620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0819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720" w:type="dxa"/>
            <w:vAlign w:val="bottom"/>
          </w:tcPr>
          <w:p>
            <w:pPr>
              <w:ind w:left="1440"/>
              <w:spacing w:after="0"/>
              <w:rPr>
                <w:sz w:val="20"/>
                <w:szCs w:val="20"/>
                <w:color w:val="auto"/>
              </w:rPr>
            </w:pPr>
            <w:r>
              <w:rPr>
                <w:rFonts w:ascii="Times New Roman" w:cs="Times New Roman" w:eastAsia="Times New Roman" w:hAnsi="Times New Roman"/>
                <w:sz w:val="17"/>
                <w:szCs w:val="17"/>
                <w:b w:val="1"/>
                <w:bCs w:val="1"/>
                <w:color w:val="auto"/>
              </w:rPr>
              <w:t>COMMONLY USED OR DEFINED TERMS</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2015</w:t>
            </w:r>
          </w:p>
        </w:tc>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Blacktail Release</w:t>
            </w: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 2015 rupture of our four-inch produced water gathering pipeline near Williston, North Dakota</w:t>
            </w:r>
          </w:p>
        </w:tc>
        <w:tc>
          <w:tcPr>
            <w:tcW w:w="0" w:type="dxa"/>
            <w:vAlign w:val="bottom"/>
          </w:tcPr>
          <w:p>
            <w:pPr>
              <w:spacing w:after="0"/>
              <w:rPr>
                <w:sz w:val="1"/>
                <w:szCs w:val="1"/>
                <w:color w:val="auto"/>
              </w:rPr>
            </w:pPr>
          </w:p>
        </w:tc>
      </w:tr>
      <w:tr>
        <w:trPr>
          <w:trHeight w:val="191"/>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2022</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DJ Acquisitions</w:t>
            </w:r>
          </w:p>
        </w:tc>
        <w:tc>
          <w:tcPr>
            <w:tcW w:w="8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the acquisition of Outrigger DJ Midstream LLC from Outrigger Energy II LLC, and each of Sterling Energy Investments LLC, Grasslands</w:t>
            </w:r>
          </w:p>
        </w:tc>
        <w:tc>
          <w:tcPr>
            <w:tcW w:w="0" w:type="dxa"/>
            <w:vAlign w:val="bottom"/>
          </w:tcPr>
          <w:p>
            <w:pPr>
              <w:spacing w:after="0"/>
              <w:rPr>
                <w:sz w:val="1"/>
                <w:szCs w:val="1"/>
                <w:color w:val="auto"/>
              </w:rPr>
            </w:pPr>
          </w:p>
        </w:tc>
      </w:tr>
      <w:tr>
        <w:trPr>
          <w:trHeight w:val="71"/>
        </w:trPr>
        <w:tc>
          <w:tcPr>
            <w:tcW w:w="5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8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Energy Marketing LLC and Centennial Water Pipelines LLC from Sterling Investment Holdings LLC</w:t>
            </w:r>
          </w:p>
        </w:tc>
        <w:tc>
          <w:tcPr>
            <w:tcW w:w="0" w:type="dxa"/>
            <w:vAlign w:val="bottom"/>
          </w:tcPr>
          <w:p>
            <w:pPr>
              <w:spacing w:after="0"/>
              <w:rPr>
                <w:sz w:val="1"/>
                <w:szCs w:val="1"/>
                <w:color w:val="auto"/>
              </w:rPr>
            </w:pPr>
          </w:p>
        </w:tc>
      </w:tr>
      <w:tr>
        <w:trPr>
          <w:trHeight w:val="298"/>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2023</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Transactions</w:t>
            </w:r>
          </w:p>
        </w:tc>
        <w:tc>
          <w:tcPr>
            <w:tcW w:w="8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exchange of new 2026 Unsecured Notes for outstanding 2025 Senior Notes and cash in November 2023 and the subsequent repurchases of</w:t>
            </w:r>
          </w:p>
        </w:tc>
        <w:tc>
          <w:tcPr>
            <w:tcW w:w="0" w:type="dxa"/>
            <w:vAlign w:val="bottom"/>
          </w:tcPr>
          <w:p>
            <w:pPr>
              <w:spacing w:after="0"/>
              <w:rPr>
                <w:sz w:val="1"/>
                <w:szCs w:val="1"/>
                <w:color w:val="auto"/>
              </w:rPr>
            </w:pPr>
          </w:p>
        </w:tc>
      </w:tr>
      <w:tr>
        <w:trPr>
          <w:trHeight w:val="184"/>
        </w:trPr>
        <w:tc>
          <w:tcPr>
            <w:tcW w:w="5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outstanding 2025 Senior Notes</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2025</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Summit Holdings' and Finance Corp.’s 5.75% senior unsecured notes due April 2025</w:t>
            </w:r>
          </w:p>
        </w:tc>
        <w:tc>
          <w:tcPr>
            <w:tcW w:w="0" w:type="dxa"/>
            <w:vAlign w:val="bottom"/>
          </w:tcPr>
          <w:p>
            <w:pPr>
              <w:spacing w:after="0"/>
              <w:rPr>
                <w:sz w:val="1"/>
                <w:szCs w:val="1"/>
                <w:color w:val="auto"/>
              </w:rPr>
            </w:pPr>
          </w:p>
        </w:tc>
      </w:tr>
      <w:tr>
        <w:trPr>
          <w:trHeight w:val="22"/>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2026</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Notes</w:t>
            </w:r>
          </w:p>
        </w:tc>
        <w:tc>
          <w:tcPr>
            <w:tcW w:w="8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Summit Holdings' and Finance Corp.’s 8.500% senior secured second lien notes due October 2026</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2026</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Secured Notes Indenture</w:t>
            </w: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Indenture, dated as of November 2, 2021, by and among Summit Holdings, Finance Corp., the guarantors party thereto and Regions Bank, as</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trustee</w:t>
            </w:r>
          </w:p>
        </w:tc>
        <w:tc>
          <w:tcPr>
            <w:tcW w:w="0" w:type="dxa"/>
            <w:vAlign w:val="bottom"/>
          </w:tcPr>
          <w:p>
            <w:pPr>
              <w:spacing w:after="0"/>
              <w:rPr>
                <w:sz w:val="1"/>
                <w:szCs w:val="1"/>
                <w:color w:val="auto"/>
              </w:rPr>
            </w:pPr>
          </w:p>
        </w:tc>
      </w:tr>
      <w:tr>
        <w:trPr>
          <w:trHeight w:val="22"/>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2026</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Notes</w:t>
            </w:r>
          </w:p>
        </w:tc>
        <w:tc>
          <w:tcPr>
            <w:tcW w:w="8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Summit Holdings' and Finance Corp.’s 12.00% senior unsecured notes due October 2026</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2026</w:t>
            </w:r>
          </w:p>
        </w:tc>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Notes Indenture</w:t>
            </w: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Indenture, dated as of November 21, 2023, by and among Summit Holdings, Finance Corp., the guarantors party thereto and Regions Bank, as</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trustee</w:t>
            </w:r>
          </w:p>
        </w:tc>
        <w:tc>
          <w:tcPr>
            <w:tcW w:w="0" w:type="dxa"/>
            <w:vAlign w:val="bottom"/>
          </w:tcPr>
          <w:p>
            <w:pPr>
              <w:spacing w:after="0"/>
              <w:rPr>
                <w:sz w:val="1"/>
                <w:szCs w:val="1"/>
                <w:color w:val="auto"/>
              </w:rPr>
            </w:pPr>
          </w:p>
        </w:tc>
      </w:tr>
      <w:tr>
        <w:trPr>
          <w:trHeight w:val="213"/>
        </w:trPr>
        <w:tc>
          <w:tcPr>
            <w:tcW w:w="2560" w:type="dxa"/>
            <w:vAlign w:val="bottom"/>
            <w:gridSpan w:val="2"/>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ABL Facility</w:t>
            </w: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asset-based lending credit facility governed by the ABL Agreement</w:t>
            </w:r>
          </w:p>
        </w:tc>
        <w:tc>
          <w:tcPr>
            <w:tcW w:w="0" w:type="dxa"/>
            <w:vAlign w:val="bottom"/>
          </w:tcPr>
          <w:p>
            <w:pPr>
              <w:spacing w:after="0"/>
              <w:rPr>
                <w:sz w:val="1"/>
                <w:szCs w:val="1"/>
                <w:color w:val="auto"/>
              </w:rPr>
            </w:pPr>
          </w:p>
        </w:tc>
      </w:tr>
      <w:tr>
        <w:trPr>
          <w:trHeight w:val="176"/>
        </w:trPr>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ABL Agreement</w:t>
            </w: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Loan and Security Agreement, dated as of November 2, 2021, among Summit Holdings, as borrower, SMLP and certain subsidiaries from time to</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time party thereto, as guarantors, Bank of America, N.A., as agent, ING Capital LLC, Royal Bank of Canada and Regions Bank, as co-</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syndication agents, and Bank of America, N.A., ING Capital LLC, RBC Capital Markets and Regions Capital Markets, as joint lead arrangers</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and joint bookrunners, as amended</w:t>
            </w:r>
          </w:p>
        </w:tc>
        <w:tc>
          <w:tcPr>
            <w:tcW w:w="0" w:type="dxa"/>
            <w:vAlign w:val="bottom"/>
          </w:tcPr>
          <w:p>
            <w:pPr>
              <w:spacing w:after="0"/>
              <w:rPr>
                <w:sz w:val="1"/>
                <w:szCs w:val="1"/>
                <w:color w:val="auto"/>
              </w:rPr>
            </w:pPr>
          </w:p>
        </w:tc>
      </w:tr>
      <w:tr>
        <w:trPr>
          <w:trHeight w:val="213"/>
        </w:trPr>
        <w:tc>
          <w:tcPr>
            <w:tcW w:w="2560" w:type="dxa"/>
            <w:vAlign w:val="bottom"/>
            <w:gridSpan w:val="2"/>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2026 Secured Notes</w:t>
            </w: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additional $85.0 million of 2026 Secured Notes issued in November 2022 in connection with the 2022 DJ Acquisitions</w:t>
            </w:r>
          </w:p>
        </w:tc>
        <w:tc>
          <w:tcPr>
            <w:tcW w:w="0" w:type="dxa"/>
            <w:vAlign w:val="bottom"/>
          </w:tcPr>
          <w:p>
            <w:pPr>
              <w:spacing w:after="0"/>
              <w:rPr>
                <w:sz w:val="1"/>
                <w:szCs w:val="1"/>
                <w:color w:val="auto"/>
              </w:rPr>
            </w:pPr>
          </w:p>
        </w:tc>
      </w:tr>
      <w:tr>
        <w:trPr>
          <w:trHeight w:val="176"/>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AMI</w:t>
            </w:r>
          </w:p>
        </w:tc>
        <w:tc>
          <w:tcPr>
            <w:tcW w:w="1980" w:type="dxa"/>
            <w:vAlign w:val="bottom"/>
          </w:tcPr>
          <w:p>
            <w:pPr>
              <w:spacing w:after="0"/>
              <w:rPr>
                <w:sz w:val="15"/>
                <w:szCs w:val="15"/>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area of mutual interest; AMIs require that any production from wells drilled by our customers within the AMI be shipped on and/or processed by</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our gathering systems</w:t>
            </w:r>
          </w:p>
        </w:tc>
        <w:tc>
          <w:tcPr>
            <w:tcW w:w="0" w:type="dxa"/>
            <w:vAlign w:val="bottom"/>
          </w:tcPr>
          <w:p>
            <w:pPr>
              <w:spacing w:after="0"/>
              <w:rPr>
                <w:sz w:val="1"/>
                <w:szCs w:val="1"/>
                <w:color w:val="auto"/>
              </w:rPr>
            </w:pPr>
          </w:p>
        </w:tc>
      </w:tr>
      <w:tr>
        <w:trPr>
          <w:trHeight w:val="22"/>
        </w:trPr>
        <w:tc>
          <w:tcPr>
            <w:tcW w:w="2560" w:type="dxa"/>
            <w:vAlign w:val="bottom"/>
            <w:gridSpan w:val="2"/>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associated natural gas</w:t>
            </w:r>
          </w:p>
        </w:tc>
        <w:tc>
          <w:tcPr>
            <w:tcW w:w="8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 form of natural gas which is found with deposits of petroleum, either dissolved in the crude oil or as a free gas cap above the crude oil in the</w:t>
            </w:r>
          </w:p>
        </w:tc>
        <w:tc>
          <w:tcPr>
            <w:tcW w:w="0" w:type="dxa"/>
            <w:vAlign w:val="bottom"/>
          </w:tcPr>
          <w:p>
            <w:pPr>
              <w:spacing w:after="0"/>
              <w:rPr>
                <w:sz w:val="1"/>
                <w:szCs w:val="1"/>
                <w:color w:val="auto"/>
              </w:rPr>
            </w:pPr>
          </w:p>
        </w:tc>
      </w:tr>
      <w:tr>
        <w:trPr>
          <w:trHeight w:val="186"/>
        </w:trPr>
        <w:tc>
          <w:tcPr>
            <w:tcW w:w="5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reservoir</w:t>
            </w:r>
          </w:p>
        </w:tc>
        <w:tc>
          <w:tcPr>
            <w:tcW w:w="0" w:type="dxa"/>
            <w:vAlign w:val="bottom"/>
          </w:tcPr>
          <w:p>
            <w:pPr>
              <w:spacing w:after="0"/>
              <w:rPr>
                <w:sz w:val="1"/>
                <w:szCs w:val="1"/>
                <w:color w:val="auto"/>
              </w:rPr>
            </w:pPr>
          </w:p>
        </w:tc>
      </w:tr>
      <w:tr>
        <w:trPr>
          <w:trHeight w:val="191"/>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ASC</w:t>
            </w: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0" w:type="dxa"/>
            <w:vAlign w:val="bottom"/>
          </w:tcPr>
          <w:p>
            <w:pPr>
              <w:spacing w:after="0"/>
              <w:rPr>
                <w:sz w:val="1"/>
                <w:szCs w:val="1"/>
                <w:color w:val="auto"/>
              </w:rPr>
            </w:pPr>
          </w:p>
        </w:tc>
      </w:tr>
      <w:tr>
        <w:trPr>
          <w:trHeight w:val="22"/>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ASU</w:t>
            </w:r>
          </w:p>
        </w:tc>
        <w:tc>
          <w:tcPr>
            <w:tcW w:w="198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Audit Committee</w:t>
            </w: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the audit committee of the Board of Directors</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Bbl</w:t>
            </w:r>
          </w:p>
        </w:tc>
        <w:tc>
          <w:tcPr>
            <w:tcW w:w="198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one barrel; used for crude oil and produced water and equivalent to 42 U.S. gallons</w:t>
            </w:r>
          </w:p>
        </w:tc>
        <w:tc>
          <w:tcPr>
            <w:tcW w:w="0" w:type="dxa"/>
            <w:vAlign w:val="bottom"/>
          </w:tcPr>
          <w:p>
            <w:pPr>
              <w:spacing w:after="0"/>
              <w:rPr>
                <w:sz w:val="1"/>
                <w:szCs w:val="1"/>
                <w:color w:val="auto"/>
              </w:rPr>
            </w:pPr>
          </w:p>
        </w:tc>
      </w:tr>
      <w:tr>
        <w:trPr>
          <w:trHeight w:val="191"/>
        </w:trPr>
        <w:tc>
          <w:tcPr>
            <w:tcW w:w="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Bcf</w:t>
            </w:r>
          </w:p>
        </w:tc>
        <w:tc>
          <w:tcPr>
            <w:tcW w:w="1980" w:type="dxa"/>
            <w:vAlign w:val="bottom"/>
          </w:tcPr>
          <w:p>
            <w:pPr>
              <w:spacing w:after="0"/>
              <w:rPr>
                <w:sz w:val="16"/>
                <w:szCs w:val="16"/>
                <w:color w:val="auto"/>
              </w:rPr>
            </w:pPr>
          </w:p>
        </w:tc>
        <w:tc>
          <w:tcPr>
            <w:tcW w:w="8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one billion cubic feet</w:t>
            </w:r>
          </w:p>
        </w:tc>
        <w:tc>
          <w:tcPr>
            <w:tcW w:w="0" w:type="dxa"/>
            <w:vAlign w:val="bottom"/>
          </w:tcPr>
          <w:p>
            <w:pPr>
              <w:spacing w:after="0"/>
              <w:rPr>
                <w:sz w:val="1"/>
                <w:szCs w:val="1"/>
                <w:color w:val="auto"/>
              </w:rPr>
            </w:pPr>
          </w:p>
        </w:tc>
      </w:tr>
      <w:tr>
        <w:trPr>
          <w:trHeight w:val="732"/>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7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8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Bcfe/d</w:t>
            </w:r>
          </w:p>
        </w:tc>
        <w:tc>
          <w:tcPr>
            <w:tcW w:w="8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the equivalent of one billion cubic feet per day; generally calculated when liquids are converted into natural gas; determined using a ratio of six</w:t>
            </w:r>
          </w:p>
        </w:tc>
      </w:tr>
      <w:tr>
        <w:trPr>
          <w:trHeight w:val="186"/>
        </w:trPr>
        <w:tc>
          <w:tcPr>
            <w:tcW w:w="2380" w:type="dxa"/>
            <w:vAlign w:val="bottom"/>
            <w:tcBorders>
              <w:bottom w:val="single" w:sz="8" w:color="CCEEFF"/>
            </w:tcBorders>
            <w:shd w:val="clear" w:color="auto" w:fill="CCEEFF"/>
          </w:tcPr>
          <w:p>
            <w:pPr>
              <w:spacing w:after="0"/>
              <w:rPr>
                <w:sz w:val="16"/>
                <w:szCs w:val="16"/>
                <w:color w:val="auto"/>
              </w:rPr>
            </w:pP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thousand cubic feet of natural gas to one barrel of liquids</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Bison Midstream</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Bison Midstream, LLC</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Board of Directors</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the board of directors of our General Partner</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CAA</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Clean Air Act</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CEA</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Commodity Exchange Act</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CERCLA</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Comprehensive Environmental Response, Compensation and Liability Act</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CFTC</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Commodity Futures Trading Commission</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COD</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cancellation of debt</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76"/>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Agreement</w:t>
            </w:r>
          </w:p>
        </w:tc>
        <w:tc>
          <w:tcPr>
            <w:tcW w:w="8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Collateral Agreement, dated as of November 2, 2021, by and among SMLP, as a pledgor, Summit Holdings and Finance Corp., as pledgors and</w:t>
            </w:r>
          </w:p>
        </w:tc>
      </w:tr>
      <w:tr>
        <w:trPr>
          <w:trHeight w:val="186"/>
        </w:trPr>
        <w:tc>
          <w:tcPr>
            <w:tcW w:w="2380" w:type="dxa"/>
            <w:vAlign w:val="bottom"/>
            <w:tcBorders>
              <w:bottom w:val="single" w:sz="8" w:color="CCEEFF"/>
            </w:tcBorders>
            <w:shd w:val="clear" w:color="auto" w:fill="CCEEFF"/>
          </w:tcPr>
          <w:p>
            <w:pPr>
              <w:spacing w:after="0"/>
              <w:rPr>
                <w:sz w:val="16"/>
                <w:szCs w:val="16"/>
                <w:color w:val="auto"/>
              </w:rPr>
            </w:pP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grantors, the subsidiary guarantors party therein, and Regions Bank, as collateral agent</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Committee</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the compensation committee of the Board of Directors</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condensate</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 natural gas liquid with a low vapor pressure, mainly composed of propane, butane, pentane and heavier hydrocarbon fractions</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Conflicts Committee</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the conflicts committee of the Board of Directors, if established</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1"/>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Co-Issuers</w:t>
            </w:r>
          </w:p>
        </w:tc>
        <w:tc>
          <w:tcPr>
            <w:tcW w:w="8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Summit Holdings and Finance Corp., as co-issuers of the 2025 Senior Notes, the 2026 Unsecured Notes and the 2026 Secured Notes</w:t>
            </w:r>
          </w:p>
        </w:tc>
      </w:tr>
      <w:tr>
        <w:trPr>
          <w:trHeight w:val="213"/>
        </w:trPr>
        <w:tc>
          <w:tcPr>
            <w:tcW w:w="2380" w:type="dxa"/>
            <w:vAlign w:val="bottom"/>
            <w:shd w:val="clear" w:color="auto" w:fill="CCEEFF"/>
          </w:tcPr>
          <w:p>
            <w:pPr>
              <w:spacing w:after="0"/>
              <w:rPr>
                <w:sz w:val="18"/>
                <w:szCs w:val="18"/>
                <w:color w:val="auto"/>
              </w:rPr>
            </w:pPr>
          </w:p>
        </w:tc>
        <w:tc>
          <w:tcPr>
            <w:tcW w:w="8900" w:type="dxa"/>
            <w:vAlign w:val="bottom"/>
            <w:shd w:val="clear" w:color="auto" w:fill="CCEEFF"/>
          </w:tcPr>
          <w:p>
            <w:pPr>
              <w:spacing w:after="0"/>
              <w:rPr>
                <w:sz w:val="18"/>
                <w:szCs w:val="18"/>
                <w:color w:val="auto"/>
              </w:rPr>
            </w:pP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CWA</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Clean Water Act</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DFW Midstream</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DFW Midstream Services LLC</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DJ Basin</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Denver-Julesburg Basin</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Dodd-Frank Act</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Dodd-Frank Wall Street Reform and Consumer Protection Act of 2010</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DOT</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U.S. Department of Transportation</w:t>
            </w:r>
          </w:p>
        </w:tc>
      </w:tr>
      <w:tr>
        <w:trPr>
          <w:trHeight w:val="22"/>
        </w:trPr>
        <w:tc>
          <w:tcPr>
            <w:tcW w:w="23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192"/>
        </w:trPr>
        <w:tc>
          <w:tcPr>
            <w:tcW w:w="2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Double E</w:t>
            </w: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Double E Pipeline, LLC</w:t>
            </w:r>
          </w:p>
        </w:tc>
      </w:tr>
      <w:tr>
        <w:trPr>
          <w:trHeight w:val="176"/>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Double E Pipeline</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 1.35 Bcf per day, FERC-regulated interstate natural gas transmission pipeline that commenced operations in November 2021 and provides</w:t>
            </w:r>
          </w:p>
        </w:tc>
      </w:tr>
      <w:tr>
        <w:trPr>
          <w:trHeight w:val="184"/>
        </w:trPr>
        <w:tc>
          <w:tcPr>
            <w:tcW w:w="2380" w:type="dxa"/>
            <w:vAlign w:val="bottom"/>
          </w:tcPr>
          <w:p>
            <w:pPr>
              <w:spacing w:after="0"/>
              <w:rPr>
                <w:sz w:val="16"/>
                <w:szCs w:val="16"/>
                <w:color w:val="auto"/>
              </w:rPr>
            </w:pP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transportation service from multiple receipt points in the Delaware Basin to various delivery points in and around the Waha hub in Texas</w:t>
            </w:r>
          </w:p>
        </w:tc>
      </w:tr>
      <w:tr>
        <w:trPr>
          <w:trHeight w:val="213"/>
        </w:trPr>
        <w:tc>
          <w:tcPr>
            <w:tcW w:w="2380" w:type="dxa"/>
            <w:vAlign w:val="bottom"/>
          </w:tcPr>
          <w:p>
            <w:pPr>
              <w:spacing w:after="0"/>
              <w:rPr>
                <w:sz w:val="18"/>
                <w:szCs w:val="18"/>
                <w:color w:val="auto"/>
              </w:rPr>
            </w:pPr>
          </w:p>
        </w:tc>
        <w:tc>
          <w:tcPr>
            <w:tcW w:w="8900" w:type="dxa"/>
            <w:vAlign w:val="bottom"/>
          </w:tcPr>
          <w:p>
            <w:pPr>
              <w:spacing w:after="0"/>
              <w:rPr>
                <w:sz w:val="18"/>
                <w:szCs w:val="18"/>
                <w:color w:val="auto"/>
              </w:rPr>
            </w:pPr>
          </w:p>
        </w:tc>
      </w:tr>
      <w:tr>
        <w:trPr>
          <w:trHeight w:val="176"/>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dry gas</w:t>
            </w:r>
          </w:p>
        </w:tc>
        <w:tc>
          <w:tcPr>
            <w:tcW w:w="8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natural gas primarily composed of methane where heavy hydrocarbons and water either do not exist or have been removed through processing or</w:t>
            </w:r>
          </w:p>
        </w:tc>
      </w:tr>
      <w:tr>
        <w:trPr>
          <w:trHeight w:val="186"/>
        </w:trPr>
        <w:tc>
          <w:tcPr>
            <w:tcW w:w="2380" w:type="dxa"/>
            <w:vAlign w:val="bottom"/>
            <w:tcBorders>
              <w:bottom w:val="single" w:sz="8" w:color="CCEEFF"/>
            </w:tcBorders>
            <w:shd w:val="clear" w:color="auto" w:fill="CCEEFF"/>
          </w:tcPr>
          <w:p>
            <w:pPr>
              <w:spacing w:after="0"/>
              <w:rPr>
                <w:sz w:val="16"/>
                <w:szCs w:val="16"/>
                <w:color w:val="auto"/>
              </w:rPr>
            </w:pPr>
          </w:p>
        </w:tc>
        <w:tc>
          <w:tcPr>
            <w:tcW w:w="8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treating</w:t>
            </w: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Dth/d</w:t>
            </w:r>
          </w:p>
        </w:tc>
        <w:tc>
          <w:tcPr>
            <w:tcW w:w="89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one million British Thermal Units per day</w:t>
            </w:r>
          </w:p>
        </w:tc>
      </w:tr>
      <w:tr>
        <w:trPr>
          <w:trHeight w:val="721"/>
        </w:trPr>
        <w:tc>
          <w:tcPr>
            <w:tcW w:w="2380" w:type="dxa"/>
            <w:vAlign w:val="bottom"/>
          </w:tcPr>
          <w:p>
            <w:pPr>
              <w:spacing w:after="0"/>
              <w:rPr>
                <w:sz w:val="24"/>
                <w:szCs w:val="24"/>
                <w:color w:val="auto"/>
              </w:rPr>
            </w:pPr>
          </w:p>
        </w:tc>
        <w:tc>
          <w:tcPr>
            <w:tcW w:w="890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9</w:t>
            </w:r>
          </w:p>
        </w:tc>
      </w:tr>
      <w:tr>
        <w:trPr>
          <w:trHeight w:val="87"/>
        </w:trPr>
        <w:tc>
          <w:tcPr>
            <w:tcW w:w="2380" w:type="dxa"/>
            <w:vAlign w:val="bottom"/>
            <w:tcBorders>
              <w:bottom w:val="single" w:sz="8" w:color="9A9A9A"/>
            </w:tcBorders>
          </w:tcPr>
          <w:p>
            <w:pPr>
              <w:spacing w:after="0"/>
              <w:rPr>
                <w:sz w:val="7"/>
                <w:szCs w:val="7"/>
                <w:color w:val="auto"/>
              </w:rPr>
            </w:pPr>
          </w:p>
        </w:tc>
        <w:tc>
          <w:tcPr>
            <w:tcW w:w="8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800" w:type="dxa"/>
            <w:vAlign w:val="bottom"/>
          </w:tcPr>
          <w:p>
            <w:pPr>
              <w:spacing w:after="0"/>
              <w:rPr>
                <w:sz w:val="13"/>
                <w:szCs w:val="13"/>
                <w:color w:val="auto"/>
              </w:rPr>
            </w:pPr>
          </w:p>
        </w:tc>
        <w:tc>
          <w:tcPr>
            <w:tcW w:w="8960" w:type="dxa"/>
            <w:vAlign w:val="bottom"/>
          </w:tcPr>
          <w:p>
            <w:pPr>
              <w:spacing w:after="0"/>
              <w:rPr>
                <w:sz w:val="13"/>
                <w:szCs w:val="13"/>
                <w:color w:val="auto"/>
              </w:rPr>
            </w:pPr>
          </w:p>
        </w:tc>
      </w:tr>
      <w:tr>
        <w:trPr>
          <w:trHeight w:val="574"/>
        </w:trPr>
        <w:tc>
          <w:tcPr>
            <w:tcW w:w="2320" w:type="dxa"/>
            <w:vAlign w:val="bottom"/>
            <w:gridSpan w:val="3"/>
          </w:tcPr>
          <w:p>
            <w:pPr>
              <w:spacing w:after="0"/>
              <w:rPr>
                <w:sz w:val="24"/>
                <w:szCs w:val="24"/>
                <w:color w:val="auto"/>
              </w:rPr>
            </w:pPr>
          </w:p>
        </w:tc>
        <w:tc>
          <w:tcPr>
            <w:tcW w:w="8960" w:type="dxa"/>
            <w:vAlign w:val="bottom"/>
          </w:tcPr>
          <w:p>
            <w:pPr>
              <w:spacing w:after="0"/>
              <w:rPr>
                <w:sz w:val="24"/>
                <w:szCs w:val="24"/>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EPA</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Environmental Protection Agency</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Epping</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Epping Transmission Company, LLC</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Epping Pipeline</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an interstate crude oil pipeline in North Dakota, owned and operated by Epping</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EPU</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earnings or loss per unit</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Exchange Act</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FASB</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FERC</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Finance Corp.</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Summit Midstream Finance Corp.</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1"/>
        </w:trPr>
        <w:tc>
          <w:tcPr>
            <w:tcW w:w="23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fracking</w:t>
            </w:r>
          </w:p>
        </w:tc>
        <w:tc>
          <w:tcPr>
            <w:tcW w:w="8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the process of injecting liquid at high pressure into subterranean rocks and boreholes to force open existing fissures and extract oil or gas</w:t>
            </w:r>
          </w:p>
        </w:tc>
      </w:tr>
      <w:tr>
        <w:trPr>
          <w:trHeight w:val="213"/>
        </w:trPr>
        <w:tc>
          <w:tcPr>
            <w:tcW w:w="2320" w:type="dxa"/>
            <w:vAlign w:val="bottom"/>
            <w:gridSpan w:val="3"/>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r>
      <w:tr>
        <w:trPr>
          <w:trHeight w:val="176"/>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frac-protect activities</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activities that are designed to protect existing hydrocarbon wells from harm by shutting in existing hydrocarbon production until new well</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activities have concluded</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FTC</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Federal Trade Commission</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GAAP</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accounting principles generally accepted in the United States of America</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Partner</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Summit Midstream GP, LLC</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GHG</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greenhouse gas(es)</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GP</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general partner</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Grand River</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Grand River Gathering, LLC</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76"/>
        </w:trPr>
        <w:tc>
          <w:tcPr>
            <w:tcW w:w="23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Guarantor Subsidiaries</w:t>
            </w:r>
          </w:p>
        </w:tc>
        <w:tc>
          <w:tcPr>
            <w:tcW w:w="8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Bison Midstream and its subsidiaries, Grand River and its subsidiaries, DFW Midstream, Summit Marketing, Summit Permian, Permian Finance,</w:t>
            </w:r>
          </w:p>
        </w:tc>
      </w:tr>
      <w:tr>
        <w:trPr>
          <w:trHeight w:val="170"/>
        </w:trPr>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OpCo, Summit Utica, Meadowlark Midstream, Summit Permian II, Mountaineer Midstream, Epping, Red Rock, Polar Midstream and Summit</w:t>
            </w:r>
          </w:p>
        </w:tc>
      </w:tr>
      <w:tr>
        <w:trPr>
          <w:trHeight w:val="186"/>
        </w:trPr>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Niobrara</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hub</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geographic location of a storage facility and multiple pipeline interconnections</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ICA</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Interstate Commerce Act</w:t>
            </w:r>
          </w:p>
        </w:tc>
      </w:tr>
      <w:tr>
        <w:trPr>
          <w:trHeight w:val="176"/>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Intercreditor Agreement</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Intercreditor Agreement, dated as of November 2, 2021, by and among Bank of America, N.A., as first lien representative and collateral agent for</w:t>
            </w:r>
          </w:p>
        </w:tc>
      </w:tr>
      <w:tr>
        <w:trPr>
          <w:trHeight w:val="170"/>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the initial first lien claimholders, Regions Bank, as second lien representative for the initial second lien claimholders and as collateral agent for</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the initial second lien claimholders, acknowledged and agreed to by Summit Holdings and the other grantors referred to therein</w:t>
            </w:r>
          </w:p>
        </w:tc>
      </w:tr>
      <w:tr>
        <w:trPr>
          <w:trHeight w:val="22"/>
        </w:trPr>
        <w:tc>
          <w:tcPr>
            <w:tcW w:w="2320" w:type="dxa"/>
            <w:vAlign w:val="bottom"/>
            <w:gridSpan w:val="3"/>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92"/>
        </w:trPr>
        <w:tc>
          <w:tcPr>
            <w:tcW w:w="23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IRS</w:t>
            </w:r>
          </w:p>
        </w:tc>
        <w:tc>
          <w:tcPr>
            <w:tcW w:w="8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91"/>
        </w:trPr>
        <w:tc>
          <w:tcPr>
            <w:tcW w:w="2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IT</w:t>
            </w:r>
          </w:p>
        </w:tc>
        <w:tc>
          <w:tcPr>
            <w:tcW w:w="89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information technology</w:t>
            </w:r>
          </w:p>
        </w:tc>
      </w:tr>
      <w:tr>
        <w:trPr>
          <w:trHeight w:val="912"/>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10</w:t>
            </w: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920" w:type="dxa"/>
            <w:vAlign w:val="bottom"/>
          </w:tcPr>
          <w:p>
            <w:pPr>
              <w:spacing w:after="0"/>
              <w:rPr>
                <w:sz w:val="13"/>
                <w:szCs w:val="13"/>
                <w:color w:val="auto"/>
              </w:rPr>
            </w:pPr>
          </w:p>
        </w:tc>
        <w:tc>
          <w:tcPr>
            <w:tcW w:w="8840" w:type="dxa"/>
            <w:vAlign w:val="bottom"/>
          </w:tcPr>
          <w:p>
            <w:pPr>
              <w:spacing w:after="0"/>
              <w:rPr>
                <w:sz w:val="13"/>
                <w:szCs w:val="13"/>
                <w:color w:val="auto"/>
              </w:rPr>
            </w:pPr>
          </w:p>
        </w:tc>
      </w:tr>
      <w:tr>
        <w:trPr>
          <w:trHeight w:val="574"/>
        </w:trPr>
        <w:tc>
          <w:tcPr>
            <w:tcW w:w="2440" w:type="dxa"/>
            <w:vAlign w:val="bottom"/>
            <w:gridSpan w:val="3"/>
          </w:tcPr>
          <w:p>
            <w:pPr>
              <w:spacing w:after="0"/>
              <w:rPr>
                <w:sz w:val="24"/>
                <w:szCs w:val="24"/>
                <w:color w:val="auto"/>
              </w:rPr>
            </w:pPr>
          </w:p>
        </w:tc>
        <w:tc>
          <w:tcPr>
            <w:tcW w:w="8840" w:type="dxa"/>
            <w:vAlign w:val="bottom"/>
          </w:tcPr>
          <w:p>
            <w:pPr>
              <w:spacing w:after="0"/>
              <w:rPr>
                <w:sz w:val="24"/>
                <w:szCs w:val="24"/>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LIBOR</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Mbbl/d</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one thousand barrels per day</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MD&amp;A</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MDTQ</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maximum daily transportation quantity</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Meadowlark Midstream</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Meadowlark Midstream Company, LLC</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MMBtu</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one million British Thermal Units</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MMcf</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one million cubic feet</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MMcf/d</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one million cubic feet per day</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1"/>
        </w:trPr>
        <w:tc>
          <w:tcPr>
            <w:tcW w:w="24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MMcfe/d</w:t>
            </w:r>
          </w:p>
        </w:tc>
        <w:tc>
          <w:tcPr>
            <w:tcW w:w="8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the equivalent of one million cubic feet per day; determined using a ratio of six thousand cubic feet of natural gas to one barrel of liquids</w:t>
            </w:r>
          </w:p>
        </w:tc>
      </w:tr>
      <w:tr>
        <w:trPr>
          <w:trHeight w:val="202"/>
        </w:trPr>
        <w:tc>
          <w:tcPr>
            <w:tcW w:w="2440" w:type="dxa"/>
            <w:vAlign w:val="bottom"/>
            <w:gridSpan w:val="3"/>
            <w:shd w:val="clear" w:color="auto" w:fill="CCEEFF"/>
          </w:tcPr>
          <w:p>
            <w:pPr>
              <w:spacing w:after="0"/>
              <w:rPr>
                <w:sz w:val="17"/>
                <w:szCs w:val="17"/>
                <w:color w:val="auto"/>
              </w:rPr>
            </w:pPr>
          </w:p>
        </w:tc>
        <w:tc>
          <w:tcPr>
            <w:tcW w:w="8840" w:type="dxa"/>
            <w:vAlign w:val="bottom"/>
            <w:shd w:val="clear" w:color="auto" w:fill="CCEEFF"/>
          </w:tcPr>
          <w:p>
            <w:pPr>
              <w:spacing w:after="0"/>
              <w:rPr>
                <w:sz w:val="17"/>
                <w:szCs w:val="17"/>
                <w:color w:val="auto"/>
              </w:rPr>
            </w:pP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Mountaineer Midstream</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Mountaineer Midstream Company, LLC</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MVC</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minimum volume commitment</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NAAQS</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national ambient air quality standard</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NEPA</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NDIC</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North Dakota Industrial Commission</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NGA</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Natural Gas Act</w:t>
            </w:r>
          </w:p>
        </w:tc>
      </w:tr>
      <w:tr>
        <w:trPr>
          <w:trHeight w:val="176"/>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NGLs</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natural gas liquids; the combination of ethane, propane, normal butane, iso-butane and natural gasolines that when removed from unprocessed</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natural gas streams become liquid under various levels of higher pressure and lower temperature</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NGPA</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Natural Gas Policy Act of 1978</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Niobrara G&amp;P</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Niobrara Gathering and Processing system</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Non-Guarantor Subsidiaries</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Permian Holdco and Summit Permian Transmission</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NYSE</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Obligor Group</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the Co-Issuers and the Guarantor Subsidiaries</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OCC</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Ohio Condensate Company, L.L.C.</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OGC</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Ohio Gathering Company, L.L.C.</w:t>
            </w:r>
          </w:p>
        </w:tc>
      </w:tr>
      <w:tr>
        <w:trPr>
          <w:trHeight w:val="191"/>
        </w:trPr>
        <w:tc>
          <w:tcPr>
            <w:tcW w:w="24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Ohio Gathering</w:t>
            </w:r>
          </w:p>
        </w:tc>
        <w:tc>
          <w:tcPr>
            <w:tcW w:w="8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Ohio Gathering Company, L.L.C. and Ohio Condensate Company, L.L.C.</w:t>
            </w:r>
          </w:p>
        </w:tc>
      </w:tr>
      <w:tr>
        <w:trPr>
          <w:trHeight w:val="22"/>
        </w:trPr>
        <w:tc>
          <w:tcPr>
            <w:tcW w:w="2440" w:type="dxa"/>
            <w:vAlign w:val="bottom"/>
            <w:gridSpan w:val="3"/>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OPA</w:t>
            </w:r>
          </w:p>
        </w:tc>
        <w:tc>
          <w:tcPr>
            <w:tcW w:w="8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Oil Pollution Control Act</w:t>
            </w:r>
          </w:p>
        </w:tc>
      </w:tr>
      <w:tr>
        <w:trPr>
          <w:trHeight w:val="700"/>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4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11</w:t>
            </w: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1220" w:type="dxa"/>
            <w:vAlign w:val="bottom"/>
          </w:tcPr>
          <w:p>
            <w:pPr>
              <w:spacing w:after="0"/>
              <w:rPr>
                <w:sz w:val="13"/>
                <w:szCs w:val="13"/>
                <w:color w:val="auto"/>
              </w:rPr>
            </w:pPr>
          </w:p>
        </w:tc>
        <w:tc>
          <w:tcPr>
            <w:tcW w:w="8540" w:type="dxa"/>
            <w:vAlign w:val="bottom"/>
          </w:tcPr>
          <w:p>
            <w:pPr>
              <w:spacing w:after="0"/>
              <w:rPr>
                <w:sz w:val="13"/>
                <w:szCs w:val="13"/>
                <w:color w:val="auto"/>
              </w:rPr>
            </w:pPr>
          </w:p>
        </w:tc>
      </w:tr>
      <w:tr>
        <w:trPr>
          <w:trHeight w:val="765"/>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OpCo</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Summit Midstream OpCo, LP</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1"/>
        </w:trPr>
        <w:tc>
          <w:tcPr>
            <w:tcW w:w="2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w:t>
            </w: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operational technology</w:t>
            </w:r>
          </w:p>
        </w:tc>
      </w:tr>
      <w:tr>
        <w:trPr>
          <w:trHeight w:val="213"/>
        </w:trPr>
        <w:tc>
          <w:tcPr>
            <w:tcW w:w="2740" w:type="dxa"/>
            <w:vAlign w:val="bottom"/>
            <w:gridSpan w:val="3"/>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PHMSA</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Pipeline and Hazardous Materials Safety Administration</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2"/>
        </w:trPr>
        <w:tc>
          <w:tcPr>
            <w:tcW w:w="2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play</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 proven geological formation that contains commercial amounts of hydrocarbons</w:t>
            </w: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Permian Finance</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Summit Midstream Permian Finance, LLC</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2"/>
        </w:trPr>
        <w:tc>
          <w:tcPr>
            <w:tcW w:w="2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Permian Holdco</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Summit Permian Transmission Holdco, LLC</w:t>
            </w:r>
          </w:p>
        </w:tc>
      </w:tr>
      <w:tr>
        <w:trPr>
          <w:trHeight w:val="176"/>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Permian Term Loan Facility</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term loan governed by the Credit Agreement, dated as of March 8, 2021, among Summit Permian Transmission, LLC, as borrower, MUFG</w:t>
            </w:r>
          </w:p>
        </w:tc>
      </w:tr>
      <w:tr>
        <w:trPr>
          <w:trHeight w:val="170"/>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Bank Ltd., as administrative agent, Mizuho Bank (USA), as collateral agent, ING Capital LLC, Mizuho Bank, Ltd. and MUFG Union Bank,</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 as L/C issuers, coordinating lead arrangers and joint bookrunners, and the lenders from time to time party thereto</w:t>
            </w:r>
          </w:p>
        </w:tc>
      </w:tr>
      <w:tr>
        <w:trPr>
          <w:trHeight w:val="213"/>
        </w:trPr>
        <w:tc>
          <w:tcPr>
            <w:tcW w:w="2740" w:type="dxa"/>
            <w:vAlign w:val="bottom"/>
            <w:gridSpan w:val="3"/>
          </w:tcPr>
          <w:p>
            <w:pPr>
              <w:spacing w:after="0"/>
              <w:rPr>
                <w:sz w:val="18"/>
                <w:szCs w:val="18"/>
                <w:color w:val="auto"/>
              </w:rPr>
            </w:pPr>
          </w:p>
        </w:tc>
        <w:tc>
          <w:tcPr>
            <w:tcW w:w="8540" w:type="dxa"/>
            <w:vAlign w:val="bottom"/>
          </w:tcPr>
          <w:p>
            <w:pPr>
              <w:spacing w:after="0"/>
              <w:rPr>
                <w:sz w:val="18"/>
                <w:szCs w:val="18"/>
                <w:color w:val="auto"/>
              </w:rPr>
            </w:pPr>
          </w:p>
        </w:tc>
      </w:tr>
      <w:tr>
        <w:trPr>
          <w:trHeight w:val="176"/>
        </w:trPr>
        <w:tc>
          <w:tcPr>
            <w:tcW w:w="2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Permian Transmission Credit Facilities</w:t>
            </w: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the credit facilities governed by the Credit Agreement, dated as of March 8, 2021, among Summit Permian Transmission, LLC, as borrower,</w:t>
            </w:r>
          </w:p>
        </w:tc>
      </w:tr>
      <w:tr>
        <w:trPr>
          <w:trHeight w:val="170"/>
        </w:trPr>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MUFG Bank Ltd., as administrative agent, Mizuho Bank (USA), as collateral agent, ING Capital LLC, Mizuho Bank, Ltd. and MUFG Union</w:t>
            </w:r>
          </w:p>
        </w:tc>
      </w:tr>
      <w:tr>
        <w:trPr>
          <w:trHeight w:val="184"/>
        </w:trPr>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Bank, N.A., as L/C issuers, coordinating lead arrangers and joint bookrunners, and the lenders from time to time party thereto</w:t>
            </w:r>
          </w:p>
        </w:tc>
      </w:tr>
      <w:tr>
        <w:trPr>
          <w:trHeight w:val="213"/>
        </w:trPr>
        <w:tc>
          <w:tcPr>
            <w:tcW w:w="2740" w:type="dxa"/>
            <w:vAlign w:val="bottom"/>
            <w:gridSpan w:val="3"/>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Polar and Divide</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Polar and Divide system; collectively Polar Midstream and Epping</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1"/>
        </w:trPr>
        <w:tc>
          <w:tcPr>
            <w:tcW w:w="2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Polar Midstream</w:t>
            </w: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Polar Midstream, LLC</w:t>
            </w:r>
          </w:p>
        </w:tc>
      </w:tr>
      <w:tr>
        <w:trPr>
          <w:trHeight w:val="213"/>
        </w:trPr>
        <w:tc>
          <w:tcPr>
            <w:tcW w:w="2740" w:type="dxa"/>
            <w:vAlign w:val="bottom"/>
            <w:gridSpan w:val="3"/>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produced water</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water from underground geologic formations that is a by-product of natural gas and crude oil production</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2"/>
        </w:trPr>
        <w:tc>
          <w:tcPr>
            <w:tcW w:w="2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PSD</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Prevention of Significant Deterioration</w:t>
            </w: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RCRA</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Resource Conservation and Recovery Act</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92"/>
        </w:trPr>
        <w:tc>
          <w:tcPr>
            <w:tcW w:w="2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 Rock Gathering</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Red Rock Gathering Company, LLC</w:t>
            </w:r>
          </w:p>
        </w:tc>
      </w:tr>
      <w:tr>
        <w:trPr>
          <w:trHeight w:val="176"/>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Third Amended and Restated Credit Agreement dated as of May 26, 2017, as amended by the First Amendment to Third Amended and</w:t>
            </w:r>
          </w:p>
        </w:tc>
      </w:tr>
      <w:tr>
        <w:trPr>
          <w:trHeight w:val="170"/>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Restated Credit Agreement dated as of September 22, 2017, the Second Amendment to Third Amended and Restated Credit Agreement dated as</w:t>
            </w:r>
          </w:p>
        </w:tc>
      </w:tr>
      <w:tr>
        <w:trPr>
          <w:trHeight w:val="170"/>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June 26, 2019, the Third Amendment to Third Amended and Restated Credit Agreement dated as of December 24, 2019 and the Fourth</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Amendment to the Third Amended and Restated Credit Agreement dated as of December 18, 2020</w:t>
            </w:r>
          </w:p>
        </w:tc>
      </w:tr>
      <w:tr>
        <w:trPr>
          <w:trHeight w:val="213"/>
        </w:trPr>
        <w:tc>
          <w:tcPr>
            <w:tcW w:w="2740" w:type="dxa"/>
            <w:vAlign w:val="bottom"/>
            <w:gridSpan w:val="3"/>
          </w:tcPr>
          <w:p>
            <w:pPr>
              <w:spacing w:after="0"/>
              <w:rPr>
                <w:sz w:val="18"/>
                <w:szCs w:val="18"/>
                <w:color w:val="auto"/>
              </w:rPr>
            </w:pPr>
          </w:p>
        </w:tc>
        <w:tc>
          <w:tcPr>
            <w:tcW w:w="8540" w:type="dxa"/>
            <w:vAlign w:val="bottom"/>
          </w:tcPr>
          <w:p>
            <w:pPr>
              <w:spacing w:after="0"/>
              <w:rPr>
                <w:sz w:val="18"/>
                <w:szCs w:val="18"/>
                <w:color w:val="auto"/>
              </w:rPr>
            </w:pPr>
          </w:p>
        </w:tc>
      </w:tr>
      <w:tr>
        <w:trPr>
          <w:trHeight w:val="192"/>
        </w:trPr>
        <w:tc>
          <w:tcPr>
            <w:tcW w:w="2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91"/>
        </w:trPr>
        <w:tc>
          <w:tcPr>
            <w:tcW w:w="27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Act</w:t>
            </w:r>
          </w:p>
        </w:tc>
        <w:tc>
          <w:tcPr>
            <w:tcW w:w="8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Securities Act of 1933, as amended</w:t>
            </w:r>
          </w:p>
        </w:tc>
      </w:tr>
      <w:tr>
        <w:trPr>
          <w:trHeight w:val="22"/>
        </w:trPr>
        <w:tc>
          <w:tcPr>
            <w:tcW w:w="2740" w:type="dxa"/>
            <w:vAlign w:val="bottom"/>
            <w:gridSpan w:val="3"/>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176"/>
        </w:trPr>
        <w:tc>
          <w:tcPr>
            <w:tcW w:w="2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segment adjusted EBITDA</w:t>
            </w: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revenues less total costs and expenses; plus (i) other income excluding interest income, (ii) our proportional adjusted EBITDA for equity</w:t>
            </w:r>
          </w:p>
        </w:tc>
      </w:tr>
      <w:tr>
        <w:trPr>
          <w:trHeight w:val="170"/>
        </w:trPr>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method investees, (iii) depreciation and amortization, (iv) adjustments related to MVC shortfall payments, (v) adjustments related to capital</w:t>
            </w:r>
          </w:p>
        </w:tc>
      </w:tr>
      <w:tr>
        <w:trPr>
          <w:trHeight w:val="170"/>
        </w:trPr>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reimbursement activity, (vi) unit- based and noncash compensation, (vii) impairments and (viii) other noncash expenses or losses, less other</w:t>
            </w:r>
          </w:p>
        </w:tc>
      </w:tr>
      <w:tr>
        <w:trPr>
          <w:trHeight w:val="186"/>
        </w:trPr>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income or gains</w:t>
            </w:r>
          </w:p>
        </w:tc>
      </w:tr>
      <w:tr>
        <w:trPr>
          <w:trHeight w:val="700"/>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540" w:type="dxa"/>
            <w:vAlign w:val="bottom"/>
          </w:tcPr>
          <w:p>
            <w:pPr>
              <w:ind w:left="2840"/>
              <w:spacing w:after="0"/>
              <w:rPr>
                <w:sz w:val="20"/>
                <w:szCs w:val="20"/>
                <w:color w:val="auto"/>
              </w:rPr>
            </w:pPr>
            <w:r>
              <w:rPr>
                <w:rFonts w:ascii="Times New Roman" w:cs="Times New Roman" w:eastAsia="Times New Roman" w:hAnsi="Times New Roman"/>
                <w:sz w:val="14"/>
                <w:szCs w:val="14"/>
                <w:color w:val="auto"/>
              </w:rPr>
              <w:t>12</w:t>
            </w: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1140" w:type="dxa"/>
            <w:vAlign w:val="bottom"/>
          </w:tcPr>
          <w:p>
            <w:pPr>
              <w:spacing w:after="0"/>
              <w:rPr>
                <w:sz w:val="13"/>
                <w:szCs w:val="13"/>
                <w:color w:val="auto"/>
              </w:rPr>
            </w:pPr>
          </w:p>
        </w:tc>
        <w:tc>
          <w:tcPr>
            <w:tcW w:w="8620" w:type="dxa"/>
            <w:vAlign w:val="bottom"/>
          </w:tcPr>
          <w:p>
            <w:pPr>
              <w:spacing w:after="0"/>
              <w:rPr>
                <w:sz w:val="13"/>
                <w:szCs w:val="13"/>
                <w:color w:val="auto"/>
              </w:rPr>
            </w:pPr>
          </w:p>
        </w:tc>
      </w:tr>
      <w:tr>
        <w:trPr>
          <w:trHeight w:val="765"/>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Senior Notes</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2025 Senior Notes, the 2026 Unsecured Notes and the 2026 Secured Notes, collectively</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Series A Preferred Units</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A Fixed-to-Floating Rate Cumulative Redeemable Perpetual Preferred Units issued by the Partnership</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shortfall payment</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payment received from a counterparty when its volume throughput does not meet its MVC for the applicable period</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SMLP</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Partners, LP</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SMLP LTIP</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SMLP Long-Term Incentive Plan</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SMP Holdings</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Partners Holdings, LLC, also known as SMPH</w:t>
            </w:r>
          </w:p>
        </w:tc>
      </w:tr>
      <w:tr>
        <w:trPr>
          <w:trHeight w:val="176"/>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SMPH Term Loan</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SMPH Holdings’ term loan, governed by the Term Loan Agreement, dated as of March 21, 2017, among SMP Holdings, as borrower, the lenders</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party thereto and Credit Suisse AG, Cayman Islands Branch, as Administrative Agent and Collateral Agent</w:t>
            </w:r>
          </w:p>
        </w:tc>
      </w:tr>
      <w:tr>
        <w:trPr>
          <w:trHeight w:val="213"/>
        </w:trPr>
        <w:tc>
          <w:tcPr>
            <w:tcW w:w="2660" w:type="dxa"/>
            <w:vAlign w:val="bottom"/>
            <w:gridSpan w:val="3"/>
          </w:tcPr>
          <w:p>
            <w:pPr>
              <w:spacing w:after="0"/>
              <w:rPr>
                <w:sz w:val="18"/>
                <w:szCs w:val="18"/>
                <w:color w:val="auto"/>
              </w:rPr>
            </w:pPr>
          </w:p>
        </w:tc>
        <w:tc>
          <w:tcPr>
            <w:tcW w:w="8620" w:type="dxa"/>
            <w:vAlign w:val="bottom"/>
          </w:tcPr>
          <w:p>
            <w:pPr>
              <w:spacing w:after="0"/>
              <w:rPr>
                <w:sz w:val="18"/>
                <w:szCs w:val="18"/>
                <w:color w:val="auto"/>
              </w:rPr>
            </w:pPr>
          </w:p>
        </w:tc>
      </w:tr>
      <w:tr>
        <w:trPr>
          <w:trHeight w:val="191"/>
        </w:trPr>
        <w:tc>
          <w:tcPr>
            <w:tcW w:w="26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SOFR</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213"/>
        </w:trPr>
        <w:tc>
          <w:tcPr>
            <w:tcW w:w="2660" w:type="dxa"/>
            <w:vAlign w:val="bottom"/>
            <w:gridSpan w:val="3"/>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SPCC</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Spill Prevention Control and Countermeasure</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Subsidiary Series A Preferred Units</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A Fixed Rate Cumulative Redeemable Preferred Units issued by Permian Holdco</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Summit Holdings</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Summit Midstream Holdings, LLC</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Summit Investments</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Partners, LLC</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Summit Marketing</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Summit Midstream Marketing, LLC</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Summit Niobrara</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Niobrara, LLC</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Summit Permian</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Summit Midstream Permian, LLC</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Summit Permian II</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Permian II, LLC</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Summit Permian Transmission</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Summit Permian Transmission, LLC</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Summit Utica</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Summit Midstream Utica, LLC</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Tax Reform Legislation</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Tax Cuts and Jobs Act of 2017</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92"/>
        </w:trPr>
        <w:tc>
          <w:tcPr>
            <w:tcW w:w="26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Tcfe</w:t>
            </w:r>
          </w:p>
        </w:tc>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the equivalent of one trillion cubic feet</w:t>
            </w:r>
          </w:p>
        </w:tc>
      </w:tr>
      <w:tr>
        <w:trPr>
          <w:trHeight w:val="191"/>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the Partnership</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Summit Midstream Partners, LP and its subsidiaries</w:t>
            </w:r>
          </w:p>
        </w:tc>
      </w:tr>
      <w:tr>
        <w:trPr>
          <w:trHeight w:val="22"/>
        </w:trPr>
        <w:tc>
          <w:tcPr>
            <w:tcW w:w="2660" w:type="dxa"/>
            <w:vAlign w:val="bottom"/>
            <w:gridSpan w:val="3"/>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176"/>
        </w:trPr>
        <w:tc>
          <w:tcPr>
            <w:tcW w:w="26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the Partnership</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the Fourth Amended and Restated Agreement of Limited Partnership of the</w:t>
            </w:r>
          </w:p>
        </w:tc>
      </w:tr>
      <w:tr>
        <w:trPr>
          <w:trHeight w:val="170"/>
        </w:trPr>
        <w:tc>
          <w:tcPr>
            <w:tcW w:w="26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Agreement</w:t>
            </w: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Partnership dated May 28, 2020, as amended by Amendment No. 1 to the Fourth Amended and Restated Agreement of Limited Partnership,</w:t>
            </w:r>
          </w:p>
        </w:tc>
      </w:tr>
      <w:tr>
        <w:trPr>
          <w:trHeight w:val="184"/>
        </w:trPr>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dated February 23, 2023</w:t>
            </w:r>
          </w:p>
        </w:tc>
      </w:tr>
      <w:tr>
        <w:trPr>
          <w:trHeight w:val="213"/>
        </w:trPr>
        <w:tc>
          <w:tcPr>
            <w:tcW w:w="2660" w:type="dxa"/>
            <w:vAlign w:val="bottom"/>
            <w:gridSpan w:val="3"/>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r>
      <w:tr>
        <w:trPr>
          <w:trHeight w:val="176"/>
        </w:trPr>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throughput volume</w:t>
            </w: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volume of natural gas, crude oil or produced water gathered, transported or passing through a pipeline, plant or other facility during a</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particular period; also referred to as volume throughput</w:t>
            </w:r>
          </w:p>
        </w:tc>
      </w:tr>
      <w:tr>
        <w:trPr>
          <w:trHeight w:val="721"/>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2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13</w:t>
            </w: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980" w:type="dxa"/>
            <w:vAlign w:val="bottom"/>
          </w:tcPr>
          <w:p>
            <w:pPr>
              <w:spacing w:after="0"/>
              <w:rPr>
                <w:sz w:val="13"/>
                <w:szCs w:val="13"/>
                <w:color w:val="auto"/>
              </w:rPr>
            </w:pPr>
          </w:p>
        </w:tc>
        <w:tc>
          <w:tcPr>
            <w:tcW w:w="8780" w:type="dxa"/>
            <w:vAlign w:val="bottom"/>
          </w:tcPr>
          <w:p>
            <w:pPr>
              <w:spacing w:after="0"/>
              <w:rPr>
                <w:sz w:val="13"/>
                <w:szCs w:val="13"/>
                <w:color w:val="auto"/>
              </w:rPr>
            </w:pPr>
          </w:p>
        </w:tc>
      </w:tr>
      <w:tr>
        <w:trPr>
          <w:trHeight w:val="574"/>
        </w:trPr>
        <w:tc>
          <w:tcPr>
            <w:tcW w:w="2500" w:type="dxa"/>
            <w:vAlign w:val="bottom"/>
            <w:gridSpan w:val="3"/>
          </w:tcPr>
          <w:p>
            <w:pPr>
              <w:spacing w:after="0"/>
              <w:rPr>
                <w:sz w:val="24"/>
                <w:szCs w:val="24"/>
                <w:color w:val="auto"/>
              </w:rPr>
            </w:pPr>
          </w:p>
        </w:tc>
        <w:tc>
          <w:tcPr>
            <w:tcW w:w="8780" w:type="dxa"/>
            <w:vAlign w:val="bottom"/>
          </w:tcPr>
          <w:p>
            <w:pPr>
              <w:spacing w:after="0"/>
              <w:rPr>
                <w:sz w:val="24"/>
                <w:szCs w:val="24"/>
                <w:color w:val="auto"/>
              </w:rPr>
            </w:pPr>
          </w:p>
        </w:tc>
      </w:tr>
      <w:tr>
        <w:trPr>
          <w:trHeight w:val="192"/>
        </w:trPr>
        <w:tc>
          <w:tcPr>
            <w:tcW w:w="25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Tioga Midstream</w:t>
            </w:r>
          </w:p>
        </w:tc>
        <w:tc>
          <w:tcPr>
            <w:tcW w:w="8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Tioga Midstream, LLC</w:t>
            </w:r>
          </w:p>
        </w:tc>
      </w:tr>
      <w:tr>
        <w:trPr>
          <w:trHeight w:val="176"/>
        </w:trPr>
        <w:tc>
          <w:tcPr>
            <w:tcW w:w="25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unconventional resource basin</w:t>
            </w:r>
          </w:p>
        </w:tc>
        <w:tc>
          <w:tcPr>
            <w:tcW w:w="8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basin where natural gas or crude oil production is developed from unconventional sources that require hydraulic fracturing as part of the</w:t>
            </w:r>
          </w:p>
        </w:tc>
      </w:tr>
      <w:tr>
        <w:trPr>
          <w:trHeight w:val="184"/>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completion process, for instance, natural gas produced from shale formations and coalbeds; also referred to as an unconventional resource play</w:t>
            </w:r>
          </w:p>
        </w:tc>
      </w:tr>
      <w:tr>
        <w:trPr>
          <w:trHeight w:val="22"/>
        </w:trPr>
        <w:tc>
          <w:tcPr>
            <w:tcW w:w="2500" w:type="dxa"/>
            <w:vAlign w:val="bottom"/>
            <w:gridSpan w:val="3"/>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192"/>
        </w:trPr>
        <w:tc>
          <w:tcPr>
            <w:tcW w:w="25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VOC</w:t>
            </w:r>
          </w:p>
        </w:tc>
        <w:tc>
          <w:tcPr>
            <w:tcW w:w="8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volatile organic compound(s)</w:t>
            </w:r>
          </w:p>
        </w:tc>
      </w:tr>
      <w:tr>
        <w:trPr>
          <w:trHeight w:val="191"/>
        </w:trPr>
        <w:tc>
          <w:tcPr>
            <w:tcW w:w="25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wellhead</w:t>
            </w:r>
          </w:p>
        </w:tc>
        <w:tc>
          <w:tcPr>
            <w:tcW w:w="8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equipment at the surface of a well, used to control the well's pressure; also, the point at which the hydrocarbons and water exit the ground</w:t>
            </w:r>
          </w:p>
        </w:tc>
      </w:tr>
      <w:tr>
        <w:trPr>
          <w:trHeight w:val="912"/>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14</w:t>
            </w: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96"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Summit Midstream Partners, LP, a Delaware limited partnership (including its subsidiaries, collectively, “we”, “our”, “us”, “SMLP”, or “the Partnership”), is a value-driven limited partnership focused on developing, owning and operating midstream energy infrastructure assets that are strategically located in unconventional resource basins, primarily shale formations, in the continental United States. Our common units are listed and traded on the NYSE under the ticker symbol “SMLP.”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 was formed in May 2012. The Partnership’s executive offices are located at 910 Louisiana Street, Suite 4200, Houston, Texas 77002, and can be reached by phone at 832-413-4770.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 also maintains regional field offices in close proximity to our areas of operation to support the operation and development of our midstream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Strategies</w:t>
      </w:r>
    </w:p>
    <w:p>
      <w:pPr>
        <w:spacing w:after="0" w:line="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operate a differentiated midstream platform that is built for long-term, sustainable value creation. Our integrated assets are strategically located in production basins including the Williston Basin, DJ Basin, Utica Shale, Marcellus Shale, Barnett Shale, Piceance Basin and Permian Basin. Our primary business objective is to maximize cash flow and provide cash flow stability for our stakeholders while growing prudently and profitably. We intend to accomplish this objective by executing the following strategies:</w:t>
      </w:r>
    </w:p>
    <w:p>
      <w:pPr>
        <w:spacing w:after="0" w:line="49" w:lineRule="exact"/>
        <w:rPr>
          <w:sz w:val="20"/>
          <w:szCs w:val="20"/>
          <w:color w:val="auto"/>
        </w:rPr>
      </w:pPr>
    </w:p>
    <w:p>
      <w:pPr>
        <w:ind w:left="1020" w:right="100" w:hanging="506"/>
        <w:spacing w:after="0" w:line="265"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Capital structure optimization</w:t>
      </w:r>
      <w:r>
        <w:rPr>
          <w:rFonts w:ascii="Times New Roman" w:cs="Times New Roman" w:eastAsia="Times New Roman" w:hAnsi="Times New Roman"/>
          <w:sz w:val="14"/>
          <w:szCs w:val="14"/>
          <w:color w:val="auto"/>
        </w:rPr>
        <w:t>. We seek to maximize unitholder value. Our capital structure currently consists of common equity, preferred equity, and indebtedness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comprised of debt securities and borrowings under our revolving credit facilities, a portion of which is secured by substantially all of the Partnership's assets. We intend to optimize our capital structure in the future by reducing our indebtedness with free cash flow, and when appropriate, we may pursue opportunistic capital markets transactions or asset divestitures with the objective of increasing long-term unitholder value.</w:t>
      </w:r>
    </w:p>
    <w:p>
      <w:pPr>
        <w:spacing w:after="0" w:line="52" w:lineRule="exact"/>
        <w:rPr>
          <w:rFonts w:ascii="Times New Roman" w:cs="Times New Roman" w:eastAsia="Times New Roman" w:hAnsi="Times New Roman"/>
          <w:sz w:val="14"/>
          <w:szCs w:val="14"/>
          <w:color w:val="auto"/>
        </w:rPr>
      </w:pPr>
    </w:p>
    <w:p>
      <w:pPr>
        <w:ind w:left="1020" w:right="40" w:hanging="506"/>
        <w:spacing w:after="0" w:line="271"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Portfolio management</w:t>
      </w:r>
      <w:r>
        <w:rPr>
          <w:rFonts w:ascii="Times New Roman" w:cs="Times New Roman" w:eastAsia="Times New Roman" w:hAnsi="Times New Roman"/>
          <w:sz w:val="14"/>
          <w:szCs w:val="14"/>
          <w:color w:val="auto"/>
        </w:rPr>
        <w:t>. We seek to maximize unitholder value by strategically managing our portfolio of midstream assets and allocating capital based on appropriate risk-informed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cash flow assumptions. This may include opportunistic divestitures, re-allocation of capital to new or existing areas, and development of joint ventures involving our existing midstream assets or new investment opportunities.</w:t>
      </w:r>
    </w:p>
    <w:p>
      <w:pPr>
        <w:spacing w:after="0" w:line="48" w:lineRule="exact"/>
        <w:rPr>
          <w:rFonts w:ascii="Times New Roman" w:cs="Times New Roman" w:eastAsia="Times New Roman" w:hAnsi="Times New Roman"/>
          <w:sz w:val="14"/>
          <w:szCs w:val="14"/>
          <w:color w:val="auto"/>
        </w:rPr>
      </w:pPr>
    </w:p>
    <w:p>
      <w:pPr>
        <w:jc w:val="both"/>
        <w:ind w:left="1020" w:right="240" w:hanging="506"/>
        <w:spacing w:after="0" w:line="290"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Maintaining our focus on fee-based revenue with minimal direct commodity price exposure</w:t>
      </w:r>
      <w:r>
        <w:rPr>
          <w:rFonts w:ascii="Times New Roman" w:cs="Times New Roman" w:eastAsia="Times New Roman" w:hAnsi="Times New Roman"/>
          <w:sz w:val="14"/>
          <w:szCs w:val="14"/>
          <w:color w:val="auto"/>
        </w:rPr>
        <w:t>. We intend to maintain our focus on providing midstream services under primarily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long-term and fee-based contracts. We believe that our focus on fee-based revenues with minimal direct commodity price exposure is essential to maintaining stable cash flows.</w:t>
      </w:r>
    </w:p>
    <w:p>
      <w:pPr>
        <w:spacing w:after="0" w:line="35" w:lineRule="exact"/>
        <w:rPr>
          <w:rFonts w:ascii="Times New Roman" w:cs="Times New Roman" w:eastAsia="Times New Roman" w:hAnsi="Times New Roman"/>
          <w:sz w:val="14"/>
          <w:szCs w:val="14"/>
          <w:color w:val="auto"/>
        </w:rPr>
      </w:pPr>
    </w:p>
    <w:p>
      <w:pPr>
        <w:ind w:left="1020" w:right="140" w:hanging="506"/>
        <w:spacing w:after="0" w:line="271"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Maintaining strong producer relationships to maximize utilization of all of our midstream assets</w:t>
      </w:r>
      <w:r>
        <w:rPr>
          <w:rFonts w:ascii="Times New Roman" w:cs="Times New Roman" w:eastAsia="Times New Roman" w:hAnsi="Times New Roman"/>
          <w:sz w:val="14"/>
          <w:szCs w:val="14"/>
          <w:color w:val="auto"/>
        </w:rPr>
        <w:t>. We have cultivated strong producer relationships by focusing on customer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 and reliable project execution and by operating our assets safely and reliably over time. We believe that our strong producer relationships will create future opportunities to expand our midstream services reach and optimize the utilization of our midstream assets for our customers.</w:t>
      </w:r>
    </w:p>
    <w:p>
      <w:pPr>
        <w:spacing w:after="0" w:line="48" w:lineRule="exact"/>
        <w:rPr>
          <w:rFonts w:ascii="Times New Roman" w:cs="Times New Roman" w:eastAsia="Times New Roman" w:hAnsi="Times New Roman"/>
          <w:sz w:val="14"/>
          <w:szCs w:val="14"/>
          <w:color w:val="auto"/>
        </w:rPr>
      </w:pPr>
    </w:p>
    <w:p>
      <w:pPr>
        <w:ind w:left="1020" w:hanging="506"/>
        <w:spacing w:after="0" w:line="271"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Continuing to prioritize safe and reliable operations</w:t>
      </w:r>
      <w:r>
        <w:rPr>
          <w:rFonts w:ascii="Times New Roman" w:cs="Times New Roman" w:eastAsia="Times New Roman" w:hAnsi="Times New Roman"/>
          <w:sz w:val="14"/>
          <w:szCs w:val="14"/>
          <w:color w:val="auto"/>
        </w:rPr>
        <w:t>. We believe that providing safe, reliable and efficient operations is a key component of our business strategy. We place a strong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emphasis on employee training, operational procedures and enterprise technology, and we intend to continue promoting a high standard with respect to the efficiency of our operations and the safety of all of our constituents.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and Highlights</w:t>
      </w:r>
    </w:p>
    <w:p>
      <w:pPr>
        <w:spacing w:after="0" w:line="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following is a brief listing of significant developments and highlights for the year ended December 31, 2023. Additional information regarding these items may be found elsewhere in this Annual Report.</w:t>
      </w:r>
    </w:p>
    <w:p>
      <w:pPr>
        <w:spacing w:after="0" w:line="37" w:lineRule="exact"/>
        <w:rPr>
          <w:sz w:val="20"/>
          <w:szCs w:val="20"/>
          <w:color w:val="auto"/>
        </w:rPr>
      </w:pPr>
    </w:p>
    <w:p>
      <w:pPr>
        <w:ind w:left="1020" w:right="380" w:hanging="506"/>
        <w:spacing w:after="0" w:line="262" w:lineRule="auto"/>
        <w:tabs>
          <w:tab w:leader="none" w:pos="10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Strategic review</w:t>
      </w:r>
      <w:r>
        <w:rPr>
          <w:rFonts w:ascii="Times New Roman" w:cs="Times New Roman" w:eastAsia="Times New Roman" w:hAnsi="Times New Roman"/>
          <w:sz w:val="14"/>
          <w:szCs w:val="14"/>
          <w:color w:val="auto"/>
        </w:rPr>
        <w:t>. As we previously announced in October 2023, based on the Partnership’s recent and expected financial performance, as well as interest from third parties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potential transactions, ranging from the sale of specific assets to consideration for the whole Partnership, the Partnership’s Board of Directors has engaged external advisors to evaluate strategic alternatives for the Partnership with the goal of maximizing value for the Partnership’s unitholders. These alternatives may include, but are not limited to, continued execution of the Partnership’s business plan, sale of assets, refinancing parts or the entirety of its capital structure, sale of the Partnership by merger or cash, or any combination of these and other alternatives.</w:t>
      </w:r>
    </w:p>
    <w:p>
      <w:pPr>
        <w:spacing w:after="0" w:line="56" w:lineRule="exact"/>
        <w:rPr>
          <w:rFonts w:ascii="Times New Roman" w:cs="Times New Roman" w:eastAsia="Times New Roman" w:hAnsi="Times New Roman"/>
          <w:sz w:val="14"/>
          <w:szCs w:val="14"/>
          <w:color w:val="auto"/>
        </w:rPr>
      </w:pPr>
    </w:p>
    <w:p>
      <w:pPr>
        <w:ind w:left="1020" w:right="1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Partnership’s Board of Directors decides to proceed with a strategic transaction, it may not be at a price that the Partnership’s investors view as attractive relative to the value of our standalone business. Additionally, the closing of any such transaction would be dependent upon a number of factors that may be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right="40"/>
        <w:spacing w:after="0" w:line="270" w:lineRule="auto"/>
        <w:rPr>
          <w:sz w:val="20"/>
          <w:szCs w:val="20"/>
          <w:color w:val="auto"/>
        </w:rPr>
      </w:pPr>
      <w:r>
        <w:rPr>
          <w:rFonts w:ascii="Times New Roman" w:cs="Times New Roman" w:eastAsia="Times New Roman" w:hAnsi="Times New Roman"/>
          <w:sz w:val="14"/>
          <w:szCs w:val="14"/>
          <w:color w:val="auto"/>
        </w:rPr>
        <w:t>beyond the Partnership’s control, including, among other factors, market conditions, regulatory factors, industry trends, the interest of third parties in the Partnership’s business and the availability of financing to potential buyers on reasonable terms. If the Partnership’s Board of Directors decides not to proceed with a strategic transaction, this could have a negative effect on the market price and volatility of the Partnership’s common units.</w:t>
      </w:r>
    </w:p>
    <w:p>
      <w:pPr>
        <w:spacing w:after="0" w:line="49" w:lineRule="exact"/>
        <w:rPr>
          <w:sz w:val="20"/>
          <w:szCs w:val="20"/>
          <w:color w:val="auto"/>
        </w:rPr>
      </w:pPr>
    </w:p>
    <w:p>
      <w:pPr>
        <w:ind w:left="1020" w:right="20" w:hanging="506"/>
        <w:spacing w:after="0" w:line="260" w:lineRule="auto"/>
        <w:tabs>
          <w:tab w:leader="none" w:pos="10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Refinancing of 2025 Senior Notes. </w:t>
      </w:r>
      <w:r>
        <w:rPr>
          <w:rFonts w:ascii="Times New Roman" w:cs="Times New Roman" w:eastAsia="Times New Roman" w:hAnsi="Times New Roman"/>
          <w:sz w:val="14"/>
          <w:szCs w:val="14"/>
          <w:color w:val="auto"/>
        </w:rPr>
        <w:t>In November 2023, we entered into a private agreement to issue a total of $209.5 million aggregate principal amount of unsecured notes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“2026 Unsecured Notes”) in exchange for $180.0 million aggregate principal amount of our existing 2025 Senior Notes and $29.5 million in cash (the “2023 Exchange”). The exchanged 2025 Senior Notes were cancelled. The cash raised was used to repurchase $29.7 million aggregate principal amount of existing 2025 Senior Notes (together with the 2023 Exchange, the “2023 Exchange Transactions”) that were not exchanged. As of December 31, 2023, following the consummation of the 2023 Exchange Transactions, approximately $49.8 million of 2025 Senior Notes remained outstanding. This refinancing event allowed us to extend the maturity of a portion of our 2025 Senior Notes to October 15, 2026, in line with the maturity date of our 2026 Secured Notes.</w:t>
      </w:r>
    </w:p>
    <w:p>
      <w:pPr>
        <w:spacing w:after="0" w:line="57" w:lineRule="exact"/>
        <w:rPr>
          <w:rFonts w:ascii="Times New Roman" w:cs="Times New Roman" w:eastAsia="Times New Roman" w:hAnsi="Times New Roman"/>
          <w:sz w:val="14"/>
          <w:szCs w:val="14"/>
          <w:color w:val="auto"/>
        </w:rPr>
      </w:pPr>
    </w:p>
    <w:p>
      <w:pPr>
        <w:ind w:left="1020" w:hanging="506"/>
        <w:spacing w:after="0" w:line="265" w:lineRule="auto"/>
        <w:tabs>
          <w:tab w:leader="none" w:pos="1016"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Integration of DJ Acquisitions</w:t>
      </w:r>
      <w:r>
        <w:rPr>
          <w:rFonts w:ascii="Times New Roman" w:cs="Times New Roman" w:eastAsia="Times New Roman" w:hAnsi="Times New Roman"/>
          <w:sz w:val="14"/>
          <w:szCs w:val="14"/>
          <w:color w:val="auto"/>
        </w:rPr>
        <w:t>. In December 2022, we completed the 2022 DJ Acquisitions. As a result of the 2022 DJ Acquisitions, we acquired natural gas gathering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processing systems, a crude oil gathering system, freshwater rights, and freshwater delivery system in the DJ Basin. The acquired assets of Outrigger DJ and Sterling DJ are located in Weld, Morgan, and Logan Counties, Colorado and Cheyenne County, Nebraska. During 2023, we continued to integrate the 2022 DJ Acquisitions into our existing DJ Basin assets and began to achieve capital and operating synergies. Those integration efforts will continue into 2024.</w:t>
      </w:r>
    </w:p>
    <w:p>
      <w:pPr>
        <w:spacing w:after="0" w:line="52" w:lineRule="exact"/>
        <w:rPr>
          <w:rFonts w:ascii="Times New Roman" w:cs="Times New Roman" w:eastAsia="Times New Roman" w:hAnsi="Times New Roman"/>
          <w:sz w:val="14"/>
          <w:szCs w:val="14"/>
          <w:b w:val="1"/>
          <w:bCs w:val="1"/>
          <w:i w:val="1"/>
          <w:iCs w:val="1"/>
          <w:color w:val="auto"/>
        </w:rPr>
      </w:pPr>
    </w:p>
    <w:p>
      <w:pPr>
        <w:ind w:left="1020" w:hanging="506"/>
        <w:spacing w:after="0" w:line="260" w:lineRule="auto"/>
        <w:tabs>
          <w:tab w:leader="none" w:pos="10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Capital structure optimization and portfolio management</w:t>
      </w:r>
      <w:r>
        <w:rPr>
          <w:rFonts w:ascii="Times New Roman" w:cs="Times New Roman" w:eastAsia="Times New Roman" w:hAnsi="Times New Roman"/>
          <w:sz w:val="14"/>
          <w:szCs w:val="14"/>
          <w:color w:val="auto"/>
        </w:rPr>
        <w:t>. We intend to optimize our capital structure in the future by reducing our indebtedness with free cash flow, and when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appropriate, we may pursue opportunistic transactions with the objective of increasing long-term unitholder value. This may include opportunistic acquisitions (such as the 2022 DJ Acquisitions), divestitures (such as the dispositions of the Lane G&amp;P System and Bison Midstream in 2022), re-allocation of capital to new or existing areas, and development of joint ventures involving our existing midstream assets or new investment opportunities. We believe that our internally generated cash flow, our ABL Facility, the Permian Term Loan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Midstream Assets</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midstream assets primarily gather natural gas produced from pad sites, wells and central receipt points connected to our systems. Gathered natural gas volumes are then compressed, dehydrated, treated and/or processed for delivery to downstream pipelines serving processing plants or end users. We also contract with producers to gather crude oil and produced water from wells connected to our systems for delivery to downstream pipelines and to third-party rail terminals in the case of crude oil and to third-party disposal wells in the case of produced water. We generally refer to most of the services our systems provide as gathering services. We also provide natural gas transmission services via Double E, a long-haul natural gas pipeline in which we indirectly own a 70% equity interest and serve as the pipeline’s operator. Double E provides natural gas transportation services from multiple receipt points in the Permian Basin to various delivery points in and around the Waha hub in Texas.</w:t>
      </w:r>
    </w:p>
    <w:p>
      <w:pPr>
        <w:spacing w:after="0" w:line="59"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Reportable Segments. </w:t>
      </w:r>
      <w:r>
        <w:rPr>
          <w:rFonts w:ascii="Times New Roman" w:cs="Times New Roman" w:eastAsia="Times New Roman" w:hAnsi="Times New Roman"/>
          <w:sz w:val="14"/>
          <w:szCs w:val="14"/>
          <w:color w:val="auto"/>
        </w:rPr>
        <w:t>As of December 31, 2023, our reportable segments are below along with management’s categorization of the primary commodity driving customer drilling and completion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decisions for each segment:</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Oil price driven. </w:t>
      </w:r>
      <w:r>
        <w:rPr>
          <w:rFonts w:ascii="Times New Roman" w:cs="Times New Roman" w:eastAsia="Times New Roman" w:hAnsi="Times New Roman"/>
          <w:sz w:val="14"/>
          <w:szCs w:val="14"/>
          <w:color w:val="auto"/>
        </w:rPr>
        <w:t>Our cash flows in the Rockies and Permian segments are primarily influenced by the prevailing price of crude oil because the drilling and completion decisions by our customers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these segments are based on well economics most heavily tied to crude oil prices. Our customers’ decisions to drill and complete wells in these segments therefore result in higher volume throughput and cash flows for our midstream assets in which we collect fixed fees for gathering or processing hydrocarbons, gathering produced water, or transporting residue natural gas.</w:t>
      </w:r>
    </w:p>
    <w:p>
      <w:pPr>
        <w:spacing w:after="0" w:line="49" w:lineRule="exact"/>
        <w:rPr>
          <w:sz w:val="20"/>
          <w:szCs w:val="20"/>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Rockies </w:t>
      </w:r>
      <w:r>
        <w:rPr>
          <w:rFonts w:ascii="Times New Roman" w:cs="Times New Roman" w:eastAsia="Times New Roman" w:hAnsi="Times New Roman"/>
          <w:sz w:val="14"/>
          <w:szCs w:val="14"/>
          <w:color w:val="auto"/>
        </w:rPr>
        <w:t>– Includes our wholly owned midstream assets located in the Williston Basin and the DJ Basin.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Permian </w:t>
      </w:r>
      <w:r>
        <w:rPr>
          <w:rFonts w:ascii="Times New Roman" w:cs="Times New Roman" w:eastAsia="Times New Roman" w:hAnsi="Times New Roman"/>
          <w:sz w:val="14"/>
          <w:szCs w:val="14"/>
          <w:color w:val="auto"/>
        </w:rPr>
        <w:t>– Includes our equity method investment in Double E.</w:t>
      </w:r>
    </w:p>
    <w:p>
      <w:pPr>
        <w:spacing w:after="0" w:line="9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Natural gas price driven. </w:t>
      </w:r>
      <w:r>
        <w:rPr>
          <w:rFonts w:ascii="Times New Roman" w:cs="Times New Roman" w:eastAsia="Times New Roman" w:hAnsi="Times New Roman"/>
          <w:sz w:val="14"/>
          <w:szCs w:val="14"/>
          <w:color w:val="auto"/>
        </w:rPr>
        <w:t>Our cash flows in the Northeast, Piceance and Barnett segments are primarily influenced by the prevailing price of natural gas because the drilling, completion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recompletion decisions by our customers in these segments are based on well economics most heavily tied to natural gas and NGL prices. Our customers’ decisions to drill, complete or recomplete wells in these segments therefore result in higher throughput and cash flows for those segments in which we collect fixed fees for gathering natural gas.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10" w:right="37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1020" w:right="60" w:hanging="506"/>
        <w:spacing w:after="0" w:line="290" w:lineRule="auto"/>
        <w:tabs>
          <w:tab w:leader="none" w:pos="10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Northeast </w:t>
      </w:r>
      <w:r>
        <w:rPr>
          <w:rFonts w:ascii="Times New Roman" w:cs="Times New Roman" w:eastAsia="Times New Roman" w:hAnsi="Times New Roman"/>
          <w:sz w:val="14"/>
          <w:szCs w:val="14"/>
          <w:color w:val="auto"/>
        </w:rPr>
        <w:t>– Includes our wholly owned midstream assets located in the Utica and Marcellus shale plays and our equity method investment in Ohio Gathering that is focused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Utica Shale.</w:t>
      </w:r>
    </w:p>
    <w:p>
      <w:pPr>
        <w:spacing w:after="0" w:line="3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Piceance </w:t>
      </w:r>
      <w:r>
        <w:rPr>
          <w:rFonts w:ascii="Times New Roman" w:cs="Times New Roman" w:eastAsia="Times New Roman" w:hAnsi="Times New Roman"/>
          <w:sz w:val="14"/>
          <w:szCs w:val="14"/>
          <w:color w:val="auto"/>
        </w:rPr>
        <w:t>– Includes our wholly owned midstream assets located in the Piceance Basin.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Barnett </w:t>
      </w:r>
      <w:r>
        <w:rPr>
          <w:rFonts w:ascii="Times New Roman" w:cs="Times New Roman" w:eastAsia="Times New Roman" w:hAnsi="Times New Roman"/>
          <w:sz w:val="14"/>
          <w:szCs w:val="14"/>
          <w:color w:val="auto"/>
        </w:rPr>
        <w:t>– Includes our wholly owned midstream assets located in the Barnett Shale.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 and Commercial Arrangements</w:t>
      </w:r>
    </w:p>
    <w:p>
      <w:pPr>
        <w:spacing w:after="0" w:line="96"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We compete with other midstream companies, producers and intrastate and interstate pipelines. Competition for volumes is primarily based on reputation, commercial terms, acreage dedications, service levels, access to end-use markets, geographic proximity of existing assets to a producer's acreage and available gathering and processing capacity. We may also face competition to gather production outside of our AMIs and attract producer volumes to our gathering systems.</w:t>
      </w:r>
    </w:p>
    <w:p>
      <w:pPr>
        <w:spacing w:after="0" w:line="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earn revenue by providing gathering, compression, treating and/or processing services pursuant to primarily long-term and fee-based gathering and processing agreements with some of the largest and most active producers in North America. Through our equity method investment in the Double E Pipeline, we earn revenue by providing high pressure transportation services, as both firm and interruptible service, for residue natural gas in the Permian Basin. The fee-based nature of these agreements enhances the stability of our cash flows by limiting our direct commodity price exposure.</w:t>
      </w:r>
    </w:p>
    <w:p>
      <w:pPr>
        <w:spacing w:after="0" w:line="51"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The significant features of our transportation and gathering and processing agreements, and the gathering and transportation systems to which they relate, are discussed in more detail below. For additional operating and financial performance information, on a consolidated basis and by reportable segment, see the "Results of Operations" section in Item 7. Management's Discussion and Analysis of Financial Condition and Results of Operations.</w:t>
      </w:r>
    </w:p>
    <w:p>
      <w:pPr>
        <w:spacing w:after="0" w:line="4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Areas of Mutual Interest. </w:t>
      </w:r>
      <w:r>
        <w:rPr>
          <w:rFonts w:ascii="Times New Roman" w:cs="Times New Roman" w:eastAsia="Times New Roman" w:hAnsi="Times New Roman"/>
          <w:sz w:val="14"/>
          <w:szCs w:val="14"/>
          <w:color w:val="auto"/>
        </w:rPr>
        <w:t>The vast majority of our gathering and processing agreements contain AMIs, some of which extend through 2039. The AMIs generally require that any production by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within the AMIs will be gathered and/or processed by our assets. In general, our customers have not leased acreage that cover our entire AMIs but, to the extent that they have leased acreage within our AMI, or lease additional acreage within our AMIs, any production from wells within that AMI will be dedicated to our systems.</w:t>
      </w:r>
    </w:p>
    <w:p>
      <w:pPr>
        <w:spacing w:after="0" w:line="5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Under certain of our gathering agreements, we have agreed to construct pipeline laterals to connect our gathering systems to producer pad sites located within the AMI. However, in certain circumstances we may choose not to pursue a pad connection opportunity presented by a customer if we believe that the investment would not meet our internal return expectations. Under this scenario, the customer may, in certain circumstances, construct the gathering infrastructure itself and sell it to us at a price equal to their cost plus an applicable profit margin, or, in some cases, we may release the relevant acreage dedication from the AMI.</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AMIs cover approximately 4.0 million surface acres in the aggregate, which includes more than 0.8 million surface acres associated with Ohio Gathering.</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Minimum Volume Commitments. </w:t>
      </w:r>
      <w:r>
        <w:rPr>
          <w:rFonts w:ascii="Times New Roman" w:cs="Times New Roman" w:eastAsia="Times New Roman" w:hAnsi="Times New Roman"/>
          <w:sz w:val="14"/>
          <w:szCs w:val="14"/>
          <w:color w:val="auto"/>
        </w:rPr>
        <w:t>Certain of our gathering and/or processing agreements contain MVCs which, like AMIs, benefit from the development and ongoing operation of a gathering system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because they provide a minimum contracted monthly or annual revenue stream. Some of our MVCs, including those of affiliates, extend through 2031. To the extent a customer does not meet its contractual MVC, it is obligated to make an MVC shortfall payment to us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by either collecting gathering or processing fees on actual throughput or from cash payments to cover any MVC shortfall.</w:t>
      </w:r>
    </w:p>
    <w:p>
      <w:pPr>
        <w:spacing w:after="0" w:line="5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December 31, 2023, we had remaining MVCs totaling 0.5 Tcfe, our MVCs had a weighted-average remaining life of 3.2 years, and these MVC's average approximately 267 MMcfe/d through 2028.</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additional information on our MVCs, see Note 4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Revenue and Note 8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Deferred Revenue to the consolidated financial statements.</w:t>
      </w:r>
    </w:p>
    <w:p>
      <w:pPr>
        <w:spacing w:after="0" w:line="9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Throughput and Commodity Price Exposure. </w:t>
      </w:r>
      <w:r>
        <w:rPr>
          <w:rFonts w:ascii="Times New Roman" w:cs="Times New Roman" w:eastAsia="Times New Roman" w:hAnsi="Times New Roman"/>
          <w:sz w:val="14"/>
          <w:szCs w:val="14"/>
          <w:color w:val="auto"/>
        </w:rPr>
        <w:t>Our financial results are primarily driven by volume throughput across our gathering systems and by expense management. During 2023, aggregate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natural gas volume throughput averaged 1,292 MMcf/d and crude oil and produced water volume throughput averaged 78 Mbbl/d. A majority of the volumes that we gather, compress, treat and/or process have a fixed-fee rate structure, which enhances the stability of our cash flows by providing a revenue stream that is not subject to direct commodity price risk or volatility.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customers, (iii) the sale of condensate we retain from our gathering services in the Rockies and Piceance segments and (iv) additional gathering fees that are tied to performance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of certain commodity price indexes, which are then added to the fixed gathering rates. During the year ended December 31, 2023, these additional activities accounted for approximately 39% of total revenues.</w:t>
      </w:r>
    </w:p>
    <w:p>
      <w:pPr>
        <w:spacing w:after="0" w:line="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Method Investment – Ohio Gathering. </w:t>
      </w:r>
      <w:r>
        <w:rPr>
          <w:rFonts w:ascii="Times New Roman" w:cs="Times New Roman" w:eastAsia="Times New Roman" w:hAnsi="Times New Roman"/>
          <w:sz w:val="14"/>
          <w:szCs w:val="14"/>
          <w:color w:val="auto"/>
        </w:rPr>
        <w:t>We have an equity method investment in Ohio Gathering, which comprises a natural gas gathering system and condensate stabilization facility located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core of the Utica Shale in southeastern Ohio. Our joint venture partner in Ohio Gathering may elect to fund 100% of a capital call if we choose not to fund our proportionate share of such capital call. In 2023 and 2022, we chose to not fund capital calls in Ohio Gathering because the investment did not meet our corporate objectives, and, as a result, our ownership interest in that venture was reduced to 36.5% as of December 31, 2023, from 37.2% as of December 31, 2022. MPLX LP (“MPLX”) is the operator of the Ohio Gathering joint venture and our joint venture partner.</w:t>
      </w:r>
    </w:p>
    <w:p>
      <w:pPr>
        <w:spacing w:after="0" w:line="5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Method Investment – Double E. </w:t>
      </w:r>
      <w:r>
        <w:rPr>
          <w:rFonts w:ascii="Times New Roman" w:cs="Times New Roman" w:eastAsia="Times New Roman" w:hAnsi="Times New Roman"/>
          <w:sz w:val="14"/>
          <w:szCs w:val="14"/>
          <w:color w:val="auto"/>
        </w:rPr>
        <w:t>We have an equity method investment in Double E, a 1.35 Bcf/d FERC-regulated interstate natural gas transmission pipeline that commenced operations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November 2021 and provides transportation service from multiple receipt points in the Delaware Basin to various delivery points in and around the Waha hub in Texas. We are the operator of the joint venture and have made all required capital contributions to Double E. As of December 31, 2023, the Partnership owns a 70% interest in Double E. A subsidiary of ExxonMobil Corporation is our joint venture partner.</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our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Northeast.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operating information regarding our Northeast reportable segment as of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Aggregate throughput capacity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 daily MVCs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Remaining MVCs (Bcf)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(MMcf/d)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through 2028 (MMcf/d)</w:t>
            </w:r>
          </w:p>
        </w:tc>
        <w:tc>
          <w:tcPr>
            <w:tcW w:w="1520" w:type="dxa"/>
            <w:vAlign w:val="bottom"/>
            <w:gridSpan w:val="2"/>
            <w:vMerge w:val="continue"/>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contract life (Years)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MVC life (Years)</w:t>
            </w:r>
          </w:p>
        </w:tc>
        <w:tc>
          <w:tcPr>
            <w:tcW w:w="0" w:type="dxa"/>
            <w:vAlign w:val="bottom"/>
          </w:tcPr>
          <w:p>
            <w:pPr>
              <w:spacing w:after="0"/>
              <w:rPr>
                <w:sz w:val="1"/>
                <w:szCs w:val="1"/>
                <w:color w:val="auto"/>
              </w:rPr>
            </w:pPr>
          </w:p>
        </w:tc>
      </w:tr>
      <w:tr>
        <w:trPr>
          <w:trHeight w:val="20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Northeast </w:t>
            </w:r>
            <w:r>
              <w:rPr>
                <w:rFonts w:ascii="Times New Roman" w:cs="Times New Roman" w:eastAsia="Times New Roman" w:hAnsi="Times New Roman"/>
                <w:sz w:val="18"/>
                <w:szCs w:val="18"/>
                <w:color w:val="auto"/>
                <w:vertAlign w:val="superscript"/>
              </w:rPr>
              <w:t>(1)</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144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6.2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Ohio Gathering </w:t>
            </w:r>
            <w:r>
              <w:rPr>
                <w:rFonts w:ascii="Times New Roman" w:cs="Times New Roman" w:eastAsia="Times New Roman" w:hAnsi="Times New Roman"/>
                <w:sz w:val="18"/>
                <w:szCs w:val="18"/>
                <w:color w:val="auto"/>
                <w:vertAlign w:val="superscript"/>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Pr>
          <w:p>
            <w:pPr>
              <w:spacing w:after="0"/>
              <w:rPr>
                <w:sz w:val="23"/>
                <w:szCs w:val="2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8.1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our wholly owned assets, Summit Utica system and Mountaineer Midstream system</w:t>
      </w:r>
    </w:p>
    <w:p>
      <w:pPr>
        <w:spacing w:after="0" w:line="59"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Presented on a gross basis. As of December 31, 2023, we owned an approximate 36.5% interest in OGC and an approximate 38.2% interest in OCC.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Northeast segment is comprised of our Summit Utica system, our Mountaineer Midstream system, and our equity method investments in Ohio Gathering.</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Summit Utica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Summit Utica system is a natural gas gathering system located in Belmont and Monroe counties in southeastern Ohio and serves producers targeting the dry gas reserves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Utica and Point Pleasant shale formations. The Summit Utica system gathers and delivers natural gas, primarily under long-term, fee-based gathering agreements, which include acreage dedications. Ascent Resources, a large U.S. independent crude oil and natural gas company, is the key customer of Summit Utica, and the AMIs from our customers for this system cover approximately 115,000 surface acres in the aggregate.</w:t>
      </w:r>
    </w:p>
    <w:p>
      <w:pPr>
        <w:spacing w:after="0" w:line="5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have connected a substantial number of our customers’ pad sites to our Summit Utica system and we expect to benefit from incremental volumes arising from drilling and completion activity that is occurring and will continue to occur on new and previously connected pad sites in our service area. Over time, we intend to expand our midstream service offerings for the Summit Utica system to connect additional customer pad sites and install centralized compression facilities. Centralized compression services have been dedicated to us in our gathering agreements and will eventually constitute a new revenue stream from our customers; however, to date, this service has not been required given the relatively high downhole pressures exhibited by dry gas wells in the Utica Shale compared to other unconventional shale plays.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Summit Utica system interconnects with the Ohio River System pipeline, which provides access to the Clarington Hub and Rover Pipeline.</w:t>
      </w:r>
    </w:p>
    <w:p>
      <w:pPr>
        <w:spacing w:after="0" w:line="9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Mountaineer Midstream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Mountaineer Midstream system, within the Marcellus shale, is located in Doddridge and Harrison counties in West Virginia where it gathers natural gas under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long-term, fee-based contract with Antero Resources Corporation (“Antero”), which is targeting liquids-rich natural gas production from the Marcellus shale in the Appalachian Basin. Volume throughput on the Mountaineer Midstream system is underpinned by minimum revenue commitments from Antero.</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Mountaineer Midstream system consists of a high-pressure natural gas gathering system and two compressor stations. This system gathers high-pressure natural gas received from upstream pipeline interconnections with Antero Midstream. Mountaineer Midstream serves as a critical inlet to the Sherwood Processing Complex, a primary destination for liquids-rich natural gas in northern West Virginia and one of the largest natural gas processing facilities in the United States.</w:t>
      </w:r>
    </w:p>
    <w:p>
      <w:pPr>
        <w:spacing w:after="0" w:line="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u w:val="single" w:color="auto"/>
          <w:color w:val="auto"/>
        </w:rPr>
        <w:t>Ohio Gathering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Ohio Gathering comprises a natural gas gathering system and condensate stabilization facility located in the core of the Utica Shale in southeastern Ohio. The gathering system spans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condensate, liquids-rich and dry gas windows of the Utica Shale for multiple producers that are targeting production from the Utica and Point Pleasant shale formations across Belmont, Monroe, Guernsey, Harrison and Noble counties in southeastern Ohio. Ohio Gathering is operated by our partner, MPLX. Substantially all gathering services on the Ohio Gathering system are provided pursuant to long-term, fee-based gathering agreements. Ascent Resources and Gulfport Energy Corporation are Ohio Gathering's key customers and the AMIs from our customers for this system cover approximately 836,000 surface acres in the aggregate.</w:t>
      </w:r>
    </w:p>
    <w:p>
      <w:pPr>
        <w:spacing w:after="0" w:line="5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Condensate and liquids-rich natural gas production is gathered, compressed, dehydrated and delivered to the Cadiz and Seneca processing complexes, which offer approximately 1.3 Bcf/d of processing capacity and are owned by a joint venture between MPLX and The Energy and Minerals Group. Dry gas production is gathered, dehydrated, compressed, and delivered to third-party pipelines serving the northeast and midwest markets.</w:t>
      </w:r>
    </w:p>
    <w:p>
      <w:pPr>
        <w:spacing w:after="0" w:line="5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2023, we owned an approximate 36.5% interest in OGC and an approximate 38.2% interest in OCC. For additional information, see Note 7 - Equity Method Investments to the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Rockies.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operating information regarding our Rockies reportable segment as of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Aggregate throughput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Aggregate throughput</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 daily MVCs</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capacity -</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capacity -</w:t>
            </w:r>
          </w:p>
        </w:tc>
        <w:tc>
          <w:tcPr>
            <w:tcW w:w="15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liquids (Mbbl/d)</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natural gas (MMcf/d)</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through 2028 (MMcf/d)</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MVCs (Bcfe)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 life (Years)</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MVC life (Years)</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Rockies - Williston</w:t>
            </w:r>
          </w:p>
        </w:tc>
        <w:tc>
          <w:tcPr>
            <w:tcW w:w="142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n/a</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6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Rockies - DJ </w:t>
            </w:r>
            <w:r>
              <w:rPr>
                <w:rFonts w:ascii="Times New Roman" w:cs="Times New Roman" w:eastAsia="Times New Roman" w:hAnsi="Times New Roman"/>
                <w:sz w:val="18"/>
                <w:szCs w:val="18"/>
                <w:color w:val="auto"/>
                <w:vertAlign w:val="superscript"/>
              </w:rPr>
              <w:t>(1)</w:t>
            </w:r>
          </w:p>
        </w:tc>
        <w:tc>
          <w:tcPr>
            <w:tcW w:w="1420" w:type="dxa"/>
            <w:vAlign w:val="bottom"/>
          </w:tcPr>
          <w:p>
            <w:pPr>
              <w:jc w:val="right"/>
              <w:ind w:right="57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220</w:t>
            </w:r>
          </w:p>
        </w:tc>
        <w:tc>
          <w:tcPr>
            <w:tcW w:w="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7.8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83" w:lineRule="exact"/>
        <w:rPr>
          <w:sz w:val="20"/>
          <w:szCs w:val="20"/>
          <w:color w:val="auto"/>
        </w:rPr>
      </w:pPr>
    </w:p>
    <w:p>
      <w:pPr>
        <w:ind w:left="260" w:right="140" w:hanging="255"/>
        <w:spacing w:after="0" w:line="223" w:lineRule="auto"/>
        <w:tabs>
          <w:tab w:leader="none" w:pos="25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Capacity of 220 MMcf/d represents nameplate processing capacity. Operational capacity is estimated at approximately 180 MMcf/d. Weighted average remaining life excludes interruptible off-load contracts.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AMIs for the Rockies reportable segment total approximately 2.5 million surface acres in the aggregate.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Rockies reportable segment is comprised of our Polar and Divide system and the Niobrara G&amp;P system.</w:t>
      </w:r>
    </w:p>
    <w:p>
      <w:pPr>
        <w:spacing w:after="0" w:line="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i w:val="1"/>
          <w:iCs w:val="1"/>
          <w:u w:val="single" w:color="auto"/>
          <w:color w:val="auto"/>
        </w:rPr>
        <w:t>Polar and Divide system</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Polar and Divide system, collectively Polar Midstream and Epping, which is located primarily in Williams and Divide counties in northwestern North Dakota, owns,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operates 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Chord Energy Corporation, Zavanna LLC, Enerplus Corporation, which announced a merger with Chord Energy Corporation in February 2024, and Kraken Resources are the key customers of the Polar and Divide system.</w:t>
      </w:r>
    </w:p>
    <w:p>
      <w:pPr>
        <w:spacing w:after="0" w:line="6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Crude oil that is gathered by the Polar and Divide system is delivered to interconnects with (i) the Dakota Access Pipeline, (ii) the COLT Hub rail facility and (iii) Enbridge Inc’s North Dakota Pipeline System. Produced water is delivered to third-party or producer owned disposal facilities.</w:t>
      </w:r>
    </w:p>
    <w:p>
      <w:pPr>
        <w:spacing w:after="0" w:line="3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i w:val="1"/>
          <w:iCs w:val="1"/>
          <w:u w:val="single" w:color="auto"/>
          <w:color w:val="auto"/>
        </w:rPr>
        <w:t>Niobrara G&amp;P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Niobrara G&amp;P system is located near Hereford, Colorado, in rural Weld, Morgan and Logan Counties, and in Cheyenne County of Nebraska. Weld County is the largest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crude oil and natural gas producing county in Colorado. Gathering and processing services on the Niobrara G&amp;P system are provided pursuant to long-term, fee-based and percentage of proceeds agreements with producers that are primarily targeting crude oil production from the Niobrara and Codell shale formations. Bison Oil and Gas IV, Chevron Corporation, Civitas Resources, Inc., a large U.S. independent crude oil and natural gas company and Verdad Resources are the key customers of the Niobrara G&amp;P system and have underpinned our volume throughput with acreage dedications and MVCs.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Niobrara G&amp;P system operates a low-pressure associated natural gas gathering system, and natural gas processing plants with processing capacity of up to 220 MMcf/d.</w:t>
      </w:r>
    </w:p>
    <w:p>
      <w:pPr>
        <w:spacing w:after="0" w:line="9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Residue gas is delivered to the Cheyenne Plains, Colorado Interstate Gas, Tallgrass Interstate Gas Transmission, Trailblazer Pipeline and Southern Star and processed NGLs are delivered to the Overland Pass Pipeline and the P66 NGL System.</w:t>
      </w:r>
    </w:p>
    <w:p>
      <w:pPr>
        <w:spacing w:after="0" w:line="3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Additionally, the system has discrete freshwater infrastructure that consists of 19 water wells and other infrastructure to provide its customers with up to approximately 55,000 barrels per day of fresh water for well completion activities. The crude gathering system includes approximately 30 miles of gathering pipeline with delivery into the Pony Express pipeline.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Permian.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operating information regarding our Permian reportable segment as of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tcPr>
          <w:p>
            <w:pPr>
              <w:spacing w:after="0"/>
              <w:rPr>
                <w:sz w:val="11"/>
                <w:szCs w:val="11"/>
                <w:color w:val="auto"/>
              </w:rPr>
            </w:pPr>
          </w:p>
        </w:tc>
        <w:tc>
          <w:tcPr>
            <w:tcW w:w="1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Aggregate throughput capacity</w:t>
            </w: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Average daily MVCs</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27"/>
        </w:trPr>
        <w:tc>
          <w:tcPr>
            <w:tcW w:w="35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remaining contract life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(MMcf/d)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through 2028 (MMcf/d)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Remaining MVCs (Bcf)</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MVC life (Years)</w:t>
            </w:r>
          </w:p>
        </w:tc>
        <w:tc>
          <w:tcPr>
            <w:tcW w:w="0" w:type="dxa"/>
            <w:vAlign w:val="bottom"/>
          </w:tcPr>
          <w:p>
            <w:pPr>
              <w:spacing w:after="0"/>
              <w:rPr>
                <w:sz w:val="1"/>
                <w:szCs w:val="1"/>
                <w:color w:val="auto"/>
              </w:rPr>
            </w:pPr>
          </w:p>
        </w:tc>
      </w:tr>
      <w:tr>
        <w:trPr>
          <w:trHeight w:val="21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Double E </w:t>
            </w:r>
            <w:r>
              <w:rPr>
                <w:rFonts w:ascii="Times New Roman" w:cs="Times New Roman" w:eastAsia="Times New Roman" w:hAnsi="Times New Roman"/>
                <w:sz w:val="18"/>
                <w:szCs w:val="18"/>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2,873</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200" w:firstLine="5"/>
        <w:spacing w:after="0" w:line="238" w:lineRule="auto"/>
        <w:tabs>
          <w:tab w:leader="none" w:pos="142"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Presented on a gross basis. Existing MVC’s contractually increase to 1.0 Bcf/d beginning in November 2024. As of December 31, 2023, we owned a 70% interest in Double E. Statistics exclude recently announced Janus Processing Plant connection and associated take-or-pay contract, which has an expected in-service date of Q1 2025.</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u w:val="single" w:color="auto"/>
          <w:color w:val="auto"/>
        </w:rPr>
        <w:t>Double E</w:t>
      </w:r>
      <w:r>
        <w:rPr>
          <w:rFonts w:ascii="Times New Roman" w:cs="Times New Roman" w:eastAsia="Times New Roman" w:hAnsi="Times New Roman"/>
          <w:sz w:val="14"/>
          <w:szCs w:val="14"/>
          <w:color w:val="auto"/>
        </w:rPr>
        <w:t>. Double E is a 135 mile, 1.35 Bcf/d, FERC-regulated interstate natural gas transmission pipeline that commenced operations in November 2021 and provides transportation service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receipt points in the Delaware Basin to various delivery points in and around the Waha hub in Texas. Double E is underpinned by 1.0 Bcf/d of long-term take-or-pay contracts with ExxonMobil Corporation, Marathon Oil and Matador Resources Company (“Matador”). In 2021, we entered into negotiated rate agreements with an average term of 10 years from the in-service date of the pipeline, which occurred on November 18, 2021 and with total MDTQ’s that increase from 585,000 Dth/d during the first year of the agreement to 1,000,000 Dth/d in the fourth year, which equates to approximately 74% of its certificated capacity of 1,350,000 Dth/d. Volume throughput is received from multiple processing plants, including Enlink’s Lobo plant, Matador’s Marlan plant, XTO’s Cowboy plant, Targa’s Roadrunner plant, San Mateo’s Black River plant and Crestwood’s Carlsbad plant. In 2023, Double E executed a new 40 MMcf/d contract with a large U.S. independent crude oil and natural gas company, which includes a connection to the Janus Processing Plant that is currently under construction with an expected in-service date in Q1 2025. The take-or-pay contract has a 10-year term upon the earlier of the in-service date of the Janus Processing Plant, or April 1, 2025. The Partnership owns 70% of Double E and operates the pipeline.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260"/>
          </w:cols>
          <w:pgMar w:left="300" w:top="21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Piceance.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operating information regarding our Piceance reportable segment as of December 31, 2023.</w:t>
      </w:r>
    </w:p>
    <w:p>
      <w:pPr>
        <w:spacing w:after="0" w:line="259" w:lineRule="exact"/>
        <w:rPr>
          <w:sz w:val="20"/>
          <w:szCs w:val="20"/>
          <w:color w:val="auto"/>
        </w:rPr>
      </w:pPr>
    </w:p>
    <w:p>
      <w:pPr>
        <w:ind w:left="4440"/>
        <w:spacing w:after="0"/>
        <w:tabs>
          <w:tab w:leader="none" w:pos="5860" w:val="left"/>
        </w:tabs>
        <w:rPr>
          <w:sz w:val="20"/>
          <w:szCs w:val="20"/>
          <w:color w:val="auto"/>
        </w:rPr>
      </w:pPr>
      <w:r>
        <w:rPr>
          <w:rFonts w:ascii="Times New Roman" w:cs="Times New Roman" w:eastAsia="Times New Roman" w:hAnsi="Times New Roman"/>
          <w:sz w:val="11"/>
          <w:szCs w:val="11"/>
          <w:b w:val="1"/>
          <w:bCs w:val="1"/>
          <w:color w:val="auto"/>
        </w:rPr>
        <w:t>Aggregate throughput</w:t>
      </w:r>
      <w:r>
        <w:rPr>
          <w:sz w:val="20"/>
          <w:szCs w:val="20"/>
          <w:color w:val="auto"/>
        </w:rPr>
        <w:tab/>
      </w:r>
      <w:r>
        <w:rPr>
          <w:rFonts w:ascii="Times New Roman" w:cs="Times New Roman" w:eastAsia="Times New Roman" w:hAnsi="Times New Roman"/>
          <w:sz w:val="11"/>
          <w:szCs w:val="11"/>
          <w:b w:val="1"/>
          <w:bCs w:val="1"/>
          <w:color w:val="auto"/>
        </w:rPr>
        <w:t>Average daily MVCs</w:t>
      </w:r>
    </w:p>
    <w:p>
      <w:pPr>
        <w:spacing w:after="0" w:line="22" w:lineRule="exact"/>
        <w:rPr>
          <w:sz w:val="20"/>
          <w:szCs w:val="20"/>
          <w:color w:val="auto"/>
        </w:rPr>
      </w:pPr>
    </w:p>
    <w:p>
      <w:pPr>
        <w:jc w:val="right"/>
        <w:spacing w:after="0"/>
        <w:tabs>
          <w:tab w:leader="none" w:pos="2520" w:val="left"/>
          <w:tab w:leader="none" w:pos="1120" w:val="left"/>
        </w:tabs>
        <w:rPr>
          <w:sz w:val="20"/>
          <w:szCs w:val="20"/>
          <w:color w:val="auto"/>
        </w:rPr>
      </w:pPr>
      <w:r>
        <w:rPr>
          <w:rFonts w:ascii="Times New Roman" w:cs="Times New Roman" w:eastAsia="Times New Roman" w:hAnsi="Times New Roman"/>
          <w:sz w:val="11"/>
          <w:szCs w:val="11"/>
          <w:b w:val="1"/>
          <w:bCs w:val="1"/>
          <w:color w:val="auto"/>
        </w:rPr>
        <w:t>capacity (MMcf/d)</w:t>
      </w:r>
      <w:r>
        <w:rPr>
          <w:sz w:val="20"/>
          <w:szCs w:val="20"/>
          <w:color w:val="auto"/>
        </w:rPr>
        <w:tab/>
      </w:r>
      <w:r>
        <w:rPr>
          <w:rFonts w:ascii="Times New Roman" w:cs="Times New Roman" w:eastAsia="Times New Roman" w:hAnsi="Times New Roman"/>
          <w:sz w:val="11"/>
          <w:szCs w:val="11"/>
          <w:b w:val="1"/>
          <w:bCs w:val="1"/>
          <w:color w:val="auto"/>
        </w:rPr>
        <w:t>through 2028 (MMcf/d)</w:t>
      </w:r>
      <w:r>
        <w:rPr>
          <w:sz w:val="20"/>
          <w:szCs w:val="20"/>
          <w:color w:val="auto"/>
        </w:rPr>
        <w:tab/>
      </w:r>
      <w:r>
        <w:rPr>
          <w:rFonts w:ascii="Times New Roman" w:cs="Times New Roman" w:eastAsia="Times New Roman" w:hAnsi="Times New Roman"/>
          <w:sz w:val="11"/>
          <w:szCs w:val="11"/>
          <w:b w:val="1"/>
          <w:bCs w:val="1"/>
          <w:color w:val="auto"/>
        </w:rPr>
        <w:t>Remaining MVCs (Bcf)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tabs>
          <w:tab w:leader="none" w:pos="1500" w:val="left"/>
        </w:tabs>
        <w:rPr>
          <w:sz w:val="20"/>
          <w:szCs w:val="20"/>
          <w:color w:val="auto"/>
        </w:rPr>
      </w:pPr>
      <w:r>
        <w:rPr>
          <w:rFonts w:ascii="Times New Roman" w:cs="Times New Roman" w:eastAsia="Times New Roman" w:hAnsi="Times New Roman"/>
          <w:sz w:val="11"/>
          <w:szCs w:val="11"/>
          <w:b w:val="1"/>
          <w:bCs w:val="1"/>
          <w:color w:val="auto"/>
        </w:rPr>
        <w:t>Weighted-average</w:t>
      </w:r>
      <w:r>
        <w:rPr>
          <w:sz w:val="20"/>
          <w:szCs w:val="20"/>
          <w:color w:val="auto"/>
        </w:rPr>
        <w:tab/>
      </w:r>
      <w:r>
        <w:rPr>
          <w:rFonts w:ascii="Times New Roman" w:cs="Times New Roman" w:eastAsia="Times New Roman" w:hAnsi="Times New Roman"/>
          <w:sz w:val="11"/>
          <w:szCs w:val="11"/>
          <w:b w:val="1"/>
          <w:bCs w:val="1"/>
          <w:color w:val="auto"/>
        </w:rPr>
        <w:t>Weighted-average</w:t>
      </w:r>
    </w:p>
    <w:p>
      <w:pPr>
        <w:spacing w:after="0" w:line="2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1"/>
          <w:szCs w:val="11"/>
          <w:b w:val="1"/>
          <w:bCs w:val="1"/>
          <w:color w:val="auto"/>
        </w:rPr>
        <w:t>remaining contract life</w:t>
      </w:r>
      <w:r>
        <w:rPr>
          <w:sz w:val="20"/>
          <w:szCs w:val="20"/>
          <w:color w:val="auto"/>
        </w:rPr>
        <w:tab/>
      </w:r>
      <w:r>
        <w:rPr>
          <w:rFonts w:ascii="Times New Roman" w:cs="Times New Roman" w:eastAsia="Times New Roman" w:hAnsi="Times New Roman"/>
          <w:sz w:val="11"/>
          <w:szCs w:val="11"/>
          <w:b w:val="1"/>
          <w:bCs w:val="1"/>
          <w:color w:val="auto"/>
        </w:rPr>
        <w:t>remaining MVC life</w:t>
      </w:r>
    </w:p>
    <w:p>
      <w:pPr>
        <w:spacing w:after="0" w:line="11" w:lineRule="exact"/>
        <w:rPr>
          <w:sz w:val="20"/>
          <w:szCs w:val="20"/>
          <w:color w:val="auto"/>
        </w:rPr>
      </w:pPr>
    </w:p>
    <w:p>
      <w:pPr>
        <w:ind w:left="380"/>
        <w:spacing w:after="0"/>
        <w:tabs>
          <w:tab w:leader="none" w:pos="1780" w:val="left"/>
        </w:tabs>
        <w:rPr>
          <w:sz w:val="20"/>
          <w:szCs w:val="20"/>
          <w:color w:val="auto"/>
        </w:rPr>
      </w:pPr>
      <w:r>
        <w:rPr>
          <w:rFonts w:ascii="Times New Roman" w:cs="Times New Roman" w:eastAsia="Times New Roman" w:hAnsi="Times New Roman"/>
          <w:sz w:val="11"/>
          <w:szCs w:val="11"/>
          <w:b w:val="1"/>
          <w:bCs w:val="1"/>
          <w:color w:val="auto"/>
        </w:rPr>
        <w:t>(Years)</w:t>
      </w:r>
      <w:r>
        <w:rPr>
          <w:sz w:val="20"/>
          <w:szCs w:val="20"/>
          <w:color w:val="auto"/>
        </w:rPr>
        <w:tab/>
      </w:r>
      <w:r>
        <w:rPr>
          <w:rFonts w:ascii="Times New Roman" w:cs="Times New Roman" w:eastAsia="Times New Roman" w:hAnsi="Times New Roman"/>
          <w:sz w:val="11"/>
          <w:szCs w:val="11"/>
          <w:b w:val="1"/>
          <w:bCs w:val="1"/>
          <w:color w:val="auto"/>
        </w:rPr>
        <w:t>(Years)</w:t>
      </w:r>
    </w:p>
    <w:p>
      <w:pPr>
        <w:spacing w:after="0" w:line="11" w:lineRule="exact"/>
        <w:rPr>
          <w:sz w:val="20"/>
          <w:szCs w:val="20"/>
          <w:color w:val="auto"/>
        </w:rPr>
      </w:pPr>
    </w:p>
    <w:p>
      <w:pPr>
        <w:sectPr>
          <w:pgSz w:w="11900" w:h="16838" w:orient="portrait"/>
          <w:cols w:equalWidth="0" w:num="2">
            <w:col w:w="8360" w:space="280"/>
            <w:col w:w="2620"/>
          </w:cols>
          <w:pgMar w:left="300" w:top="210"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Piceance</w:t>
            </w:r>
          </w:p>
        </w:tc>
        <w:tc>
          <w:tcPr>
            <w:tcW w:w="132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2.5</w:t>
            </w:r>
          </w:p>
        </w:tc>
      </w:tr>
      <w:tr>
        <w:trPr>
          <w:trHeight w:val="22"/>
        </w:trPr>
        <w:tc>
          <w:tcPr>
            <w:tcW w:w="43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AMIs for the Piceance reportable segment cover approximately 434,000 surface acres in the aggregate.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Piceance reportable segment is comprised of our Grand River gathering system.</w:t>
      </w:r>
    </w:p>
    <w:p>
      <w:pPr>
        <w:spacing w:after="0" w:line="9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Grand River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Grand River is primarily located in Garfield County, one of the largest natural gas producing counties in Colorado. The Grand River system provides natural gas gathering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pursuant to primarily long-term and fee-based agreements with multiple producers, including its key customers, Caerus Oil and Gas and Terra Energy Partners. Volume throughput on the Grand River system is underpinned with acreage dedications and MVCs.</w:t>
      </w:r>
    </w:p>
    <w:p>
      <w:pPr>
        <w:spacing w:after="0" w:line="5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Grand River system is primarily a low-pressure gathering system located in western Colorado that gathers natural gas produced from directional wells targeting the liquids-rich Mesaverde formation. The Grand River system also gathers natural gas produced from the Mancos and Niobrara shale formations.</w:t>
      </w:r>
    </w:p>
    <w:p>
      <w:pPr>
        <w:spacing w:after="0" w:line="3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Natural gas gathered and/or processed on the Grand River system is compressed, dehydrated, processed and/or discharged to downstream pipelines serving (i) the Meeker Processing Complex, (ii) the Williams Processing Complex and (iii) the TransColorado Pipeline system. Processed NGLs from Grand River are injected into the Mid-America Pipeline system or delivered to local markets. Residue gas has access to multiple pipelines and end markets. In addition, certain of our gathering agreements with our customers on the Grand River system permit us to retain, and monetize for our own account, condensate volumes that naturally discharge from the liquids-rich natural gas as it moves across our system.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type w:val="continuous"/>
        </w:sectPr>
      </w:pPr>
    </w:p>
    <w:bookmarkStart w:id="22" w:name="page23"/>
    <w:bookmarkEnd w:id="2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Barnett.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operating information regarding our Barnett reportable segment as of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Average daily MVCs</w:t>
            </w: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27"/>
        </w:trPr>
        <w:tc>
          <w:tcPr>
            <w:tcW w:w="3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remaining contract life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Throughput capacity (MMcf/d)</w:t>
            </w: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through 2028 (MMcf/d)</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MVCs (Bcf)</w:t>
            </w: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MVC life (Years)</w:t>
            </w:r>
          </w:p>
        </w:tc>
        <w:tc>
          <w:tcPr>
            <w:tcW w:w="0" w:type="dxa"/>
            <w:vAlign w:val="bottom"/>
          </w:tcPr>
          <w:p>
            <w:pPr>
              <w:spacing w:after="0"/>
              <w:rPr>
                <w:sz w:val="1"/>
                <w:szCs w:val="1"/>
                <w:color w:val="auto"/>
              </w:rPr>
            </w:pPr>
          </w:p>
        </w:tc>
      </w:tr>
      <w:tr>
        <w:trPr>
          <w:trHeight w:val="19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Barnett</w:t>
            </w:r>
          </w:p>
        </w:tc>
        <w:tc>
          <w:tcPr>
            <w:tcW w:w="16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n/a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
        </w:trPr>
        <w:tc>
          <w:tcPr>
            <w:tcW w:w="3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AMIs for the Barnett reportable segment cover approximately 124,000 surface acres.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Barnett reportable segment is comprised of DFW Midstream system.</w:t>
      </w:r>
    </w:p>
    <w:p>
      <w:pPr>
        <w:spacing w:after="0" w:line="92"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DFW Midstream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DFW Midstream system is primarily located in southeastern Tarrant County, in north-central Texas. We consider this area to be the core of the Barnett Shale because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quality of the geology and the high production profile of the wells drilled to date in our service area. The DFW Midstream system is underpinned by a long-term, fee-based gathering agreements with TotalEnergies Gas &amp; Power North America, Inc. (“Total”) and other customers. Total is the key customer for DFW Midstream.</w:t>
      </w:r>
    </w:p>
    <w:p>
      <w:pPr>
        <w:spacing w:after="0" w:line="5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pass through a portion of the power expense to our customers or retain and sell a fixed percentage of the natural gas that we gather.</w:t>
      </w:r>
    </w:p>
    <w:p>
      <w:pPr>
        <w:spacing w:after="0" w:line="5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DFW Midstream system currently has five primary interconnections with third-party, primarily intrastate pipelines. These interconnections enable us to connect our customers, directly or indirectly, with the major natural gas market hubs in Texas and Louisiana.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9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systems that we operate and/or have significant ownership interests in have a diverse group of customers and counterparties comprising affiliates and/or subsidiaries of some of the largest natural gas and crude oil producers in North America.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of the Natural Gas and Crude Oil Industries</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 </w:t>
      </w:r>
      <w:r>
        <w:rPr>
          <w:rFonts w:ascii="Times New Roman" w:cs="Times New Roman" w:eastAsia="Times New Roman" w:hAnsi="Times New Roman"/>
          <w:sz w:val="14"/>
          <w:szCs w:val="14"/>
          <w:color w:val="auto"/>
        </w:rPr>
        <w:t>Sales by producers of natural gas, crude oil, condensate and NGLs are currently made at market prices. However, gathering and transportation services are subject to various types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 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spacing w:after="0" w:line="5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Regulation of Crude Oil and Natural Gas Exploration, Production and Sales. </w:t>
      </w:r>
      <w:r>
        <w:rPr>
          <w:rFonts w:ascii="Times New Roman" w:cs="Times New Roman" w:eastAsia="Times New Roman" w:hAnsi="Times New Roman"/>
          <w:sz w:val="14"/>
          <w:szCs w:val="14"/>
          <w:color w:val="auto"/>
        </w:rPr>
        <w:t>Sales of crude oil and NGLs are not currently regulated and are transacted at market prices. In 1989, the U.S. Congress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spacing w:after="0" w:line="5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spacing w:after="0" w:line="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Regulation of the Gathering and Transportation of Natural Gas and Crude Oil. </w:t>
      </w:r>
      <w:r>
        <w:rPr>
          <w:rFonts w:ascii="Times New Roman" w:cs="Times New Roman" w:eastAsia="Times New Roman" w:hAnsi="Times New Roman"/>
          <w:sz w:val="14"/>
          <w:szCs w:val="14"/>
          <w:color w:val="auto"/>
        </w:rPr>
        <w:t>We believe that the majority of our natural gas pipeline facilities qualify as gathering facilities that are exempt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jurisdiction of FERC. Our Double E Pipeline, which is an interstate natural gas pipeline located in New Mexico and Texas, and Epping Pipeline interstate crude oil pipeline, which is located in North Dakota and owned and operated by Epping, are subject to FERC’s jurisdiction and oversight pursuant to FERC's authority under the NGA and the ICA, respectively. Epping and Double E have tariffs on file with FERC.</w:t>
      </w:r>
    </w:p>
    <w:p>
      <w:pPr>
        <w:spacing w:after="0" w:line="5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Under FERC’s ICA jurisdiction, rates for interstate movements of liquids by pipeline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For the five-year period beginning on July 1, 2021, FERC established an annual index adjustment equal to the change in the producer price index for finished goods minus 0.21%. FERC’s orders establishing this adjustment are subject to pending judicial review.</w:t>
      </w:r>
    </w:p>
    <w:p>
      <w:pPr>
        <w:spacing w:after="0" w:line="5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w:t>
      </w:r>
    </w:p>
    <w:p>
      <w:pPr>
        <w:spacing w:after="0" w:line="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 Epping’s ability to set rates based on costs or could order reduced rates and reparations to complaining shippers for up to two years prior to the date of a complaint. FERC also has the authority to change terms and conditions of service if it determines that they are unjust and unreasonable or unduly discriminatory or preferential. The ICA also imposes potential criminal liability for certain violations of the statute.</w:t>
      </w:r>
    </w:p>
    <w:p>
      <w:pPr>
        <w:spacing w:after="0" w:line="6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FERC has jurisdiction over, among other things, the construction, ownership and commercial operation of pipelines and related facilities used in the transportation and storage of natural gas in interstate commerce, including the modification, extension,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enlargement, and abandonment of such facilities. FERC also has jurisdiction over the rates, charges, and term and conditions of service for the transportation and storage of natural gas in interstate commerce. With respect to transportation rates, FERC exercises its ratemaking authority by applying cost-of-service principles to limit the maximum and minimum levels of tariff-based recourse rates; however, it also allows for discounted or negotiated rates as an alternative to cost-based rates. In addition, FERC regulations also restrict interstate natural gas pipelines from sharing certain transportation or customer information with marketing affiliates and require that the transmission function personnel of interstate natural gas pipelines operate independently of the marketing function personnel of the pipeline or its affiliates.</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Pursuant to the NGA, existing interstate natural gas transportation and storage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Double E currently holds authority from the FERC to charge and collect (i) “recourse rates,” which are the maximum cost-based rates an interstate natural gas pipeline may charge for its services under its tariff; (ii) “discount rates,” which are rates offered by the natural gas pipeline to shippers at discounts vis-à-vis the recourse rates and that fall within the cost-based maximum and minimum rate levels set forth in the natural gas pipeline's tariff; and (iii) “negotiated rates,” which are rates negotiated and agreed to by the pipeline and the shipper for the contract term that may fall within or outside of the cost-based maximum and minimum rate levels set forth in the tariff, and which are individually filed with the FERC for review and acceptance. On November 18, 2021, we entered into negotiated rate agreements with an average term of 10 years from the in-service date of the pipeline and with total MDTQ’s that increase from 585,000 Dth/d during the first year of the agreement to 1,000,000 Dth/d in the fourth year, which equates to approximately 74% of its certificated capacity of 1,350,000 Dth/d. When capacity is available and offered for sale, the rates (which include reservation, commodity, surcharges, and fixed fuel and lost and unaccounted for charges) and the terms and conditions at which such capacity is sold are subject to regulatory approval and oversight. Any successful challenge by a regulator or shipper in any of these matters could have a material adverse effect on our business, financial condition and results of operations.</w:t>
      </w:r>
    </w:p>
    <w:p>
      <w:pPr>
        <w:spacing w:after="0" w:line="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Intrastate pipelines, which may include some pipelines that perform gathering functions, may be subject to safety regulation by the DOT, although typically state regulatory authorities (operating under a federal 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w:t>
      </w:r>
    </w:p>
    <w:p>
      <w:pPr>
        <w:spacing w:after="0" w:line="6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spacing w:after="0" w:line="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Statutory Compliance and Anti-Market Manipulation Rules. </w:t>
      </w:r>
      <w:r>
        <w:rPr>
          <w:rFonts w:ascii="Times New Roman" w:cs="Times New Roman" w:eastAsia="Times New Roman" w:hAnsi="Times New Roman"/>
          <w:sz w:val="14"/>
          <w:szCs w:val="14"/>
          <w:color w:val="auto"/>
        </w:rPr>
        <w:t>We are subject to the anti-market manipulation and penalty provisions in the NGA and the NGPA, as amended by the Energy Policy Act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2005, which authorize FERC to impose fines of up to approximately $1.5 million per day per violation of the NGA, the NGPA, or their implementing rules, regulations, and orders subject to future adjustments for inflation. In addition, the FTC holds statutory authority under the Energy Independence and Security Act of 2007 to prevent market manipulation in petroleum markets, including the authority to request that a court impose fines of up to approximately $1.5 million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approximately $1.5 million per day per violation, subject to future adjustment for inflation, or triple the monetary gain to the violator for violations of the anti-market manipulation sections of the CEA. We are also subject to various reporting requirements that are designed to facilitate transparency and prevent market manipulation.</w:t>
      </w:r>
    </w:p>
    <w:p>
      <w:pPr>
        <w:spacing w:after="0" w:line="228"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Safety and Maintenance. </w:t>
      </w:r>
      <w:r>
        <w:rPr>
          <w:rFonts w:ascii="Times New Roman" w:cs="Times New Roman" w:eastAsia="Times New Roman" w:hAnsi="Times New Roman"/>
          <w:sz w:val="14"/>
          <w:szCs w:val="14"/>
          <w:color w:val="auto"/>
        </w:rPr>
        <w:t>We are subject to regulation by the DOT, which establishes federal safety standards for the design, construction, operation and maintenance of natural gas and crude oil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pipeline facilities. In the Pipeline Safety Act of 1992, Congress expanded the DOT's regulatory authority to include regulated gathering lines that had previously been exempt from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federal jurisdiction. Additional legislation has been passed over the years to reauthorize federal funding for federal pipeline programs, increase penalties for safety violations and establish additional safety requirements. For example, in December 2020, the Protecting our Infrastructure of Pipelines and Enhancing Safety Act of 2020 became law, reauthorizing PHMSA for funding through 2023 and requiring, among other things,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w:t>
      </w:r>
    </w:p>
    <w:p>
      <w:pPr>
        <w:spacing w:after="0" w:line="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 programs for certain pipelines located in high consequence areas, which include high-population areas such as the Dallas-Fort Worth greater metropolitan area where our DFW Midstream system is located. While the majority of our pipelines have historically met the DOT definition of gathering lines and were thus exempt from the integrity management requirements of PHMSA, we also operate a limited number of pipelines that are subject to the integrity management requirements. Those regulations require operators, including us, to:</w:t>
      </w:r>
    </w:p>
    <w:p>
      <w:pPr>
        <w:spacing w:after="0" w:line="61" w:lineRule="exact"/>
        <w:rPr>
          <w:sz w:val="20"/>
          <w:szCs w:val="20"/>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ongoing assessments of pipeline integrity;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characterize applicable threats to pipeline segments that could impact a high consequence area;</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processes for data collection, integration and analysis;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and remediate pipelines as necessary;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and maintain procedures, standards and training programs for control room operations;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preventive and mitigating actions.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addition, PHMSA has taken recent action to regulate gathering systems, which includes integrity management requirements.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became effective in May 2022 and operators were required to comply with the applicable safety requirements by November 2022.</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PHMSA has also imposed additional requirements on onshore gas transmission systems and hazardous liquids pipelines in recent years. In October 2019, the PHMSA issued three new final rules. One rule, which became effective in December 2019,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which became effective in July 2020, imposed several new requirements on operators of onshore gas transmission systems and hazardous liquids pipelines. The rule concerning gas transmission extended the requirement to conduct integrity assessments beyond “high consequence areas” (“HCAs”) to pipelines in “moderate consequence areas” (“MCAs”). It also included requirements to reconfirm Maximum Allowable Operating Pressure (“MAOP”), report MAOP exceedances, consider seismicity as a risk factor in integrity management, and use certain safety features on in-line inspection equipment. PHMSA modified the rule in July 2020, in response to a petition for reconsideration, to limit the rule’s recordkeeping requirement related to class location changes to gas transmission pipelines (not gas distribution pipelines) and to clarify that the rule’s reconfirmation requirements related to MAOP is limited to segments without traceable, verifiable and complete pressure test records. The rule concerning hazardous liquids extended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added a requirement to make all lines in or affecting HCAs capable of accommodating in-line inspection tools over the next 20 years. In addition, in August 2022, PHMSA issued a final rule that established new or additional requirements for natural gas transmission lines related to the management of change process, integrity management, corrosion control standards, and pipeline inspections and repairs. In May 2023, PHMSA published a Notice of Proposed Rulemaking for regulatory amendments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Gathering systems like ours are also subject to a number of other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4"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General. </w:t>
      </w:r>
      <w:r>
        <w:rPr>
          <w:rFonts w:ascii="Times New Roman" w:cs="Times New Roman" w:eastAsia="Times New Roman" w:hAnsi="Times New Roman"/>
          <w:sz w:val="14"/>
          <w:szCs w:val="14"/>
          <w:color w:val="auto"/>
        </w:rPr>
        <w:t>Our operation of pipelines and other assets for the gathering, treating, transportation and/or processing of natural gas and the gathering of crude oil and produced water is subject to stringent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spacing w:after="0" w:line="51" w:lineRule="exact"/>
        <w:rPr>
          <w:sz w:val="20"/>
          <w:szCs w:val="20"/>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installation of pollution-control equipment or otherwise restricting the way we operate;</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or prohibiting construction activities in sensitive areas, such as wetlands, coastal regions or areas inhabited by endangered or threatened species;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system modification or upgrades during permit reviews;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investigatory and remedial actions to mitigate pollution conditions caused by our operations or attributable to former operations; and</w:t>
      </w:r>
    </w:p>
    <w:p>
      <w:pPr>
        <w:spacing w:after="0" w:line="93" w:lineRule="exact"/>
        <w:rPr>
          <w:rFonts w:ascii="Times New Roman" w:cs="Times New Roman" w:eastAsia="Times New Roman" w:hAnsi="Times New Roman"/>
          <w:sz w:val="14"/>
          <w:szCs w:val="14"/>
          <w:color w:val="auto"/>
        </w:rPr>
      </w:pPr>
    </w:p>
    <w:p>
      <w:pPr>
        <w:ind w:left="1020" w:right="680" w:hanging="506"/>
        <w:spacing w:after="0" w:line="287" w:lineRule="auto"/>
        <w:tabs>
          <w:tab w:leader="none" w:pos="10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enjoining the operations of facilities deemed to be in non-compliance with permits or permit requirements issued pursuant to or imposed by such environmental laws and regulations.</w:t>
      </w:r>
    </w:p>
    <w:p>
      <w:pPr>
        <w:spacing w:after="0" w:line="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5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trend in environmental regulation is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discussion of the material environmental laws and regulations that relate to our business.</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Hazardous Substances and Waste. </w:t>
      </w:r>
      <w:r>
        <w:rPr>
          <w:rFonts w:ascii="Times New Roman" w:cs="Times New Roman" w:eastAsia="Times New Roman" w:hAnsi="Times New Roman"/>
          <w:sz w:val="14"/>
          <w:szCs w:val="14"/>
          <w:color w:val="auto"/>
        </w:rPr>
        <w:t>Our operations are subject to environmental laws and regulations relating to the management and release of solid and hazardous wastes and other substances,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spacing w:after="0" w:line="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 and expansion of the definition of hazardous materials to include new substances, such as per- and polyfluoroalkyl substances (“PFAS”).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spacing w:after="0" w:line="5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Air Emissions. </w:t>
      </w:r>
      <w:r>
        <w:rPr>
          <w:rFonts w:ascii="Times New Roman" w:cs="Times New Roman" w:eastAsia="Times New Roman" w:hAnsi="Times New Roman"/>
          <w:sz w:val="14"/>
          <w:szCs w:val="14"/>
          <w:color w:val="auto"/>
        </w:rPr>
        <w:t>Our operations are subject to the federal CAA and comparable state and local laws and regulations. These laws and regulations regulate emissions of air pollutants from various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spacing w:after="0" w:line="5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October 2015, the EPA issued a new lower NAAQS for ozone. The previous ozone standard was set at 75 parts per billion (“ppb”). The revised standard has been lowered to 70 ppb. The lowered ozone NAAQS could subject us to increased regulatory burdens in the form of more stringent emission controls, emission offset requirements and increased permitting delays and costs. In October 2022, EPA reclassified the Dallas Fort Worth area as severe nonattainment under the 75 ppb standard and moderate nonattainment under the 70 ppb standard. As part of the same action, EPA also reclassified portions of Weld County, Colorado as severe nonattainment under the 75 ppb standard. In July 2022, EPA notified the State of Texas that it was considering redesignating an area comprising several Texas and New Mexico counties in the Permian Basin as a new ozone nonattainment area. These reclassifications and redesignations in areas where we operate could result in additional fees and more stringent permitting requirements for our operations, among other things. In addition, the EPA reviewed the 2015 70 ppb standard in 2020, but retained the standard without revision. However, EPA has announced that it will reconsider the 2020 decision to retain the 2015 standards. Future actions to lower the standard could similarly result in additional fees or more stringent permitting.</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June 3,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Further, in November 2021, the EPA issued a new proposed rule targeting methane emissions from new and existing oil and gas sources. The proposed rule would: (1) update NSPS OOOOa; (2) adopt a new NSPS OOOOb for sources that commence construction, modification or reconstruction after the date the proposed rule is published in the Federal Register; and (3) adopt a new NSPS OOOOc to establish emissions guidelines, which will inform state plans to establish standards for existing sources. The EPA issued a supplemental proposal in November 2022 to update and expand the proposed NSPS OOOOb and OOOOc rules. This supplemental proposal would impose more stringent requirements and include sources not previously regulated under this source category. On December 2, 2023, during the United Nations Climate Change Conference in the United Arab Emirates (“COP28”), the EPA announced its final methane rules, which impose several new methane emission requirements on the oil and gas industry. These increasingly stringent requirements, or the application of new requirements to existing facilities, could result in additional restrictions on operations and increased compliance costs for us or our customers.</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November 16, 2016, the Bureau of Land Management (“BLM”) issued a final rule to reduce venting and flaring of natural gas on public and Indian lands. The final rule mirrored many of the requirements found in NSPS OOOOa, with additional natural gas royalty requirements for flared volumes at sites already connected to gas capture infrastructure. The rule was vacated by a Wyoming federal district judge in 2020. However, BLM proposed a new rule in November 2022, similarly designed to reduce the waste of natural gas from venting, flaring and leaks during oil and gas production activities on federal and Indian leases. While the rule, if finalized, is expected to have little or no direct impact on our operations, our customers that are primarily upstream wellhead operators may be impacted by the requirements in this rule.</w:t>
      </w:r>
    </w:p>
    <w:p>
      <w:pPr>
        <w:spacing w:after="0" w:line="5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recent years, the EPA has also demonstrated an increased focus on CAA compliance for natural gas gathering operations. For example, in September 2019, the EPA issued an enforcement alert noting that EPA identified CAA noncompliance caused by unauthorized and/or excess emissions from depressurizing pig launchers and receivers in natural gas gathering operations. The alert discussed engineering, design, operations, and maintenance practices that EPA found that can cause noncompliance and summarizes engineering solutions to reduce emissions. This increased focus on natural gas gathering operations and any</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resulting enforcement actions by the EPA or state agencies could subject us to monetary penalties, injunctions, conditions or restrictions on operations.</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Water Discharges. </w:t>
      </w:r>
      <w:r>
        <w:rPr>
          <w:rFonts w:ascii="Times New Roman" w:cs="Times New Roman" w:eastAsia="Times New Roman" w:hAnsi="Times New Roman"/>
          <w:sz w:val="14"/>
          <w:szCs w:val="14"/>
          <w:color w:val="auto"/>
        </w:rPr>
        <w:t>The CWA and analogous state laws impose restrictions and strict controls regarding the discharge of pollutants into regulated waters, which impacts our ability to conduct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Oil Pollution Control Act. </w:t>
      </w:r>
      <w:r>
        <w:rPr>
          <w:rFonts w:ascii="Times New Roman" w:cs="Times New Roman" w:eastAsia="Times New Roman" w:hAnsi="Times New Roman"/>
          <w:sz w:val="14"/>
          <w:szCs w:val="14"/>
          <w:color w:val="auto"/>
        </w:rPr>
        <w:t>The OPA requires the preparation of an SPCC plan for facilities engaged in drilling, producing, gathering, storing, processing, refining, transferring, distributing, using,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consuming oil and oil products, and which due to their location, could reasonably be expected to discharge oil in harmful quantities into or upon the navigable waters of the United States.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 (intrafacility piping), inspections and records, security and training. Certain of our facilities are classified as SPCC-regulated facilities. We believe that they are in substantial compliance with all applicable requirements of OPA.</w:t>
      </w:r>
    </w:p>
    <w:p>
      <w:pPr>
        <w:spacing w:after="0" w:line="2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Hydraulic Fracturing. </w:t>
      </w:r>
      <w:r>
        <w:rPr>
          <w:rFonts w:ascii="Times New Roman" w:cs="Times New Roman" w:eastAsia="Times New Roman" w:hAnsi="Times New Roman"/>
          <w:sz w:val="14"/>
          <w:szCs w:val="14"/>
          <w:color w:val="auto"/>
        </w:rPr>
        <w:t>Hydraulic fracturing is an important practice that is used to stimulate production of natural gas and/or crude oil from dense subsurface rock formations, and is primarily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regulated by state agencies.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w:t>
      </w:r>
    </w:p>
    <w:p>
      <w:pPr>
        <w:spacing w:after="0" w:line="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EPA has also moved forward with various regulatory actions, including a proposal to issue new regulations under the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“Air Emissions” section above.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The parties remain in settlement discussions.</w:t>
      </w:r>
    </w:p>
    <w:p>
      <w:pPr>
        <w:spacing w:after="0" w:line="6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Further, several federal governmental agencies (including the EPA) have conducted reviews and studies on the environmental aspects of hydraulic fracturing, including the EPA. The results of such reviews or studies could spur initiatives to further regulate hydraulic fracturing.</w:t>
      </w:r>
    </w:p>
    <w:p>
      <w:pPr>
        <w:spacing w:after="0" w:line="3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5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Additionally, certain of our customers produce oil and gas on federal lands. On January 20, 2021, the Acting Secretary for the Department of the Interior (“DOI”)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on June 15, 2021, a judge in the U.S. District Court for the Western District of Louisiana issued a nationwide temporary injunction blocking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suspension. Although the injunction was subsequently overturned by the Court of Appeals for the Fifth Circuit, on remand the US District Court issued a permanent injunction as requested by the plaintiff states in August 2022. The Department of the Interior has since resumed leasing. In July 2023, DOI proposed updates to its onshore oil and gas leasing regulations which could further restrict oil and gas exploration and production on federal lands. DOI expects to issue a final rule in the spring of 2024. The Biden Administration continues to evaluate federal leasing and could impose additional restrictions in the future.</w:t>
      </w:r>
    </w:p>
    <w:p>
      <w:pPr>
        <w:spacing w:after="0" w:line="5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54"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Endangered Species Act. </w:t>
      </w:r>
      <w:r>
        <w:rPr>
          <w:rFonts w:ascii="Times New Roman" w:cs="Times New Roman" w:eastAsia="Times New Roman" w:hAnsi="Times New Roman"/>
          <w:sz w:val="14"/>
          <w:szCs w:val="14"/>
          <w:color w:val="auto"/>
        </w:rPr>
        <w:t>The Endangered Species Act restricts activities that may affect endangered or threatened species or their habitats. Some of our pipelines may be located in areas that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designated as habitats for endangered or threatened species.</w:t>
      </w:r>
    </w:p>
    <w:p>
      <w:pPr>
        <w:spacing w:after="0" w:line="3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National Environmental Policy Act. </w:t>
      </w:r>
      <w:r>
        <w:rPr>
          <w:rFonts w:ascii="Times New Roman" w:cs="Times New Roman" w:eastAsia="Times New Roman" w:hAnsi="Times New Roman"/>
          <w:sz w:val="14"/>
          <w:szCs w:val="14"/>
          <w:color w:val="auto"/>
        </w:rPr>
        <w:t>NEPA establishes a national environmental policy and goals for the protection, maintenance and enhancement of the environment and provides a process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implementing these goals within federal agencies. Major projects requiring federal permits or involving federal funding that have the potential to significantly impact the environment require review under NEPA. Many of our activities are covered under categorical exclusions which result in an expedited NEPA review process. Large upstream and downstream projects with significant cumulative impacts may be subject to longer NEPA review processes, which could impact the timing of those projects and our services associated with them.</w:t>
      </w:r>
    </w:p>
    <w:p>
      <w:pPr>
        <w:spacing w:after="0" w:line="5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Climate Change. </w:t>
      </w:r>
      <w:r>
        <w:rPr>
          <w:rFonts w:ascii="Times New Roman" w:cs="Times New Roman" w:eastAsia="Times New Roman" w:hAnsi="Times New Roman"/>
          <w:sz w:val="14"/>
          <w:szCs w:val="14"/>
          <w:color w:val="auto"/>
        </w:rPr>
        <w:t>The EPA has adopted regulations under the CAA that, among other things, establish GHG emission limits from motor vehicles as well as establish PSD construction and Title V</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operating permit reviews for 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EPA rules also require the reporting of GHG emissions from specified large GHG-emitting sources in the United States,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 Further, the Inflation Reduction Act, signed into law in August 2022, includes a Methane Emissions Reduction Program to incentivize methane emission reductions and impose a fee on GHG emissions from certain oil and gas facilities.</w:t>
      </w:r>
    </w:p>
    <w:p>
      <w:pPr>
        <w:spacing w:after="0" w:line="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focused on large sources of GHG emissions, such as electric power plants, it is possible that certain components of our operations, such as our gas-fired compressors, could become subject to state-level GHG-related regulation.</w:t>
      </w:r>
    </w:p>
    <w:p>
      <w:pPr>
        <w:spacing w:after="0" w:line="6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As part of rejoining the Paris Agreement, President Biden announced that the United States would commit to a 50 to 52 percent reduction from 2005 levels of GHG emissions by 2030 and set the goal of reaching net-zero GHG emissions by 2050. In November 2021, the Biden Administration expanded on this commitment and announced “The Long-Term Strategy of the United States: Pathways to Net-Zero Greenhouse Gas Emissions by 2050,” establishing a roadmap to net zero emissions in the United States by 2050 through, among other things, improvements in energy efficiency; decarbonization of energy sources via electricity, hydrogen, and sustainable biofuels; and reductions in non-CO2 GHG emissions, such as methane and nitrous oxide. These initiatives followed a series of executive orders by President Biden designed to address climate change. For example, the Executive Order on “Protecting Public Health and the Environment and Restoring Science to Tackle the Climate Crisis” called for new regulations and policies to address climate change and suspend,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revise, or rescind, prior agency actions that were identified as conflicting with the Biden Administration’s climate policies. On December 13, 2023, COP28 issued its first global stocktake, which calls on parties, including the US, to contribute to transitioning away from fossil fuels, reduce methane emissions, and increase renewable energy capacity, amongst other things, to achieve net zero by 2050. While the stocktake agreement is not legally binding and has no enforcement mechanism, the US could pass further legislation based on the agreement. Reentry into the Paris Agreement, the related stocktake agreement, new legislation, or President Biden’s executive orders may result in the development of additional regulations or changes to existing regulations, which could have a material adverse effect on our business and that of our customers.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Legislation or regulations that may be adopted to address climate change could also affect the markets for our products, and those of our customers, by making our products more or less desirable than competing sources of energy. For example, the Inflation Reduction Act includes a variety of tax credits to incentivize the development and use of solar, wind, and other alternative energy sources while imposing several new requirements on oil and gas operators. Furthermore, a number of local governments across the country have banned or considered instituting bans on gas-fired appliances in newly constructed homes and other buildings, and federal agencies are considering more stringent safety or efficiency standards that could impact the availability of, access to or demand for gas-fired appliances.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9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Human Capital Resources. </w:t>
      </w:r>
      <w:r>
        <w:rPr>
          <w:rFonts w:ascii="Times New Roman" w:cs="Times New Roman" w:eastAsia="Times New Roman" w:hAnsi="Times New Roman"/>
          <w:sz w:val="14"/>
          <w:szCs w:val="14"/>
          <w:color w:val="auto"/>
        </w:rPr>
        <w:t>We recognize that our continued ability to attract, retain and motivate exceptional employees is vital to ensuring our long-term competitive advantage and the ability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create value for our unitholders. Our employees are critical to our long-term success and are essential to helping us meet our goals. Among other things, we support and incentivize our employees in the following ways:</w:t>
      </w:r>
    </w:p>
    <w:p>
      <w:pPr>
        <w:spacing w:after="0" w:line="51" w:lineRule="exact"/>
        <w:rPr>
          <w:sz w:val="20"/>
          <w:szCs w:val="20"/>
          <w:color w:val="auto"/>
        </w:rPr>
      </w:pPr>
    </w:p>
    <w:p>
      <w:pPr>
        <w:ind w:left="1020" w:right="40" w:hanging="506"/>
        <w:spacing w:after="0" w:line="261" w:lineRule="auto"/>
        <w:tabs>
          <w:tab w:leader="none" w:pos="10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Talent development, compensation and retention – We strive to provide our employees with a rewarding work environment, including the opportunity for success and a platform for personal and professional development. We provide a competitive benefits package designed to attract and retain a skilled and diverse workforce. We offer our employees a comprehensive benefits package, which includes company funded health plan options, vision and dental coverage, healthcare savings account, paid time off, parental leave and flexible spending accounts. We also provide professional training and development opportunities as well as education reimbursement. We also offer employees immediate eligibility in our 401(k) plan with company matching program.</w:t>
      </w:r>
    </w:p>
    <w:p>
      <w:pPr>
        <w:spacing w:after="0" w:line="58"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and safety – Employee health and safety in the workplace is one of our core values. Some of the ways in which we support the health and safety of our employees include wellness programs with incentives and employee assistance programs.</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Inclusion and diversity – We are committed to efforts to increase diversity and foster an inclusive work environment that supports our workforce.</w:t>
      </w:r>
    </w:p>
    <w:p>
      <w:pPr>
        <w:spacing w:after="0" w:line="9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As of December 31, 2023, the Partnership employed 244 people who provide direct, full-time support to our operations. None of our employees are covered by collective bargaining agreements, and we have not experienced any business interruption as a result of any labor disputes.</w:t>
      </w:r>
    </w:p>
    <w:p>
      <w:pPr>
        <w:spacing w:after="0" w:line="37"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Availability of Reports. </w:t>
      </w:r>
      <w:r>
        <w:rPr>
          <w:rFonts w:ascii="Times New Roman" w:cs="Times New Roman" w:eastAsia="Times New Roman" w:hAnsi="Times New Roman"/>
          <w:sz w:val="14"/>
          <w:szCs w:val="14"/>
          <w:color w:val="auto"/>
        </w:rPr>
        <w:t>We make certain filings with the SEC, including, among other filings, this annual report on Form 10-K, quarterly reports on Form 10-Q, current reports on Form 8-K and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amendments and exhibits to those reports, available free of charge through our website, www.summitmidstream.com, as soon as reasonably practicable after the date they are filed with, or furnished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 The SEC maintains a website that contains reports, proxy and information statements, and other information regarding issuers that file electronically with the SEC through the SEC’s website, http://www.sec.gov.</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You should carefully consider the following risk factors in addition to the other information included in this Annual Report. Each of these risk factors could adversely affect our business, operating results and financial condition, as well as adversely affect the value of an investment in our common units: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engaged in a strategic review process, which may pose additional risks to our business, and there can be no assurance as to its outcome.</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announced that our Board of Directors has engaged external advisors to evaluate strategic alternatives for the Partnership with the goal of maximizing value for its unitholders. These alternatives may include, but are not limited to, continued execution of the Partnership’s business plan, sale of assets, refinancing parts or the entirety of its capital structure, sale of the Partnership by merger or cash, or any combination of these and other alternatives. Our exploration of strategic alternatives, including any uncertainty created by this process, involves a number of risks: significant fluctuations in our unit price could occur in response to developments relating to the strategic review process or market speculation regarding any such developments; we may encounter difficulties in hiring, retaining and motivating key personnel during this process or as a result of uncertainties generated by this process or any developments or actions relating to it; we may be involved in future litigation; we may incur substantial increases in general and administrative expense associated with increased legal fees and the need to retain and compensate third-party advisors; and we may experience difficulties in preserving the commercially sensitive information that may need to be disclosed to third parties during this process or in connection with an assessment of our strategic alternatives. The strategic review process also requires significant time and attention from management, which could distract them from other tasks in operating our business.</w:t>
      </w:r>
    </w:p>
    <w:p>
      <w:pPr>
        <w:spacing w:after="0" w:line="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There can be no assurance that this process will result in the consummation of any strategic transaction. If our Board of Directors decides to proceed with a strategic transaction, it may not be at a price that our investors view as attractive relative to the value of our standalone business. Additionally, the closing of any such transaction would be dependent upon a number of factors that may be beyond our control, including, among other factors, market conditions, regulatory factors, industry trends, the interest of third parties in our business and the availability of financing to potential buyers on reasonable terms. If our Board of Directors decides not to proceed with a strategic transaction, this could have a negative effect on the market price and volatility of our common units. The occurrence of any one or more of the above risks could have a material adverse impact on our business, financial condition, results of operations and cash flows.</w:t>
      </w:r>
    </w:p>
    <w:p>
      <w:pPr>
        <w:spacing w:after="0" w:line="56"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have sufficient cash from operations following the establishment of cash reserves and payment of fees and expenses, to enable us to pay distributions to holders of our preferred units and common units.</w:t>
      </w:r>
    </w:p>
    <w:p>
      <w:pPr>
        <w:spacing w:after="0" w:line="3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may not have sufficient available cash from operating surplus each quarter to pay the distributions to holders of our preferred units and common units. We have not made a distribution on our common units or Series A Preferred Units since we announced suspension of those distributions on May 3, 2020. Because our Series A Preferred Units rank senior to our common units with respect to distribution rights, any accrued amounts on our Series A Preferred Units must first be paid prior to our resumption of distributions to our common unitholders. As of December 31, 2023, the amount of accrued and unpaid distributions on the Series A Preferred Units totaled $33.0 million.</w:t>
      </w:r>
    </w:p>
    <w:p>
      <w:pPr>
        <w:spacing w:after="0" w:line="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Further, absent a material change to our business, we do not expect to pay distributions on the common units or Series A Preferred Units in the foreseeable future, and there are restrictions on our ability to pay distributions under our outstanding indebtedness that restrict our ability to pay cash distributions on any of our equity securities. We intend to use our cash flow to reduce debt and invest in our business.</w:t>
      </w:r>
    </w:p>
    <w:p>
      <w:pPr>
        <w:spacing w:after="0" w:line="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amount of cash we can distribute on our units principally depends upon the amount of cash we generate from our operations, which will fluctuate from quarter to quarter based on, among other things:</w:t>
      </w:r>
    </w:p>
    <w:p>
      <w:pPr>
        <w:spacing w:after="0" w:line="39" w:lineRule="exact"/>
        <w:rPr>
          <w:sz w:val="20"/>
          <w:szCs w:val="20"/>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we gather, transport, treat and process;</w:t>
      </w:r>
    </w:p>
    <w:p>
      <w:pPr>
        <w:spacing w:after="0" w:line="93"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production of natural gas and crude oil (and associated volumes of produced water) from wells connected to our gathering systems, which is dependent in part on the demand for, and the market prices of, crude oil, natural gas and NGLs;</w:t>
      </w:r>
    </w:p>
    <w:p>
      <w:pPr>
        <w:spacing w:after="0" w:line="39"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pipelines, facilities, related equipment and surrounding properties caused by earthquakes, floods, fires, severe weather, explosions and other natural disasters, accidents and acts of terrorism;</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leaks or accidental releases of hazardous materials into the environment;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seasonal trends;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fees we charge for our services;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contractual MVCs and our customer’s capacity to make MVC shortfall payments when due;</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competition from other midstream energy companies in our areas of operation;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our operating, maintenance and general and administrative expenses;</w:t>
      </w:r>
    </w:p>
    <w:p>
      <w:pPr>
        <w:spacing w:after="0" w:line="93" w:lineRule="exact"/>
        <w:rPr>
          <w:rFonts w:ascii="Times New Roman" w:cs="Times New Roman" w:eastAsia="Times New Roman" w:hAnsi="Times New Roman"/>
          <w:sz w:val="14"/>
          <w:szCs w:val="14"/>
          <w:color w:val="auto"/>
        </w:rPr>
      </w:pPr>
    </w:p>
    <w:p>
      <w:pPr>
        <w:ind w:left="1020" w:right="80" w:hanging="506"/>
        <w:spacing w:after="0" w:line="287" w:lineRule="auto"/>
        <w:tabs>
          <w:tab w:leader="none" w:pos="10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 affecting the supply of, or demand for, crude oil, natural gas and NGLs, the fees we can charge, how we contract for services, our existing contracts, our operating and maintenance costs or our operating flexibility;</w:t>
      </w:r>
    </w:p>
    <w:p>
      <w:pPr>
        <w:spacing w:after="0" w:line="39" w:lineRule="exact"/>
        <w:rPr>
          <w:rFonts w:ascii="Times New Roman" w:cs="Times New Roman" w:eastAsia="Times New Roman" w:hAnsi="Times New Roman"/>
          <w:sz w:val="14"/>
          <w:szCs w:val="14"/>
          <w:color w:val="auto"/>
        </w:rPr>
      </w:pPr>
    </w:p>
    <w:p>
      <w:pPr>
        <w:ind w:left="1020" w:right="460" w:hanging="506"/>
        <w:spacing w:after="0" w:line="287" w:lineRule="auto"/>
        <w:tabs>
          <w:tab w:leader="none" w:pos="10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impacts from the COVID-19 pandemic or other epidemics, including disruptions in demand for oil, natural gas and other petroleum products, supply chain disruptions, and decreased productivity resulting from illness, travel restrictions, quarantine, or government mandates;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economic and market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actual amount of cash we have available for distribution to our common unitholders depends on other factors, some of which are beyond our control, including:</w:t>
      </w:r>
    </w:p>
    <w:p>
      <w:pPr>
        <w:spacing w:after="0" w:line="94" w:lineRule="exact"/>
        <w:rPr>
          <w:sz w:val="20"/>
          <w:szCs w:val="20"/>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and timing of capital expenditures we make;</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our operating, maintenance and general and administrative expenses;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acquisitions, if any;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sell assets, if any, and the price that we may receive for such assets;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service requirements and other liabilities;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our working capital needs;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funds and access the debt and equity capital markets;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contained in our debt agreements;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reserves established by our General Partner;</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receiving anticipated shortfall payments from our customers;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legal judgments, fines and settlements;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paid on our Series A Preferred Units, if any, or on the preferred stock of our subsidiaries, including our Subsidiary Series A Preferred Units;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risks affecting our cash levels.</w:t>
      </w:r>
    </w:p>
    <w:p>
      <w:pPr>
        <w:spacing w:after="0" w:line="9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depend on a relatively small number of customers for a significant portion of our revenues. For example, Caerus, a customer in our Piceance segment accounts for over 10% of our consolidated revenue. The loss of, or material nonpayment or nonperformance by, or the curtailment of production by, any one or more of our customers could materially adversely affect our revenues, cash flows and results of operations.</w:t>
      </w:r>
    </w:p>
    <w:p>
      <w:pPr>
        <w:spacing w:after="0" w:line="5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cash flows and results of operations. We expect our exposure to concentrated risk of nonpayment or nonperformance to continue as long as we remain substantially dependent on a relatively small number of customers for a significant portion of our revenues.</w:t>
      </w:r>
    </w:p>
    <w:p>
      <w:pPr>
        <w:spacing w:after="0" w:line="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any of our customers curtail or reduce production in our areas of operation, it could reduce throughput on our systems and, therefore, materially adversely affect our revenues, cash flows and results of operations.</w:t>
      </w:r>
    </w:p>
    <w:p>
      <w:pPr>
        <w:spacing w:after="0" w:line="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An extended low commodity price environment negatively impacts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3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cash flows. In addition, there can be no assurance that our contract counterparties will perform or adhere to existing or future contractual arrangements, including making any required shortfall payments or other payments due under their respective contracts.</w:t>
      </w:r>
    </w:p>
    <w:p>
      <w:pPr>
        <w:spacing w:after="0" w:line="5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spacing w:after="0" w:line="3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spacing w:after="0" w:line="5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prolonged weakness in natural gas, NGL and crude oil prices could reduce throughput on our systems and materially adversely affect our revenues and results of operations.</w:t>
      </w:r>
    </w:p>
    <w:p>
      <w:pPr>
        <w:spacing w:after="0" w:line="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Lower natural gas, NGL and crude oil prices could negatively impact exploration, development and production of natural gas and crude oil, thereby resulting in reduced throughput on our gathering systems. If natural gas, NGL and/or crude oil prices decrease, it could cause sustained reductions in exploration or production activity in our areas of operation and result in a further reduction in throughput on our systems, which could have a material adverse effect on our business, financial condition, results of operations and cash flows. In the latter half of 2022 and the first half of 2023, the Henry Hub Natural Gas Spot Price declined from a monthly average of $8.81 per MMBtu in August 2022 to a monthly average of $2.18 per MMBtu in June 2023, before rising slightly in the second half of 2023 to close the year at $2.58 per MMBtu on December 29, 2023. As of January 31, 2024, Henry Hub 12-month strip pricing closed at $2.10 per MMBtu. Cushing, Oklahoma West Texas Intermediate crude oil spot prices similarly trended down in the latter half of 2022 through early 2023, from a monthly average of $114.84 per barrel in June 2022 to a monthly average of $70.25 per barrel in June 2023, closing the year at $71.89 per barrel on December 29, 2023. As of January 31, 2024, West Texas Intermediate 12-month strip pricing closed at $75.85 per barrel.</w:t>
      </w:r>
    </w:p>
    <w:p>
      <w:pPr>
        <w:spacing w:after="0" w:line="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spacing w:after="0" w:line="3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spacing w:after="0" w:line="5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spacing w:after="0" w:line="39" w:lineRule="exact"/>
        <w:rPr>
          <w:sz w:val="20"/>
          <w:szCs w:val="20"/>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and projected hydrocarbon commodity prices;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crude oil, natural gas and other hydrocarbon products, including NGLs;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reserves;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geological considerations;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or other governmental regulations, including the availability of drilling permits and the regulation of hydraulic fracturing;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drilling rigs and other costs of production and equipment.</w:t>
      </w:r>
    </w:p>
    <w:p>
      <w:pPr>
        <w:spacing w:after="0" w:line="9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spacing w:after="0" w:line="51"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economic and geopolitical conditions;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or national health concerns, including the outbreak of pandemic or contagious disease, such as COVID-19, which may reduce demand for crude oil, natural gas and NGLs because of reduced global or national economic activity;</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seasonal trends;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levels of domestic production and consumer demand;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imported liquefied natural gas (“LNG”);</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export LNG;</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transportation and storage systems with adequate capacity;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volatility and uncertainty of regional pricing differentials and premiums;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availability of alternative fuels, including alternative fuels that benefit from government subsidies;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energy conservation measures;</w:t>
      </w:r>
    </w:p>
    <w:p>
      <w:pPr>
        <w:spacing w:after="0" w:line="11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the cost and availability of alternative energy sources;</w:t>
      </w:r>
    </w:p>
    <w:p>
      <w:pPr>
        <w:spacing w:after="0" w:line="70" w:lineRule="exact"/>
        <w:rPr>
          <w:rFonts w:ascii="Arial" w:cs="Arial" w:eastAsia="Arial" w:hAnsi="Arial"/>
          <w:sz w:val="17"/>
          <w:szCs w:val="17"/>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and extent of governmental regulation and taxation;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future prices of crude oil, natural gas and other hydrocarbon products, including NGLs.</w:t>
      </w:r>
    </w:p>
    <w:p>
      <w:pPr>
        <w:spacing w:after="0" w:line="9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results of operations.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transportation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spacing w:after="0" w:line="5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Many of our costs are fixed and do not vary with our throughput. These costs will not decline ratably or at all should we experience a reduction in throughput, which could result in a decline in our revenues and cash flows and materially adversely affect our results of operations and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customers do not increase the volumes they provide to our gathering systems, our results of operations and financial condition may be materially adversely affected.</w:t>
      </w:r>
    </w:p>
    <w:p>
      <w:pPr>
        <w:spacing w:after="0" w:line="9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If we are unsuccessful in attracting new customers and/or new gathering opportunities with existing customers, our results of operations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our gathering and processing agreements contain provisions that can reduce the cash flow stability that the agreements were designed to achieve.</w:t>
      </w:r>
    </w:p>
    <w:p>
      <w:pPr>
        <w:spacing w:after="0" w:line="9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w:t>
      </w:r>
    </w:p>
    <w:p>
      <w:pPr>
        <w:spacing w:after="0" w:line="59"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not obtained independent evaluations of all of the reserves connected to our gathering systems; therefore, in the future, customer volumes on our systems could be less than we anticipate.</w:t>
      </w:r>
    </w:p>
    <w:p>
      <w:pPr>
        <w:spacing w:after="0" w:line="3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spacing w:after="0" w:line="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Accordingly, we may not have accurate estimates of total reserves dedicated to our systems or the anticipated life of such reserves. If the total reserves or estimated life of the reserves connected to our gathering systems are less than we anticipate and we are unable to secure additional volumes, it could have a material adverse effect on our business, results of operations and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industry is highly competitive, and increased competitive pressure could materially adversely affect our business and operating results.</w:t>
      </w:r>
    </w:p>
    <w:p>
      <w:pPr>
        <w:spacing w:after="0" w:line="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spacing w:after="0" w:line="5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renew or replace expiring contracts at favorable rates or on a long-term basis.</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gathering, treating, transportation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spacing w:after="0" w:line="58" w:lineRule="exact"/>
        <w:rPr>
          <w:sz w:val="20"/>
          <w:szCs w:val="20"/>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existing and new competition to provide gathering and/or processing services in our areas of operation;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macroeconomic factors affecting gathering, treating, transporting and processing economics for our current and potential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of supply and demand, on a short-term, seasonal and long-term basis, in our markets;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customers in our areas of operation are willing to contract on a long-term basis;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federal, state or local regulations on the contracting practices of our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extent we are unable to renew our existing contracts on terms that are favorable to us or successfully manage our overall contract mix over time, our revenues and cash flows could decline.</w:t>
      </w:r>
    </w:p>
    <w:p>
      <w:pPr>
        <w:spacing w:after="0" w:line="92"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third-party pipelines or other midstream facilities interconnected to our gathering systems become partially or fully unavailable, our revenues and cash flows could be materially adversely affected.</w:t>
      </w:r>
    </w:p>
    <w:p>
      <w:pPr>
        <w:spacing w:after="0" w:line="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results of operations could be materially adversely affected.</w:t>
      </w:r>
    </w:p>
    <w:p>
      <w:pPr>
        <w:spacing w:after="0" w:line="5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Extended periods of below freezing weather and unseasonably wet weather conditions, especially in North Dakota, Colorado, Ohio, Texas and West Virginia,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transporting and processing systems, including interruptions in service. These types of interruptions could negatively impact our ability to meet our contractual obligations to our customers and thereby give rise to certain termination rights and/or the release of dedicated acreage. Any resulting terminations or releases could materially adversely affect our business and results of operations.</w:t>
      </w:r>
    </w:p>
    <w:p>
      <w:pPr>
        <w:spacing w:after="0" w:line="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mountainous areas such as our Utica Shale and Marcellus Shale operations,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Interruptions in operations at any of our facilities may adversely affect our operations and cash flows available for distribution to our unitholders.</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operations depend upon the infrastructure that we have developed and constructed. Any significant interruption at any of our gathering, treating, transporting or processing facilities, or in our ability to provide gathering, treating, transporting or processing services, could adversely affect our operations and cash flows available for distribution to our unitholders. Operations at our facilities could be partially or completely shut down, temporarily or permanently, as the result of circumstances not within our control, such as:</w:t>
      </w:r>
    </w:p>
    <w:p>
      <w:pPr>
        <w:spacing w:after="0" w:line="51"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unscheduled turnarounds or catastrophic events at our physical plants or pipeline facilities;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governmental authorities or court proceedings;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difficulties that result in a work stoppage or slowdown;</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the supply of resources necessary to operate our midstream facilities;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facilities resulting from production volumes that do not comply with applicable specifications; and</w:t>
      </w:r>
    </w:p>
    <w:p>
      <w:pPr>
        <w:spacing w:after="0" w:line="93"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transportation and/or market access to support production volumes, including lack of pipeline, rail terminals, produced water disposal facilities and/or third-party processing capacity.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Any significant interruption at any of our gathering, treating, transporting or processing facilities, or in our ability to provide gathering, treating, transporting or processing services, could adversely affect our operations and cash flows available for distribution to our unitholders.</w:t>
      </w:r>
    </w:p>
    <w:p>
      <w:pPr>
        <w:spacing w:after="0" w:line="3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are subject to all of the risks and hazards inherent in the operation of gathering, treating, transporting and processing systems, including:</w:t>
      </w:r>
    </w:p>
    <w:p>
      <w:pPr>
        <w:spacing w:after="0" w:line="94" w:lineRule="exact"/>
        <w:rPr>
          <w:sz w:val="20"/>
          <w:szCs w:val="20"/>
          <w:color w:val="auto"/>
        </w:rPr>
      </w:pPr>
    </w:p>
    <w:p>
      <w:pPr>
        <w:ind w:left="760" w:right="120" w:hanging="246"/>
        <w:spacing w:after="0" w:line="287" w:lineRule="auto"/>
        <w:tabs>
          <w:tab w:leader="none" w:pos="7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pipelines, processing plants, compression assets, related equipment and surrounding properties caused by tornadoes, floods, freezes, fires and other natural disasters and acts of terrorism;</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inadvertent damage from construction, vehicles, farm and utility equipment;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leaks or losses resulting from the malfunction of equipment or facilities;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ruptures, fires and explosions;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hazards that could also result in personal injury and loss of life, pollution and suspension of operations.</w:t>
      </w:r>
    </w:p>
    <w:p>
      <w:pPr>
        <w:spacing w:after="0" w:line="9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These risks could result in substantial losses due to personal injury and/or loss of life, severe damage to and destruction of property and equipment and pollution or other environmental damage. The location of certain of our systems in or near populated areas, including residential areas, commercial business centers and industrial sites, could increase the damages resulting from such events.</w:t>
      </w:r>
    </w:p>
    <w:p>
      <w:pPr>
        <w:spacing w:after="0" w:line="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These events may also result in the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w:t>
      </w:r>
    </w:p>
    <w:p>
      <w:pPr>
        <w:spacing w:after="0" w:line="6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including any reluctance by insurance companies to insure oil and gas operations for political or other reasons,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spacing w:after="0" w:line="59"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fail to successfully integrate gathering system acquisitions into our existing business in a timely manner, which could have a material adverse effect on our business, results of operations, and financial condition, or fail to realize all of the expected benefits of the acquisitions, which could negatively impact our future results of operations.</w:t>
      </w:r>
    </w:p>
    <w:p>
      <w:pPr>
        <w:spacing w:after="0" w:line="3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Integration of gathering system acquisitions, such as the 2022 DJ Acquisitions, can be a complex, time-consuming and costly process, particularly if the acquired assets significantly increase our size and/or (i) diversify the geographic areas in which we operate or (ii) the service offerings that we provide.</w:t>
      </w:r>
    </w:p>
    <w:p>
      <w:pPr>
        <w:spacing w:after="0" w:line="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failure to successfully integrate the acquired assets with our existing business in a timely manner may have a material adverse effect on our business, results of operations and financial condition. If any of the risks described above or in the immediately preceding risk factor or unanticipated liabilities or costs were to materialize with respect to future acquisitions or if the acquired assets were to perform at levels below the forecasts we used to evaluate them, then the anticipated benefits from the acquisition may not be fully realized, if at all, and our future results of operations and financial condition could be negatively impacted.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construction of new assets may not result in revenue increases and will be subject to regulatory, environmental, political, legal and economic risks, which could materially adversely affect our results of operations and financial condition.</w:t>
      </w:r>
    </w:p>
    <w:p>
      <w:pPr>
        <w:spacing w:after="0" w:line="3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construction of new assets, including for example, the Double E Pipeline, which was placed into service in November 2021, involve numerous regulatory, environmental, political, legal and economic uncertainties that are beyond our control.</w:t>
      </w:r>
    </w:p>
    <w:p>
      <w:pPr>
        <w:spacing w:after="0" w:line="3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Such construction projects may also require the expenditure of significant amounts of capital and financing, traditional or otherwise, that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spacing w:after="0" w:line="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the construction of additions or modifications to our existing gathering, treating, transporting and processing assets and the construction of new midstream assets may require us to obtain federal, state and local regulatory environmental or other authorizations. The approval process for gathering, treating, transporting and processing activities has become increasingly challenging, due in part to state and local concerns related to unregulated exploration and production and gathering, treating, transporting and processing activities in new production areas. Such authorization may not be granted or, if granted, such authorization may include burdensome or expensive conditions. As a result, we may be unable to obtain such authorizations and may, therefore, be unable to connect new volumes to our systems or capitalize on other attractive expansion opportunities. A future government shutdown could delay the receipt of any federal regulatory approvals. Additionally, it may become more expensive for us to obtain authorizations or to renew existing authorizations. If the cost of renewing or obtaining new authorizations increases materially, our cash flows could be materially adversely affected.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own all of the land on which our pipelines and facilities are located, which could result in disruptions to our operations.</w:t>
      </w:r>
    </w:p>
    <w:p>
      <w:pPr>
        <w:spacing w:after="0" w:line="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facilities. Our loss of these rights, through our inability to renew right-of-way contracts or otherwise, could have a material adverse effect on our business, results of operations and financial condition.</w:t>
      </w:r>
    </w:p>
    <w:p>
      <w:pPr>
        <w:spacing w:after="0" w:line="56"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operate our business effectively could be impaired if we fail to attract and retain key personnel, and a shortage of skilled labor in the midstream energy industry could reduce employee productivity and increase costs, which could have a material adverse effect on our business and results of operations.</w:t>
      </w:r>
    </w:p>
    <w:p>
      <w:pPr>
        <w:spacing w:after="0" w:line="3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spacing w:after="0" w:line="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Furthermore, as a result of labor shortages we have experienced difficulty in recruiting and hiring skilled labor throughout our organization. The operation of gathering, treating, transporting and processing systems requires skilled laborers in multiple disciplines such as equipment operators, mechanics and engineers, among others. If we continue to experience shortages of skilled labor in the future, our labor and overall productivity or costs could be materially adversely affected. If our labor prices increase or if we experience materially increased health and benefit costs with respect to our General Partner's employees, our business and results of operations could be materially adversely affected.</w:t>
      </w:r>
    </w:p>
    <w:p>
      <w:pPr>
        <w:spacing w:after="0" w:line="5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transition from hydrocarbon energy sources to alternative energy sources could lead to changes in demand, technology and public sentiment which could have material adverse effects on our business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Increased public attention on climate change and corresponding changes in consumer, commercial and industrial preferences and behavior regarding energy use and generation may result in: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right="180" w:hanging="506"/>
        <w:spacing w:after="0" w:line="287" w:lineRule="auto"/>
        <w:tabs>
          <w:tab w:leader="none" w:pos="10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advances with respect to the generation, transmission, storage and consumption of energy (including advances in wind, solar and hydrogen power, as well as battery technology);</w:t>
      </w:r>
    </w:p>
    <w:p>
      <w:pPr>
        <w:spacing w:after="0" w:line="39" w:lineRule="exact"/>
        <w:rPr>
          <w:rFonts w:ascii="Times New Roman" w:cs="Times New Roman" w:eastAsia="Times New Roman" w:hAnsi="Times New Roman"/>
          <w:sz w:val="14"/>
          <w:szCs w:val="14"/>
          <w:color w:val="auto"/>
        </w:rPr>
      </w:pPr>
    </w:p>
    <w:p>
      <w:pPr>
        <w:ind w:left="1020" w:right="40" w:hanging="506"/>
        <w:spacing w:after="0" w:line="287" w:lineRule="auto"/>
        <w:tabs>
          <w:tab w:leader="none" w:pos="10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availability of, and increased demand from consumers and industry for, energy sources other than crude oil and natural gas (including wind, solar, nuclear, and geothermal sources as well as electric vehicles); and</w:t>
      </w:r>
    </w:p>
    <w:p>
      <w:pPr>
        <w:spacing w:after="0" w:line="39" w:lineRule="exact"/>
        <w:rPr>
          <w:rFonts w:ascii="Times New Roman" w:cs="Times New Roman" w:eastAsia="Times New Roman" w:hAnsi="Times New Roman"/>
          <w:sz w:val="14"/>
          <w:szCs w:val="14"/>
          <w:color w:val="auto"/>
        </w:rPr>
      </w:pPr>
    </w:p>
    <w:p>
      <w:pPr>
        <w:ind w:left="1020" w:right="680" w:hanging="506"/>
        <w:spacing w:after="0" w:line="287" w:lineRule="auto"/>
        <w:tabs>
          <w:tab w:leader="none" w:pos="10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Such developments relating to a transition from oil and gas to alternative energy sources and a lower-carbon economy may reduce the demand for natural gas and crude oil and other products made from hydrocarbons. For example, in November 2023, the international community, including over 150 governments, gathered in Dubai at COP28 and announced a new climate deal that calls on countries to ratchet up action on climate, and, on December 13, 2023, COP28 issued its first global stocktake, which calls on parties, including the US, to contribute to transitioning away from fossil fuels, reduce methane emissions, and increase renewable energy capacity, amongst other things, to achieve net zero by 2050. Any significant decrease in the demand for natural gas and crude oil resulting from such developments could reduce the volumes of natural gas and crude oil that we gather and process, which could adversely affect our business and operating results.</w:t>
      </w:r>
    </w:p>
    <w:p>
      <w:pPr>
        <w:spacing w:after="0" w:line="5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Furthermore, if any such developments reduce the desirability of participating in the midstream oil and gas industry, then such developments could also reduce the availability to us of necessary third-party services or facilities that we rely on, which could increase our operational costs and have an adverse effect on our business and results of operations.</w:t>
      </w:r>
    </w:p>
    <w:p>
      <w:pPr>
        <w:spacing w:after="0" w:line="3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Such developments and accompanying societal expectations on companies to address climate change, investor and societal expectations regarding voluntary ESG initiatives and disclosures could, among other things, increase costs related to compliance and stakeholder engagement, increase reputational risk and negatively impact our access to and cost of accessing capital. For example, some prominent investors have announced their intention to no longer invest in the oil and gas sector, citing climate change concerns. If other financial institutions and investors refuse to invest in or provide capital to the oil and gas sector in the future because of these reputational risks, that could result in capital being unavailable to us, or only at significantly increased cost.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Finances</w:t>
      </w:r>
    </w:p>
    <w:p>
      <w:pPr>
        <w:spacing w:after="0" w:line="94"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Limited access to and/or availability of the commercial bank market or debt and equity capital markets could impair our ability to grow or cause us to be unable to meet future capital requirements.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the ABL Facility or the Permian Transmission Credit Facilities.</w:t>
      </w:r>
    </w:p>
    <w:p>
      <w:pPr>
        <w:spacing w:after="0" w:line="5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4"/>
          <w:szCs w:val="14"/>
          <w:color w:val="auto"/>
        </w:rPr>
        <w:t>We plan to use cash from operations, incur borrowings and/or sell additional common units or other securities to fund our future expansion capital expenditures. Using cash from operations to fund expansion capital expenditures will directly reduce any cash available for distribution to unitholders, if any. Our ability to obtain financing or to access the capital markets for future debt or equity offerings may be limited by (i) our financial condition at the time of any such financing or offering, (ii) covenants in our debt agreements, (iii) restrictions imposed by our Series A Preferred Units,</w:t>
      </w:r>
    </w:p>
    <w:p>
      <w:pPr>
        <w:ind w:right="20" w:firstLine="5"/>
        <w:spacing w:after="0" w:line="255" w:lineRule="auto"/>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contingencies, (v) increasing disfavor among many investors towards investments in fossil fuel companies and (vi) general weakness in the debt and equity capital markets and other uncertainties that are beyond our control, including political uncertainty in the U.S. (including the ongoing debates related to the U.S. federal government budget), volatility and disruption in global capital and credit markets (including those resulting from geopolitical events, such as the Russian invasion of Ukraine or the continued conflict in the Middle East), uncertainty regarding increases or decreases in interest rates resulting from changes in the federal funds rate range targeted by the Federal Reserve, pandemics, epidemics and other outbreaks, such as COVID-19, or other adverse developments that affect financial institutions. In addition, lenders are facing increasing pressure to curtail their lending activities to companies in the oil and natural gas industry. Furthermore, market demand for equity issued by master limited partnerships has been significantly lower in recent years than it has been historically, which may make it more challenging for us to finance our expansion capital expenditures and acquisition capital expenditures with the issuance of additional equity.</w:t>
      </w:r>
    </w:p>
    <w:p>
      <w:pPr>
        <w:spacing w:after="0" w:line="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have not made a distribution on our common units or Series A Preferred Units since we announced suspension of those distributions on May 3, 2020, and these suspensions of distributions may further reduce demand for our common units or Series A Preferred Units. Because our Series A Preferred Units rank senior to our common units with respect to distribution rights, any accrued amounts on our Series A Preferred Units must first be paid prior to our resumption of distributions to our common unitholders. As of December 31, 2023, the amount of accrued and unpaid distributions on the Series A Preferred Units totaled $33.0 million. Further, absent a material change to our business, we do not expect to pay distributions on the common units or Series A Preferred Units in the foreseeable future. Additionally, there are restrictions on our ability to pay distributions under our outstanding indebtedness that restrict our ability to pay cash distributions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distributions to our common unitholders. In addition, incurring additional debt may significantly increase our interest expense and financial leverage, and issuing additional units representing limited partner interests may result in significant common unitholder dilution and increase the aggregate amount of cash required to pay distributions to our unitholders, which could materially decrease our ability to pay such distributions.</w:t>
      </w:r>
    </w:p>
    <w:p>
      <w:pPr>
        <w:spacing w:after="0" w:line="6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3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At December 31, 2023, we had $1.5 billion of indebtedness outstanding, and the unused portion of the ABL Facility totaled $82.7 million after giving effect to the issuance of $4.3 million in outstanding but undrawn irrevocable standby letters of credit. See Note 9 - Debt of the notes to our consolidated financial statements included in Item 8 of this Annual Report for further discussion of our debt obligations. Our existing and future debt services obligations could have significant consequences, including among other things:</w:t>
      </w:r>
    </w:p>
    <w:p>
      <w:pPr>
        <w:spacing w:after="0" w:line="51" w:lineRule="exact"/>
        <w:rPr>
          <w:sz w:val="20"/>
          <w:szCs w:val="20"/>
          <w:color w:val="auto"/>
        </w:rPr>
      </w:pPr>
    </w:p>
    <w:p>
      <w:pPr>
        <w:ind w:left="760" w:right="280" w:hanging="246"/>
        <w:spacing w:after="0" w:line="287" w:lineRule="auto"/>
        <w:tabs>
          <w:tab w:leader="none" w:pos="7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if necessary, for working capital, capital expenditures, acquisitions or other purposes and/or obtaining such financing on favorable terms;</w:t>
      </w:r>
    </w:p>
    <w:p>
      <w:pPr>
        <w:spacing w:after="0" w:line="39"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our funds available for operations, future business opportunities and cash distributions to unitholders by that portion of our cash flow required to make interest payments on our debt;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competitive pressures or a downturn in our business or the economy generally;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responding to changing business and economic conditions.</w:t>
      </w:r>
    </w:p>
    <w:p>
      <w:pPr>
        <w:spacing w:after="0" w:line="9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spacing w:after="0" w:line="3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indebtedness and may be forced to take other actions to satisfy our obligations under our indebtedness or to refinance, which may not be successful.</w:t>
      </w:r>
    </w:p>
    <w:p>
      <w:pPr>
        <w:spacing w:after="0" w:line="3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Our ability to make scheduled payments on, or to refinance, our indebtedness obligations, including the ABL Facility and the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2025 Senior Notes will mature on April 15, 2025. The 2026 Unsecured Notes will mature on October 15, 2026. 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 As of December 31, 2023, $49.8 million of the 2025 Senior Notes, $209.5 million of the 2026 Unsecured Notes and $785.0 million of the 2026 Secured Notes were outstanding.</w:t>
      </w:r>
    </w:p>
    <w:p>
      <w:pPr>
        <w:spacing w:after="0" w:line="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ABL Facility will mature on May 1, 2026; provided that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As of December 31, 2023, the outstanding balance of the 2025 Senior Notes was $49.8 million.</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w:t>
      </w:r>
    </w:p>
    <w:p>
      <w:pPr>
        <w:spacing w:after="0" w:line="5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indentures governing the Senior Notes and the ABL Facility place certain restrictions on our ability to dispose of assets and our use of the proceeds from such dispositions. We may not be able to consummate those dispositions on terms acceptable to it, if at all, and the proceeds of any such dispositions may not be adequate to meet any debt service obligations then due.</w:t>
      </w:r>
    </w:p>
    <w:p>
      <w:pPr>
        <w:spacing w:after="0" w:line="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other debt agreements), the lenders under the ABL Facility could terminate their commitments to extend credit, and the lenders could foreclose against our assets securing their borrowings and we could be forced into bankruptcy or liquidation. If the amounts outstanding under our debt agreements were to be accelerated, we cannot assure you that our assets would be sufficient to repay in full the amounts owed to our creditors.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Restrictions in the Permian Transmission Credit Facilities, the indentures governing the Senior Notes and the ABL Facility could materially adversely affect our business, financial condition, results of operations, ability to satisfy these obligations to make cash distributions to unitholders and value of our common units.</w:t>
      </w:r>
    </w:p>
    <w:p>
      <w:pPr>
        <w:spacing w:after="0" w:line="3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are dependent upon the earnings and cash flows generated by our operations to meet our debt service obligations and to make cash distributions to our unitholders, if any. The operating and financial restrictions and covenants in the Permian Transmission Credit Facilities, the indentures governing the Senior Notes, the ABL Facility and any future financing agreements could restrict our ability to finance future operations or capital needs or to expand or pursue our business activities, which may, in turn, limit our ability to satisfy our obligations and make cash distributions to our unitholders. For example, the ABL Facility, the Permian Transmission Credit Facilities and the indentures governing the Senior Notes, taken together, restrict our ability to, among other things:</w:t>
      </w:r>
    </w:p>
    <w:p>
      <w:pPr>
        <w:spacing w:after="0" w:line="56" w:lineRule="exact"/>
        <w:rPr>
          <w:sz w:val="20"/>
          <w:szCs w:val="20"/>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guarantee certain additional debt;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cash distributions on or redeem or repurchase certain units;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payments on certain other indebtedness;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investments and acquisitions;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capital expenditures;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certain liens or other encumbrances or permit them to exist;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types of transactions with affiliates;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 and lease-back transactions and certain operating leases;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with another company or otherwise engage in a change of control transaction;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sell or otherwise dispose of certain assets.</w:t>
      </w:r>
    </w:p>
    <w:p>
      <w:pPr>
        <w:spacing w:after="0" w:line="9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spacing w:after="0" w:line="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provisions of the Permian Transmission Credit Facilities, the indentures governing the Senior Notes, and the ABL Facility may affect our ability to obtain future financing and pursue attractive business opportunities as well as affect our flexibility in planning for, and reacting to, changes in business conditions. In addition, a failure to comply with the provisions of the Permian Transmission Credit Facilities, the indentures governing the Senior Notes, and the ABL Facility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ABL Facility could proceed against the collateral granted to them to secure such debt. If the payment of the debt is accelerated, our assets may be insufficient to repay such debt in full, and our unitholders could experience a partial or total loss of their investment. The ABL Facility also has cross default provisions that apply to any other indebtedness we may have, and the indentures governing the Senior Notes have cross default provisions that apply to certain other indebtedness. Any of these restrictions in the ABL Facility, the Permian Transmission Credit Facilities and the indentures governing the Senior Notes could materially adversely affect our business, financial condition, cash flows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interest rate on the 2026 Secured Notes will be increased if the Partnership fails to make certain offers to purchase 2026 Secured Notes.</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Under the 2026 Secured Notes Indenture, the Partnership is required, starting in the first quarter of 2023 with respect to the fiscal year ended December 31, 2022, and continuing annually through the fiscal year ending December 31, 2025, subject to its ability to do so under the ABL Facility, to purchase an amount of 2026 Secured Notes equal to 100% of the Excess Cash Flow (as defined in the 2026 Secured Notes Indenture) minus certain agreed amounts, if any, generated in the prior year at a purchase price equal to 100% of the principal amount plus accrued and unpaid interest. Excess Cash Flow is generally defined as consolidated cash flow minus the sum of capital expenditures and cash payments in respect of permitted investments and permitted restricted payments. Generally, if the Partnership does not offer to purchase designated annual amounts of its 2026 Secured Notes for the Excess Cash Flow periods ending 2022, 2023 or 2024, the interest rate on the 2026 Secured Notes is subject to certain rate escalations. Because the Partnership did not offer to purchase at least $50.0 million in aggregate principal amount of 2026 Secured Notes by April 1, 2023, the interest rate on the 2026 Secured Notes automatically increased by 50 basis points per annum. If the Partnership has not offered to purchase $100.0 million in aggregate principal amount of 2026 Secured Notes by April 1, 2024, the interest rate on the 2026 Secured Notes shall automatically increase by 100 basis points per annum (minus any amount previously increased). If the Partnership has not offered to purchase at least $200.0 million in</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aggregate principal amount of 2026 Secured Notes by April 1, 2025, the interest rate on the 2026 Secured Notes shall automatically increase by 200 basis points per annum (minus any amount previously increased). We do not anticipate making offers to purchase in the designated amount for the fiscal year ended 2023, and, as a result, the interest rate on the 2026 Secured Notes will increase an incremental 50 basis points to 9.50% effective April 1, 2024, resulting in an incremental increase in annual interest expense of approximately $3.9 million. An increase in the interest rates associated with our 2026 Secured Notes would adversely affect our results of operations and reduce cash flow available for other purposes, including making other required payments of our debt obligations or capital expenditures. In addition, an increase in interest rates on the 2026 Secured Notes could adversely affect our future ability to obtain financing on attractive terms or materially increase the cost of any additional financing.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could have adverse effects on our results of operation.</w:t>
      </w:r>
    </w:p>
    <w:p>
      <w:pPr>
        <w:spacing w:after="0" w:line="9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Although inflation in the United States had been relatively low for many years, there was a significant increase in inflation beginning in the second half of 2021 through 2023 due to a substantial increase in money supply, a stimulative fiscal policy, a significant rebound in consumer demand as COVID-19 restrictions were relaxed, the Russia-Ukraine war and worldwide supply chain disruptions resulting from the economic contraction caused by COVID-19 and lockdowns followed by a rapid recovery. Inflation rose from 5.4% in June 2021 to 7.0% in December 2021 to 8.2% in September 2022.</w:t>
      </w:r>
    </w:p>
    <w:p>
      <w:pPr>
        <w:spacing w:after="0" w:line="5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While inflation has declined since the second half of 2022, declining to 3.4% in December 2023, further increases in inflation in 2024 could increase our labor and other operating costs and the overall cost of capital projects we undertake. An increase in inflation rates could negatively affect the Partnership’s profitability and cash flows, due to higher wages, higher operating costs, higher financing costs, and/or higher supplier prices. The Partnership may be unable to pass along such higher costs to its customers. In addition, inflation may adversely affect customers’ financing costs, cash flows, and profitability, which could adversely impact their operations and the Partnership’s ability to offer credit and collect receivables.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increase in interest rates will cause our debt service obligations to increase.</w:t>
      </w:r>
    </w:p>
    <w:p>
      <w:pPr>
        <w:spacing w:after="0" w:line="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Since March 2022, the Federal Reserve has raised its target range for the federal funds rate multiple times to a current target range of 5.25% to 5.50%, and the timing of any potential further increases or decreases remains uncertain. Borrowings under the ABL Facility and the Permian Transmission Credit Facilities bear interest at rates equal to SOFR plus margin. The interest rates are subject to adjustment based on fluctuations in SOFR,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downgrade of our credit rating could impact our liquidity, access to capital and our costs of doing business, and independent third parties determine our credit ratings outside of our control.</w:t>
      </w:r>
    </w:p>
    <w:p>
      <w:pPr>
        <w:spacing w:after="0" w:line="9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Moody’s Investors Service, Inc., Standard &amp; Poor’s Ratings Services or Fitch Ratings, Inc. assign ratings to our senior unsecured credit from time to time. A downgrade of our credit rating could increase our future cost of borrowing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 the past and may in the future incur losses due to an impairment in the carrying value of our long-lived assets or equity method investments.</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recorded long-lived asset impairments of $0.5 million in 2023 and $91.6 million in 2022.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market-and income-based approaches. We evaluate our equity method investments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commodity prices, may affect our estimate of future operating results, which could result in future impairment due to the potential impact on our operations and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portion of our revenues are directly exposed to changes in crude oil, natural gas and NGL prices, and our exposure may increase in the future.</w:t>
      </w:r>
    </w:p>
    <w:p>
      <w:pPr>
        <w:spacing w:after="0" w:line="9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2023, we derived 39% of our revenues from (i) the sale of physical natural gas and/or NGLs purchased under percentage-of-proceeds or other processing arrangements with certain of our customers in the Rockies and Piceance segments, (ii) the sale of natural gas we retain from certain Barnett customers, (iii) the sale of condensate we retain from our gathering services in the Piceance segment and (iv) additional gathering fees that are tied to performance of certain commodity price indexes, which are then added to the fixed gathering rates.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w:t>
      </w:r>
    </w:p>
    <w:p>
      <w:pPr>
        <w:spacing w:after="0" w:line="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and Environmental Policy Risks</w:t>
      </w:r>
    </w:p>
    <w:p>
      <w:pPr>
        <w:spacing w:after="0" w:line="94"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spacing w:after="0" w:line="3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further described in Item 3. Legal Proceedings, on August 4, 2021, we settled an incident involving a produced water disposal pipeline owned by our subsidiary Meadowlark Midstream that resulted in a discharge of materials into the environment which was investigated by federal and state agencies. This settlement resulted in losses amounting to $36.3 million and will be paid over five to six years, of which we have paid principal amounts of $14.7 million as of December 31, 2023 and requires compliance with certain conditions and terms and conditions which may impact our results of operations or cash flows.</w:t>
      </w:r>
    </w:p>
    <w:p>
      <w:pPr>
        <w:spacing w:after="0" w:line="54"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spacing w:after="0" w:line="3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Expenditures made by the Partnership for the payment of litigation related costs, including legal defense costs and settlement payments, if any, reduce our cash flows available for debt service and distributions to our unitholders, if any. Any such expenditures, if incurred, could be material. See Item 3. Legal Proceedings for additional disclosure by the Partnership regarding its ongoing litigation and claims.</w:t>
      </w:r>
    </w:p>
    <w:p>
      <w:pPr>
        <w:spacing w:after="0" w:line="4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For example, PHMSA has issued new proposed and final rules concerning pipeline safety in recent years.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became effective in May 2022 and operators were required to comply with the applicable safety requirements by November 2022. In addition, in August 2022, PHMSA issued a final rule that established new or additional requirements for natural gas transmission lines related to the management of change process, integrity management, corrosion control standards, and pipeline inspections and repairs. In May 2023, PHMSA published a Notice of Proposed Rulemaking for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regulatory amendments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To the extent these or other new proposed or final rules create additional requirements for our pipelines, they could have a material adverse effect on our operations, operating and maintenance expenses and revenues. For additional information on the potential risks associated with PHMSA requirements, see the “We may incur greater than anticipated costs and liabilities as a result of pipeline safety requirements” section of Item 1A. Risk Factors.</w:t>
      </w:r>
    </w:p>
    <w:p>
      <w:pPr>
        <w:spacing w:after="0" w:line="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Colorado Senate Bill 19-181, signed into law in April 2019, changed the mandate of the COGCC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As part of its implementation of this new law, in November 2020 the COGCC adopted new regulations that increase oil and gas setbacks to a minimum of 2,000 feet from schools and childcare facilities, prohibit routine venting and flaring, increase wildlife protections, and alter certain aspects of the permitting process.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regulation of hydraulic fracturing could result in reductions or delays in customer production, which could materially adversely impact our revenues.</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Hydraulic fracturing is an important and increasingly common practice that is used to stimulate production of natural gas and/or crude oil from dense subsurface rock formations, and is primarily regulated by state agencies. However, Congress has in the past, and may in the future consider legislation to regulate hydraulic fracturing by federal agencies. Many states have already adopted laws and/or regulations that require disclosure of the chemicals used in hydraulic fracturing.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EPA has also moved forward with various regulatory actions, including announcing final new regulations under the NSPS to expand and strengthen emissions reduction requirements under NSPS OOOOa for new, modified and reconstructed oil and natural gas sources, and require states to reduce methane emissions from existing sources nationwide. For further discussion of NSPS OOOOa and subsequent actions by the EPA, see the “Environmental Matters—Air Emissions” section of Item 1. Business of this Annual Report. The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The parties remain in settlement discussion.</w:t>
      </w:r>
    </w:p>
    <w:p>
      <w:pPr>
        <w:spacing w:after="0" w:line="6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Further, several federal governmental agencies (including the EPA) have conducted reviews and studies on the environmental aspects of hydraulic fracturing in the past. The results of such reviews or studies could spur initiatives to further regulate hydraulic fracturing.</w:t>
      </w:r>
    </w:p>
    <w:p>
      <w:pPr>
        <w:spacing w:after="0" w:line="3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on June 15, 2021, a judge in the U.S. District Court for the Western District of Louisiana issued a nationwide temporary injunction blocking the suspension in July 2021. Although the injunction was subsequently overturned by the Court of Appeals for the Fifth Circuit, on remand the U.S. District Court issued a permanent injunction as requested by the plaintiff states in August 2022. The Department of the Interior has since resumed leasing. In July 2023, DOI proposed updates to its onshore oil and gas leasing regulations which could further restrict oil and gas exploration</w:t>
      </w:r>
    </w:p>
    <w:p>
      <w:pPr>
        <w:spacing w:after="0" w:line="8"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and production on federal lands. DOI expects to issue a final rule in the spring of 2024. The Biden Administration continues to evaluate federal leasing and could impose additional restrictions in the future.</w:t>
      </w:r>
    </w:p>
    <w:p>
      <w:pPr>
        <w:spacing w:after="0" w:line="3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54"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3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w:t>
      </w:r>
    </w:p>
    <w:p>
      <w:pPr>
        <w:spacing w:after="0" w:line="5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Additionally, the Double E Pipeline, which provides interstate natural gas transmission service from southeastern New Mexico to the Waha hub in Texas, is subject to FERC jurisdiction under the NGA with respect to post-construction remediation activities, operations, and rates and terms and conditions of service. Pursuant to the NGA, Double E Pipeline’s existing interstate natural gas transportation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We cannot guarantee that any new or existing tariff rate for service on our FERC-regulated pipelines would not be rejected or modified by the FERC or subjected to refunds. Any successful challenge by a regulator or shipper in any of these matters could have a material adverse effect on our business, financial condition and results of operations.</w:t>
      </w:r>
    </w:p>
    <w:p>
      <w:pPr>
        <w:spacing w:after="0" w:line="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certain long-term fixed priced natural gas and crude oil transportation contracts that cannot be adjusted even if our costs increase. As a result, our costs could exceed our revenues. In 2021, we entered into negotiated rate agreements with an average term of 10 years from the in-service date of the pipeline, which occurred on November 18, 2021 and with total MDTQ’s that increases from 585,000 Dth/d during the first year of the agreement to 1,000,000 Dth/d in the fourth year, which equates to approximately 74% of its certificated capacity of 1,350,000 Dth/d, these contracts are not subject to adjustment, even if our cost to perform such services exceeds the revenues received from such contracts, and, as a result, our costs could exceed our revenues received under such contracts. It is possible that costs to perform services under our “negotiated or discount rate” contracts will exceed the negotiated or discounted rates. It is also possible with respect to discounted rates that if our filed “recourse rates” should ever be reduced below applicable discounted rates, we would only be allowed by FERC to charge the lower recourse rates, since FERC policy does not allow discount rates to be charged to the extent that they exceed applicable recourse rates. If these events were to occur, it could decrease the cash flow realized by our assets.</w:t>
      </w:r>
    </w:p>
    <w:p>
      <w:pPr>
        <w:spacing w:after="0" w:line="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Under FERC policy, a regulated service provider and a customer may mutually agree to sign a contract for service at a “negotiated rate,” which is generally fixed between the natural gas pipeline and the shipper for the contract term and does not necessarily vary with changes in the level of cost-based “recourse rates,” provided that the affected customer is willing to agree to such rates and that the FERC has accepted the negotiated rate agreement. These “negotiated or discount rate” contracts are not generally subject to adjustment for increased costs which could be caused by inflation or other factors relating to the specific facilities being used to perform the services. Any shortfall of revenue, representing the difference between “recourse rates” (if higher) and negotiated or discounted rates, under current FERC policy, may be recoverable from other shippers in certain circumstances. For example, the FERC may recognize this shortfall in the determination of prospective rates in a future rate case. However, if the FERC were to disallow the recovery of such costs from other customers, it could decrease the cash flow realized by our assets.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are also generally subject to the anti-market manipulation provisions in the NGA, as amended by the Energy Policy Act of 2005, and to FERC’s regulations thereunder, and also must comply with the other applicable provisions of the NGA and NGPA and FERC’s rules, regulations, and orders concerning the Double E Pipeline’s interstate natural gas pipeline business, including those that require us to provide firm and interruptible transportation service on an open access basis that is not unduly discriminatory or preferential. Violations of the NGA or NGPA, or the rules, regulations, and orders issued by FERC thereunder could result in the imposition of administrative and criminal remedies, including without limitation, revocation of certain authorities, disgorgement of ill-gotten gains, and civil penalties of up to approximately $1.5 million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approximately $1.5 million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approximately $1.5 million per violation, subject to future adjustment for inflation, or triple the monetary gain to the violator for each violation of the anti-market manipulation provisions of the CEA.</w:t>
      </w:r>
    </w:p>
    <w:p>
      <w:pPr>
        <w:spacing w:after="0" w:line="6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w:t>
      </w:r>
    </w:p>
    <w:p>
      <w:pPr>
        <w:spacing w:after="0" w:line="6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are subject to state and local regulation regarding the construction and operation of our gathering, treating, transporting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transporting and processing activities, which allows producers and shippers to file complaints with state regulators in an effort to resolve access issues, rate grievances and other matters. Other state and municipal regulations do not directly apply to our business, but may nonetheless affect the availability of natural gas and crude oil for gathering, treating, transporting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actions by the FERC may affect rates on Epping Pipeline, Double E Pipeline and other future FERC-regulated pipelines.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March 15, 2018, FERC announced a revised policy prohibiting FERC-jurisdictional natural gas and liquids pipelines owned by master limited partnerships from including an allowance for income taxes in the cost of service used to calculate tariff rates. Most of our pipelines are not subject to FERC regulation and so will not be affected by the revised policy statement. However, rates for interstate movements of crude oil on our Epping Pipeline in North Dakota and any future FERC-regulated pipelines may be affected by the application of the revised policy statement in subsequent FERC proceedings.</w:t>
      </w:r>
    </w:p>
    <w:p>
      <w:pPr>
        <w:spacing w:after="0" w:line="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FERC has not required regulated interstate oil pipelines to decrease their rates on an industry-wide basis to implement the new policy. However, FERC stated that the effects of the revised policy statement must be incorporated in annual FERC financial reports made by regulated interstate oil pipelines. These reports, which also reflected the impact of the corporate income tax reduction enacted as part of the Tax Reform Legislation, were considered by FERC in its five-year review and determination of the index rate adjustment, which resulted in the December 17, 2020 order adopting a new annual index adjustment for the five-year period starting July 1, 2021. FERC ultimately removed the effect of the income tax allowance policy change from its index calculation. FERC’s rulings on the appropriate annual index adjustment for the five-year period starting July 1, 2021 are pending before the U.S. Court of Appeals for the District of Columbia Circuit. The impact of these proceedings on Epping Pipeline and any future FERC-regulated pipelines is uncertain at this time.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Until FERC sets the next index rate adjustment, Epping Pipeline and any future FERC-regulated pipelines may face an increased risk of shipper complaints seeking FERC review of its rates. FERC can also initiate review of rates on its own initiative. We could also propose new cost-of-service rates or changes to our existing rates that would be subject to review by FERC under its new policy. No such proceedings have occurred at this time, however, and the potential outcome of any such proceedings, should any materialize, is uncertain. As a result of any such proceedings, Epping Pipeline and any future FERC-regulated pipelines may be required to modify their rates, which could affect the revenues we generate with our Epping Pipeline and any future FERC-regulated pipelines. At this time, we do not expect any such proceedings would have a material adverse effect, but we intend to monitor FERC developments and provide updated disclosure, as necessary.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stringent environmental laws and regulations that may expose us to significant costs and liabilities.</w:t>
      </w:r>
    </w:p>
    <w:p>
      <w:pPr>
        <w:spacing w:after="0" w:line="96"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4"/>
          <w:szCs w:val="14"/>
          <w:color w:val="auto"/>
        </w:rPr>
        <w:t>Our gathering, treating, transporting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CERCLA, the CWA, the OPA, the RCRA, the Endangered Species Act and the Toxic Substances Control Act.</w:t>
      </w:r>
    </w:p>
    <w:p>
      <w:pPr>
        <w:spacing w:after="0" w:line="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For additional information on specific laws and regulations, see the “Environmental Matters” section of Item 1. Business. 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spacing w:after="0" w:line="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spacing w:after="0" w:line="6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Biden Administration is considering revisions to the leasing and permitting programs for oil and gas development on federal lands, which could materially adversely affect our industry and our financial condition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greater than anticipated costs and liabilities as a result of pipeline safety requirements.</w:t>
      </w:r>
    </w:p>
    <w:p>
      <w:pPr>
        <w:spacing w:after="0" w:line="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system is located. While the majority of our pipelines have historically met the DOT definition of gathering lines and were thus exempt from PHMSA's integrity management requirements, we also operate a limited number of pipelines that are subject to the integrity management requirements. The regulations require operators, including us, to:</w:t>
      </w:r>
    </w:p>
    <w:p>
      <w:pPr>
        <w:spacing w:after="0" w:line="58" w:lineRule="exact"/>
        <w:rPr>
          <w:sz w:val="20"/>
          <w:szCs w:val="20"/>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ongoing assessments of pipeline integrity;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characterize applicable threats to pipeline segments that could impact a high consequence area;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processes for data collection, integration and analysis;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and remediate pipelines as necessary;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and maintain procedures, standards and training programs for control room operations;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preventive and mitigating actions.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addition, PHMSA has taken recent action to regulate gathering systems, which includes integrity management requirements.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became effective in May 2022 and compliance with the applicable safety requirements was required by November 2022.</w:t>
      </w:r>
    </w:p>
    <w:p>
      <w:pPr>
        <w:spacing w:after="0" w:line="5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For additional information on PHMSA regulations relating to pipeline safety, see the “Regulation of the Natural Gas and Crude Oil Industries—Safety and Maintenance” section of Item 1. Business and the “A change in laws and regulations applicable to our assets or services, or the interpretation or implementation of existing laws and regulations may cause our revenues to decline or our operation and maintenance expenses to increase” section of Item 1A. Risk Factors.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legislation, regulatory initiatives and litigation could result in increased operating costs and reduced demand for the services we provide.</w:t>
      </w:r>
    </w:p>
    <w:p>
      <w:pPr>
        <w:spacing w:after="0" w:line="9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In recent years, 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Inflation Reduction Act, signed into law in August 2022, includes a Methane Emissions Reduction Program to incentivize methane emission reductions and impose a fee on GHG emissions from certain oil and gas facilities.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June 2022, as part of a Governor-directed statewide initiative to reduce GHG emissions by at least 45% by 2030, the New Mexico Environment Department (“NMED”) finalized new rules that would establish emissions standards for VOCs and nitrogen oxides for oil and gas production and processing sources located in certain areas of the state with high ozone concentrations. We cannot currently determine the effect of these proposed regulations and other regulatory initiatives to implement the Governor’s directive to reduce GHG emissions, that could, if implemented, impact the business, reputation, financial condition or results of our operations in New Mexico or that of our customers upstream of the Double E Pipeline. Similarly, in April 2021, the New Mexico Department of Energy, Minerals, and Natural Resources (“EMNRD”) finalized new rules concerning venting and flaring of natural gas. EMNRD’s final rule could impose new or increased costs and obligations on our customers upstream of the Double E Pipeline.</w:t>
      </w:r>
    </w:p>
    <w:p>
      <w:pPr>
        <w:spacing w:after="0" w:line="6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PSD construction and Title V operating permit reviews for certain large stationary sources of GHG emissions. For additional information on EPA regulations adopted under the CAA, see the “Environmental Matters—Climate Change” and “Environmental Matters—Air Emissions” sections of Item 1. Business.</w:t>
      </w:r>
    </w:p>
    <w:p>
      <w:pPr>
        <w:spacing w:after="0" w:line="5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intended to withdraw from the agreement. However, on January 20, 2021, President Biden signed an “Acceptance on Behalf of the United States of America” that, reversed the prior withdrawal, and the United States officially rejoined the Paris Agreement on February 19, 2021. As part of rejoining the Paris Agreement, President Biden announced that the United States would commit to a 50 to 52 percent reduction from 2005 levels of GHG emissions by 2030 and set the goal of reaching net-zero GHG emissions by 2050. In November 2021, the Biden Administration expanded on this commitment and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4"/>
          <w:szCs w:val="14"/>
          <w:color w:val="auto"/>
        </w:rPr>
        <w:t>announced “The Long-Term Strategy of the United States: Pathways to Net-Zero Greenhouse Gas Emissions by 2050,” establishing a roadmap to net zero emissions in the United States by 2050 through, among other things, improvements in energy efficiency; decarbonization of energy sources via electricity, hydrogen, and sustainable biofuels; and reductions in non-CO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GHG emissions, such as methane and nitrous oxide. These initiatives followed a series of executive orders by President Biden designed to address climate change. On December 13, 2023, COP28 issued its first global stocktake, which calls on parties, including the US, to contribute to transitioning away from fossil fuels, reduce methane emissions, and increase renewable energy capacity, amongst other things, to achieve net zero by 2050. While the stocktake agreement is not legally binding and has no enforcement mechanism, the US could pass further legislation based on the agreement. Reentry into the Paris Agreement, the related stocktake agreement, new legislation, or President Biden’s executive orders may result in the development of additional regulations or changes to existing regulations, which could have a material adverse effect on our business and that of our customers.</w:t>
      </w:r>
    </w:p>
    <w:p>
      <w:pPr>
        <w:spacing w:after="0" w:line="6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Additionally, the SEC has proposed new rules relating to the disclosure of climate-related risks. The proposed rule contains several new disclosure obligations, including (i) disclosure on an annual basis of a registrant’s scope 1 and scope 2 greenhouse gas emissions, (ii) third-party independent attestation of the same for accelerated and large accelerated filers, (iii) for some registrants, disclosure on an annual basis of a registrant’s scope 3 greenhouse gas emissions for accelerated and large accelerated filers, (iv) disclosure on how the board of directors and management oversee climate-related risks and certain climate-related governance items, (v) disclosure of information related to a registrant’s climate-related targets, goals and/or transitions plans and (vi) disclosure on whether and how climate-related events and transition activities impact line items above a threshold amount on a registrant’s consolidated financial statements, including the impact of the financial estimates and the assumptions used. While we would likely be subject to the longer proposed phase-in for the reporting requirements as a smaller reporting company, and while the SEC may revise the proposed rule in response to comments to make the rule less onerous, we cannot predict the costs of implementation or any potential adverse impacts resulting from the rule should it be adopted. However, these costs may be substantial. In addition, enhanced climate disclosure requirements could accelerate the trend of certain stakeholders and lenders restricting or seeking more stringent conditions with respect to their investments in certain carbon intensive sectors.</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Although it is not possible at this time to accurately estimate how potential future laws or regulations addressing GHG emissions would impact our business, either directly or indirectly, any future federal or state laws or implementing regulations that may be adopted to address GHG emissions could require us to incur increased operating costs and could materially adversely affect demand for our services. The potential increase in the costs of our operations resulting from any legislation or regulation to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 Finally, most scientists have concluded that increasing concentrations of GHGs in the Earth’s atmosphere may produce climate changes that have significant physical effects, such as increased frequency and severity of storms, droughts and floods and other climatic events. We cannot predict with any certainty at this time how these possibilities may affect our operations.</w:t>
      </w:r>
    </w:p>
    <w:p>
      <w:pPr>
        <w:spacing w:after="0" w:line="62" w:lineRule="exact"/>
        <w:rPr>
          <w:sz w:val="20"/>
          <w:szCs w:val="20"/>
          <w:color w:val="auto"/>
        </w:rPr>
      </w:pPr>
    </w:p>
    <w:p>
      <w:pPr>
        <w:ind w:right="7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Statutory and regulatory requirements for swap transactions could have an adverse impact on our ability to hedge risks associated with our business and increase the working capital requirements to conduct these activities.</w:t>
      </w:r>
    </w:p>
    <w:p>
      <w:pPr>
        <w:spacing w:after="0" w:line="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the Dodd-Frank Act, Congress adopted comprehensive financial reform legislation that establishes federal oversight over and regulation of the over-the-counter derivatives market and entities, such as us, that participate in that market. Under this legislation, the CFTC and the SEC and other regulatory authorities have promulgated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In light of the continuing adjustment of the regulations, we cannot predict the ultimate effect of the rules and regulations on our business. Any new regulations or modifications to existing regulations could increase the cost of derivative contracts, limit the availability of derivatives to protect against risks that we encounter, reduce our ability to monetize or restructure our existing derivative contracts, or increase our exposure to less creditworthy counterparties.</w:t>
      </w:r>
    </w:p>
    <w:p>
      <w:pPr>
        <w:spacing w:after="0" w:line="23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In October 2020, the CFTC adopted rules that place limits on positions in certain core futures and equivalent swaps contracts for or linked to certain physical commodities, subject to exceptions for certain bona fide hedging transactions. We do not expect these regulations to materially impede our hedging activity at this time, but a companion rule on aggregation among entities under common ownership or control may have an impact on our ability to hedge our exposure to certain enumerated commodities.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CFTC has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adopted mandatory margin requirements on uncleared swaps between swap dealers and certain other counterparties. Although we may qualify for a commercial end-user exception from the mandatory clearing, trade execution and certain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spacing w:after="0" w:line="6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Under the Dodd-Frank Act, the CFTC is also directed generally to prevent price manipulation and fraud in the following two markets: (a) physical commodities traded in interstate commerce, including physical energy and other commodities, and (b) financial instruments, such as futures, options and swaps.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and material penalties, and sanctions.</w:t>
      </w:r>
    </w:p>
    <w:p>
      <w:pPr>
        <w:spacing w:after="0" w:line="5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currently enter into forward contracts with third parties to buy power and sell natural gas in an attempt to mitigate our exposure to fluctuations in the price of natural gas with respect to those volumes. The CFTC has finalized an interpretation clarifying whether and when certain forwards with volumetric optionality are to be regulated as forwards or qualify as options on commodities and therefore swaps. The application of this interpretation to any particular situation may impact our ability to enter into certain forwards or may impose additional requirements with respect to certain transactions.</w:t>
      </w:r>
    </w:p>
    <w:p>
      <w:pPr>
        <w:spacing w:after="0" w:line="5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the Dodd-Frank Act, regulators within the European Union and other foreign regulators have adopted and implemented local reforms generally comparable with the reforms under the Dodd-Frank Act. Enforcement of these regulatory provisions may reduce our ability to hedge our market risks with non-U.S. counterparties or may make any transactions involving cross-border swaps more expensive and burdensome. Additionally, the lingering absence of regulatory equivalency across jurisdictions may increase compliance costs and make it more costly to satisfy regulatory obligations.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opposition to the development, permitting, construction or operation of our pipelines and facilities from various groups.</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For example, in an April 15, 2020 ruling, amended May 11, 2020, the U.S. District Court for the District of Montana issued an order invalidating the U.S. Army Corps of Engineers (“Corps”) 2017 reissuance of Nationwide Permit 12 (“NWP 12”), the general permit governing discharges of dredged or fill material associated with pipeline and other utility line construction projects, to the extent it was used to authorize construction of new oil and gas pipelines. Environmental groups had alleged that the Corps failed to consult with federal wildlife agencies as required by the Endangered Species Act (“ESA”). However, in January 2021, the EPA and Corps reissued NWP 12 as a general permit specific to oil and gas pipelines, moving other utility line activities into separate general permits. The U.S. Court of Appeals for the Ninth Circuit subsequently held that the Corps’ January 2021 reissuance rendered the prior challenge moot. In May 2021, environmental groups once again filed suit in the U.S. District Court for the District of Montana, seeking vacatur of the reissued NWP 12. Environmental groups allege that the reissuance of NWP 12 violated the ESA, National Environmental Policy Act, and Clean Water Act, among other things. In September 2022, the U.S. District Court for Montana dismissed the ESA consultation challenges as moot and dismissed the remainder of the lawsuit without prejudice. The Corps has announced that it will be reviewing all the nationwide permits for consistency with Administration policies, which could result in additional limitations on the use of nationwide permits. Limitations on the use of NWP 12 may make it more difficult to permit our projects, require consideration of alternative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construction or siting, which may impose additional costs and delays, and could cause us to lose potential and current customers and limit our growth and revenue.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on July 6, 2020, the U.S. District Court for the District of Columbia issued an order vacating a Corps Mineral Leasing Act easement for the Dakota Access Pipeline in a lawsuit filed by the Standing Rock Sioux Tribe and other Native American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while the Corps declined to shut down the pipeline, it did not formally approve the pipeline’s ongoing operation without an easement.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Dakota Access Pipeline continues to operate pending the Corps’ ongoing development of a court-ordered environmental impact statement for the project. On June 22, 2021, the District Court terminated the consolidated lawsuits and dismissed all remaining outstanding counts without prejudice. On January 20, 2022, the Standing Rock Sioux Tribe withdrew as a cooperating agency on the draft EIS, prompting the USACE to temporarily pause on the draft EIS. The USACE published the draft EIS on September 8, 2023 and tribal and public meetings were held in November and December of 2023. If the Dakota Access Pipeline is forced to shut down, this could have a material adverse effect on our business, financial condition and results of operations associated with the Polar and Divide system, which interconnects with the Dakota Access Pipeline.</w:t>
      </w:r>
    </w:p>
    <w:p>
      <w:pPr>
        <w:spacing w:after="0" w:line="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 GHGs and climate change, before providing loans or investing in our common units. There is also a risk that financial institutions may adopt policies that have the effect of reducing the funding provided to the fossil fuel sector, such as the adoption of net zero financed emissions targets. Such policies may be hastened by actions under the Biden Administration, including the implementation by the Federal Reserve of any recommendations made by the Network for Greening the Financial System, a consortium of financial regulators focused on addressing climate-related risks in the financial sector.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spacing w:after="0" w:line="5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complex and evolving U.S. and international laws and regulations regarding privacy and data protection (“data protection laws”). Many of these data protection laws are subject to change and uncertain interpretation, and could result in claims, increased cost of operations or otherwise harm our business.</w:t>
      </w:r>
    </w:p>
    <w:p>
      <w:pPr>
        <w:spacing w:after="0" w:line="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Along with our own data and information that we collect and retain in the normal course of our business, we and our business partners collect and retain significant volumes of certain types of data, some of which are subject to data protection laws. The collection, use, and transfer of this data, both domestically and internationally, is becoming increasingly complex. The regulatory environment surrounding the collection, use, transfer and protection of such data is constantly evolving and can be subject to significant change. New data protection laws at the federal, state, international, national, provincial and local levels, including recent Colorado, Connecticut, Virginia and Utah legislation, the European Union General Data Protection Regulation (“GDPR”) and the California Consumer Privacy Act, as amended by the California Privacy Rights Act (“CCPA”), pose increasingly complex compliance challenges and potentially elevate our costs.</w:t>
      </w:r>
    </w:p>
    <w:p>
      <w:pPr>
        <w:spacing w:after="0" w:line="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Complying with these jurisdictional requirements could increase the costs and complexity of compliance, and violations of applicable data protection laws can result in significant penalties. For example, the GDPR applies to activities regarding personal data that may be conducted by us, directly or indirectly through business partners. Failure to comply could result in significant penalties of up to a maximum of 4% of our global turnover that may materially adversely affect our business, reputation, results of operations, and cash flows. Similarly, the CCPA, which came into effect on January 1, 2020, imposes specific obligations on businesses that collect personal data from California residents and provides California residents specific rights in relation to their personal data that we or our business partners collect and use. As interpretation and enforcement of the CCPA evolves, it creates a range of new compliance obligations, which could cause us to change our business practices, and carries the possibility for significant financial penalties for noncompliance that may materially adversely affect our business, reputation, results of operations, and cash flows.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noted above, we are also subject to the possibility of information security breaches, which themselves may result in a violation of these data protection laws. Additionally, if we acquire a company that has violated or is not in compliance with applicable data protection laws, we may incur significant liabilities and penalties as a result.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Inherent in an Investment in Us</w:t>
      </w:r>
    </w:p>
    <w:p>
      <w:pPr>
        <w:spacing w:after="0" w:line="94" w:lineRule="exact"/>
        <w:rPr>
          <w:sz w:val="20"/>
          <w:szCs w:val="20"/>
          <w:color w:val="auto"/>
        </w:rPr>
      </w:pPr>
    </w:p>
    <w:p>
      <w:pPr>
        <w:ind w:right="6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amount of cash we have available for distribution to holders of our units depends primarily on our cash flows rather than on our profitability, which may prevent us from making distributions, even during periods in which we record net income.</w:t>
      </w:r>
    </w:p>
    <w:p>
      <w:pPr>
        <w:spacing w:after="0" w:line="3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amount of cash we have available for distribution depends primarily upon our cash flows and not solely on profitability, which will be affected by non-cash items. Although we have not made a distribution on our common units or Series A Preferred Units since we announced suspension of those distributions on May 3, 2020, and we do not expect to pay distributions on the common units or Series A Preferred Units in the foreseeable future, absent a material change to our business, we may, as a result, be unable to make cash distributions during periods when we report net income for GAAP purposes.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units may fluctuate significantly and, due to limited daily trading volumes, an investor could lose all or part of its investment in us.</w:t>
      </w:r>
    </w:p>
    <w:p>
      <w:pPr>
        <w:spacing w:after="0" w:line="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An investor may not be able to resell its common units at or above its acquisition price. Additionally, limited liquidity may result in wide bid-ask spreads, contribute to significant fluctuations in the market price of the common units and limit the number of investors who are able to buy the common units.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units may decline and be influenced by many factors, some of which are beyond our control, including among others:</w:t>
      </w:r>
    </w:p>
    <w:p>
      <w:pPr>
        <w:spacing w:after="0" w:line="94" w:lineRule="exact"/>
        <w:rPr>
          <w:sz w:val="20"/>
          <w:szCs w:val="20"/>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distributions, if any;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or annual earnings or those of other companies in our industry;</w:t>
      </w:r>
    </w:p>
    <w:p>
      <w:pPr>
        <w:spacing w:after="0" w:line="11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Arial" w:cs="Arial" w:eastAsia="Arial" w:hAnsi="Arial"/>
          <w:sz w:val="17"/>
          <w:szCs w:val="17"/>
          <w:color w:val="auto"/>
        </w:rPr>
      </w:pPr>
      <w:r>
        <w:rPr>
          <w:rFonts w:ascii="Times New Roman" w:cs="Times New Roman" w:eastAsia="Times New Roman" w:hAnsi="Times New Roman"/>
          <w:sz w:val="14"/>
          <w:szCs w:val="14"/>
          <w:color w:val="auto"/>
        </w:rPr>
        <w:t>developments relating to the strategic review process or market speculation regarding any such developments;</w:t>
      </w:r>
    </w:p>
    <w:p>
      <w:pPr>
        <w:spacing w:after="0" w:line="70" w:lineRule="exact"/>
        <w:rPr>
          <w:rFonts w:ascii="Arial" w:cs="Arial" w:eastAsia="Arial" w:hAnsi="Arial"/>
          <w:sz w:val="17"/>
          <w:szCs w:val="17"/>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 large customer;</w:t>
      </w:r>
    </w:p>
    <w:p>
      <w:pPr>
        <w:spacing w:after="0" w:line="93"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our customers or others regarding our customers or changes in our customers’ credit ratings, liquidity position, leverage profile and/or other financial or credit-related metrics;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our competitors of significant contracts or acquisitions;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geopolitical conditions;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securities analysts to cover our common units or changes in financial estimates by analysts;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in these Risk Factors.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Partnership Agreement replaces our General Partner’s fiduciary duties to unitholders and those of our officers and directors with contractual standards governing their duties.</w:t>
      </w:r>
    </w:p>
    <w:p>
      <w:pPr>
        <w:spacing w:after="0" w:line="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Our Partnership Agreement contains provisions that eliminate fiduciary duties to which our General Partner and its officers and directors would otherwise be held by state fiduciary duty law and replaces those duties with several different contractual standards.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purchasing a common unit, a common unitholder agrees to become bound by the provisions in the Partnership Agreement, including the provisions discussed above.</w:t>
      </w:r>
    </w:p>
    <w:p>
      <w:pPr>
        <w:spacing w:after="0" w:line="9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Partnership Agreement limits the liabilities of our General Partner and its officers and directors and the rights of our unitholders with respect to actions taken by our General Partner and its officers and directors that might otherwise constitute breaches of fiduciary duty.</w:t>
      </w:r>
    </w:p>
    <w:p>
      <w:pPr>
        <w:spacing w:after="0" w:line="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Partnership Agreement contains provisions that limit the liability of our General Partner and the rights of our unitholders with respect to actions taken by our General Partner that might otherwise constitute breaches of fiduciary duty under state fiduciary duty law. For example, our Partnership Agreement provides that:</w:t>
      </w:r>
    </w:p>
    <w:p>
      <w:pPr>
        <w:spacing w:after="0" w:line="39" w:lineRule="exact"/>
        <w:rPr>
          <w:sz w:val="20"/>
          <w:szCs w:val="20"/>
          <w:color w:val="auto"/>
        </w:rPr>
      </w:pPr>
    </w:p>
    <w:p>
      <w:pPr>
        <w:ind w:left="760" w:right="200" w:hanging="246"/>
        <w:spacing w:after="0" w:line="287" w:lineRule="auto"/>
        <w:tabs>
          <w:tab w:leader="none" w:pos="7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our General Partner makes a determination or takes, or declines to take, any other action in its capacity as our General Partner, our General Partner is required to make such determination, or take or decline to take such other action, in good faith, meaning that it subjectively believed that the decision was in our best interests,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right="180"/>
        <w:spacing w:after="0" w:line="287" w:lineRule="auto"/>
        <w:rPr>
          <w:sz w:val="20"/>
          <w:szCs w:val="20"/>
          <w:color w:val="auto"/>
        </w:rPr>
      </w:pPr>
      <w:r>
        <w:rPr>
          <w:rFonts w:ascii="Times New Roman" w:cs="Times New Roman" w:eastAsia="Times New Roman" w:hAnsi="Times New Roman"/>
          <w:sz w:val="14"/>
          <w:szCs w:val="14"/>
          <w:color w:val="auto"/>
        </w:rPr>
        <w:t>those determinations and actions will not be subject to any other or different standard imposed by our Partnership Agreement, Delaware law, or any other law, rule or regulation, or at equity;</w:t>
      </w:r>
    </w:p>
    <w:p>
      <w:pPr>
        <w:spacing w:after="0" w:line="39" w:lineRule="exact"/>
        <w:rPr>
          <w:sz w:val="20"/>
          <w:szCs w:val="20"/>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 will not have any liability to us or our unitholders for decisions made in its capacity as a General Partner so long as such decisions are made in good faith;</w:t>
      </w:r>
    </w:p>
    <w:p>
      <w:pPr>
        <w:spacing w:after="0" w:line="93"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 and its officers and directors will not be liable for monetary damages to us, our limited partners or their assignees resulting from any act or omission unless there has been a final and non-appealable judgment entered by a court of competent jurisdiction determining that our General Partner or its officers and directors, as the case may be, acted in bad faith or engaged in fraud or willful misconduct or, in the case of a criminal matter, acted with knowledge that the conduct was criminal; and</w:t>
      </w:r>
    </w:p>
    <w:p>
      <w:pPr>
        <w:spacing w:after="0" w:line="50" w:lineRule="exact"/>
        <w:rPr>
          <w:rFonts w:ascii="Times New Roman" w:cs="Times New Roman" w:eastAsia="Times New Roman" w:hAnsi="Times New Roman"/>
          <w:sz w:val="14"/>
          <w:szCs w:val="14"/>
          <w:color w:val="auto"/>
        </w:rPr>
      </w:pPr>
    </w:p>
    <w:p>
      <w:pPr>
        <w:ind w:left="760" w:right="200" w:hanging="246"/>
        <w:spacing w:after="0" w:line="287"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 will not be in breach of its obligations under the Partnership Agreement or its duties to us or our unitholders if a transaction with an affiliate or the resolution of a conflict of interest is:</w:t>
      </w:r>
    </w:p>
    <w:p>
      <w:pPr>
        <w:spacing w:after="0" w:line="39" w:lineRule="exact"/>
        <w:rPr>
          <w:rFonts w:ascii="Times New Roman" w:cs="Times New Roman" w:eastAsia="Times New Roman" w:hAnsi="Times New Roman"/>
          <w:sz w:val="14"/>
          <w:szCs w:val="14"/>
          <w:color w:val="auto"/>
        </w:rPr>
      </w:pPr>
    </w:p>
    <w:p>
      <w:pPr>
        <w:ind w:left="1260" w:hanging="237"/>
        <w:spacing w:after="0"/>
        <w:tabs>
          <w:tab w:leader="none" w:pos="12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 the Conflicts Committee, if established, although our General Partner is not obligated to seek such approval;</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by the vote of a majority of the outstanding common units, excluding any common units owned by our General Partner and its affiliates;</w:t>
      </w:r>
    </w:p>
    <w:p>
      <w:pPr>
        <w:spacing w:after="0" w:line="9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terms no less favorable to us than those generally being provided to or available from unrelated third parties; or</w:t>
      </w:r>
    </w:p>
    <w:p>
      <w:pPr>
        <w:spacing w:after="0" w:line="93" w:lineRule="exact"/>
        <w:rPr>
          <w:rFonts w:ascii="Times New Roman" w:cs="Times New Roman" w:eastAsia="Times New Roman" w:hAnsi="Times New Roman"/>
          <w:sz w:val="14"/>
          <w:szCs w:val="14"/>
          <w:color w:val="auto"/>
        </w:rPr>
      </w:pPr>
    </w:p>
    <w:p>
      <w:pPr>
        <w:ind w:left="1280" w:right="360" w:hanging="257"/>
        <w:spacing w:after="0" w:line="287" w:lineRule="auto"/>
        <w:tabs>
          <w:tab w:leader="none" w:pos="126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and reasonable to us, taking into account the totality of the relationships among the parties involved, including other transactions that may be particularly favorable or advantageous to us.</w:t>
      </w:r>
    </w:p>
    <w:p>
      <w:pPr>
        <w:spacing w:after="0" w:line="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connection with a situation involving a transaction with an affiliate or a conflict of interest, any determination by our General Partner or the Conflicts Committee must be made in good faith. If an affiliate transaction or the resolution of a conflict of interest is not approved by our common unitholders or the Conflicts Committee and the Board of Directors determines that the resolution or course of action taken with respect to the affiliate transaction or conflict of interest satisfies either of the standards set forth in the final two subclauses above, then it will be presumed that, in making its decision, the Board of Directors acted in good faith, and in any proceeding brought by or on behalf of any limited partner or the partnership, the person bringing or prosecuting such proceeding will have the burden of overcoming such presumption.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Partnership Agreement restricts the voting rights of unitholders owning 20% or more of our common units.</w:t>
      </w:r>
    </w:p>
    <w:p>
      <w:pPr>
        <w:spacing w:after="0" w:line="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Unitholders' voting rights are further restricted by a provision of our Partnership Agreement providing that any person or group that owns 20% or more of any class of units then outstanding cannot vote on any matter, other than our General Partner, its affiliates, their transferees and persons who acquired such units with the prior approval of the Board of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issue additional units without unitholder approval, which would dilute existing ownership interests.</w:t>
      </w:r>
    </w:p>
    <w:p>
      <w:pPr>
        <w:spacing w:after="0" w:line="9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Except in the case of the issuance of units that rank equal to or senior to the Series A Preferred Units, our Partnership Agreement does not limit the number of additional limited partner interests, including limited partner interests that rank senior to the common units that we may issue at any time without the approval of our unitholders.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we have outstanding Series A Preferred Units having an issue price of less than $100.0 million. As a result, under our Partnership Agreement, we may now issue additional securities in parity with the Series A Preferred Units without any vote of the holders of the Series A Preferred Units (except where the cumulative distributions on the Series A Preferred Units or any parity securities are in arrears) and without the approval of holders of our common units.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issuance by us of additional common units or other equity securities of equal or senior rank will decrease our existing unitholders' proportionate ownership interest in us. In addition, the issuance by us of additional common units or other equity securities of equal or senior rank may have the following effects:</w:t>
      </w:r>
    </w:p>
    <w:p>
      <w:pPr>
        <w:spacing w:after="0" w:line="39" w:lineRule="exact"/>
        <w:rPr>
          <w:sz w:val="20"/>
          <w:szCs w:val="20"/>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decreasing the amount of cash available for distribution on each unit;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ratio of taxable income to distributions;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diminishing the relative voting strength of each previously outstanding unit;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the market price of the common units to decline.</w:t>
      </w:r>
    </w:p>
    <w:p>
      <w:pPr>
        <w:spacing w:after="0" w:line="9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Future issuances and sales of parity securities, or the perception that such issuances and sales could occur, may cause prevailing market prices for our common units and the Series A Preferred Units to decline and may adversely affect our ability to raise additional capital in the financial markets at times and prices favorable to us.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Furthermore, the payment of distributions on any additional units may increase the risk that we will not be able to make distributions at our prior per unit distribution levels. Although we have not made a distribution on our common units or Series A Preferred Units since we announced suspension of those distributions on May 3, 2020 and do not expect to pay distributions on the common units or Series A Preferred Units in the foreseeable future, to the extent new units are senior to our common units, including units issued to third parties at a subsidiary level, their issuance will increase the uncertainty of the payment of distributions on our common units.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Series A Preferred Units have limited voting rights, which may be diluted.</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Although holders of the Series A Preferred Units are entitled to limited voting rights with respect to certain matters, the Series A Preferred Units generally vote separately as a class along with any other series of our parity securities that we may issue with like voting rights that have been conferred and are exercisable. As a result, the voting rights of holders of Series A Preferred Units may be significantly diluted, and the holders of such other series of parity securities that we may issue may be able to control or significantly influence the outcome of any vote.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General Partner has a limited call right that may require an investor to sell its units at an undesirable time or price.</w:t>
      </w:r>
    </w:p>
    <w:p>
      <w:pPr>
        <w:spacing w:after="0" w:line="9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If at any time our General Partner and its affiliates own more than 80% of our outstanding common units, our General Partner will have the right, which it may assign to any of its affiliates or to us, but not the obligation, to acquire all, but not less than all, of the common units held by unaffiliated persons at a price that is not less than their then-current market price, as calculated pursuant to the terms of our Partnership Agreement. As a result, an investor may be required to sell its common units at an undesirable time or price and may not receive any return on its investment. An investor may also incur a tax liability upon a sale of its units. The Partnership Agreement does not require our General Partner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investor's liability may not be limited if a court finds that unitholder action constitutes control of our business.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 General Partner of a partnership generally has unlimited liability for the obligations of the partnership, except for those contractual obligations of the partnership that are expressly made without recourse to the General Partner. Our partnership is organized under Delaware law, and we conduct business in a number of other states. The limitations on the liability of holders of limited partner interests for the obligations of a limited partnership have not been clearly established in some of the other states in which we do business. An investor could be liable for any and all of our obligations as if it was a General Partner if a court or government agency were to determine that:</w:t>
      </w:r>
    </w:p>
    <w:p>
      <w:pPr>
        <w:spacing w:after="0" w:line="56" w:lineRule="exact"/>
        <w:rPr>
          <w:sz w:val="20"/>
          <w:szCs w:val="20"/>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conducting business in a state but had not complied with that particular state's partnership statute; or</w:t>
      </w:r>
    </w:p>
    <w:p>
      <w:pPr>
        <w:spacing w:after="0" w:line="93"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investor's right to act with other unitholders to remove or replace our General Partner, to approve some amendments to our Partnership Agreement or to take other actions under our Partnership Agreement constitute control of our business.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6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Partnership Agreement designates the Court of Chancery of the State of Delaware as the exclusive forum for certain types of actions and proceedings that may be initiated by our unitholders, which limits our unitholders’ ability to choose the judicial forum for disputes with us or our General Partner’s directors, officers or other employees.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Partnership Agreement provides that, with certain limited exceptions, the Court of Chancery of the State of Delaware is the exclusive forum for any claims, suits, actions or proceedings (1) arising out of or relating in any way to our Partnership Agreement (including any claims, suits or actions to interpret, apply or enforce the provisions of our Partnership Agreement or the duties, obligations or liabilities among our partners, or obligations or liabilities of our partners to us, or the rights or powers of, or restrictions on, our partners or us), (2) brought in a derivative manner on our behalf, (3) asserting a claim of breach of a duty (including a fiduciary duty) owed by any of our, or our General Partner’s, directors, officers, or other employees, or owed by our General Partner, to us or our partners, (4) asserting a claim against us arising pursuant to any provision of the Delaware Revised Uniform Limited Partnership Act or (5) asserting a claim against us governed by the internal affairs doctrine. Any person or entity purchasing or otherwise acquiring any interest in our common units is deemed to have received notice of and consented to the foregoing provisions. This exclusive forum provision does not apply to a cause of action brought under federal or state securities laws. Although management believes this choice of forum provision benefits us by providing increased consistency in the application of Delaware law in the types of lawsuits to which it applies, the provision may have the effect of discouraging lawsuits against us and our General Partner’s directors and officers. The enforceability of similar choice of forum provisions in other companies’ certificates of incorporation or similar governing documents has been challenged in legal proceedings and it is possible that in connection with any action a court could find the choice of forum provisions contained in our Partnership Agreement to be inapplicable or unenforceable in such action.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financial position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Unitholders may have liability to repay distributions that were wrongfully distributed to them.</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Under certain circumstances, unitholders may have to repay amounts wrongfully returned or distributed to them. Under Delaware law, we may not make a distribution if the distribution would cause our liabilities to exceed the fair value of our assets.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Substituted limited partners are liable both for the obligations of the assignor to make contributions to the partnership that were known to the substituted limited partner at the time it became a limited partner and for those obligations that were unknown if the liabilities could have been determined from the Partnership Agreement. Neither liabilities to partners on account of their partnership interest nor liabilities that are non-recourse to the partnership are counted for purposes of determining whether a distribution is permitted.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an investor is not an eligible holder, it may not receive distributions or allocations of income or loss on those common units and those common units will be subject to redemption.</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adopted certain requirements regarding those investors who may own our common units and Series A Preferred Units. Eligible holders are U.S. individuals or entities subject to U.S. federal income taxation on the income generated by us or entities not subject to U.S. federal income taxation on the income generated by us, so long as all of the entity's owners are U.S. individuals or entities subject to such taxation. If an investor is not an eligible holder, our General Partner may elect not to make distributions or allocate income or loss on that investor's units, and it runs the risk of having its units redeemed by us at the lower of purchase price cost or the then-current market price. The redemption price may be paid in cash or by delivery of a promissory note, as determined by our General Partner.</w:t>
      </w:r>
    </w:p>
    <w:p>
      <w:pPr>
        <w:spacing w:after="0" w:line="56"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Series A Preferred Units and Subsidiary Series A Preferred Units have rights, preferences and privileges that are not held by, and are preferential to the rights of, holders of our common units.</w:t>
      </w:r>
    </w:p>
    <w:p>
      <w:pPr>
        <w:spacing w:after="0" w:line="3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Series A Preferred Units rank senior to our common units with respect to distribution rights and rights upon liquidation. These preferences could adversely affect the market price for our common units or could make it more difficult for us to sell our common units in the future.</w:t>
      </w:r>
    </w:p>
    <w:p>
      <w:pPr>
        <w:spacing w:after="0" w:line="3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In addition, (i) prior to December 15, 2022, distributions on the Series A Preferred Units accumulated and were cumulative at the rate of 9.50% per annum of $1,000, the liquidation preference of the Series A Preferred Units and (ii) on and after December 15, 2022, distributions on the Series A Preferred Units accumulate for each distribution period at a percentage of $1,000 equal to the three-month LIBOR plus a spread of 7.43%. During the fourth quarter of 2023, distributions on the Series A Preferred Units began to accumulate at a rate equal to the three-month SOFR plus a spread of</w:t>
      </w:r>
    </w:p>
    <w:p>
      <w:pPr>
        <w:ind w:right="20"/>
        <w:spacing w:after="0" w:line="266" w:lineRule="auto"/>
        <w:rPr>
          <w:sz w:val="20"/>
          <w:szCs w:val="20"/>
          <w:color w:val="auto"/>
        </w:rPr>
      </w:pPr>
      <w:r>
        <w:rPr>
          <w:rFonts w:ascii="Times New Roman" w:cs="Times New Roman" w:eastAsia="Times New Roman" w:hAnsi="Times New Roman"/>
          <w:sz w:val="14"/>
          <w:szCs w:val="14"/>
          <w:color w:val="auto"/>
        </w:rPr>
        <w:t>7.69%. We have not made a distribution on our common units or Series A Preferred Units since we announced suspension of those distributions on May 3, 2020 and do not expect to pay distributions on the common units or Series A Preferred Units in the foreseeable future, absent a</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material change to our business. As of December 31, 2023, the amount of accrued and unpaid distributions on the Series A Preferred Units was $33.0 million. Unpaid distributions on the Series A Preferred Units will continue to accrue.</w:t>
      </w:r>
    </w:p>
    <w:p>
      <w:pPr>
        <w:spacing w:after="0" w:line="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our Subsidiary Series A Preferred Units issued by Permian Holdco have priority over the common unitholders with respect to the cash flow from Permian Holdco. The distribution rate of the Subsidiary Series A Preferred Units is 7.00% per annum of the $1,000 issue amount per outstanding Subsidiary Series A Preferred Unit. Permian Holdco had the option to pay this distribution in-kind until the first quarter of 2022, which was the first full quarter following the date the Double E Pipeline was placed in service. The Partnership elected to pay distributions in-kind during 2022, 2021 and 2020, except for the periods ended September 30, 2022 and December 31, 2022 in which it made cash distributions. The Partnership did not pay any distributions in-kind during 2023.</w:t>
      </w:r>
    </w:p>
    <w:p>
      <w:pPr>
        <w:spacing w:after="0" w:line="5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obligation to pay distributions on our Series A Preferred Units and Permian Holdco’s obligation to pay the distributions on the Subsidiary Series 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Series A Preferred Units contain covenants that may limit our business flexibility.</w:t>
      </w:r>
    </w:p>
    <w:p>
      <w:pPr>
        <w:spacing w:after="0" w:line="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Series A Preferred Units contain covenants preventing us from taking certain actions without the approval of the holders of 66 2/3% of the Series A Preferred Units. The need to obtain the approval of holders of the Series A Preferred Units before taking these actions could impede our ability to take certain actions that management or the Board of Directors may consider to be in the best interests of our unitholders. The affirmative vote of 66 2/3% of the outstanding Series A Preferred Units, voting as a single class, is necessary to amend the Partnership Agreement in any manner that would have a material adverse effect on the existing preferences, rights, powers, duties or obligations of the Series A Preferred Units. The affirmative vote of 66 2/3% of the outstanding Series A Preferred Units and any outstanding series of other preferred units, voting as a single class, is necessary to (A) under certain circumstances, create or issue certain equity securities that are senior to our common units, (B) declare or pay any distribution to common unitholders out of capital surplus or (C) take any action that would result in an event of default for failure to comply with any covenant in the indentures governing the Senior Notes co-issued by Summit Holdings and its 100% owned finance subsidiary, Finance Corp.</w:t>
      </w:r>
    </w:p>
    <w:p>
      <w:pPr>
        <w:spacing w:after="0" w:line="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Although holders of the Series A Preferred Units are entitled to limited voting rights with respect to certain matters, the Series A Preferred Units generally vote as a class, separate from our common unitholders, along with any other series of our parity securities that we may issue upon which like voting rights have been conferred and are exercisable.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Risks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tax treatment depends on our status as a partnership for federal income tax purposes. If the IRS were to treat us as a corporation for federal income tax purposes, which would subject us to entity-level taxation, then our cash available for distribution to our unitholders would be substantially reduced.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anticipated after-tax economic benefit of an investment in our units depends largely on our being treated as a partnership for federal income tax purposes.</w:t>
      </w:r>
    </w:p>
    <w:p>
      <w:pPr>
        <w:spacing w:after="0" w:line="9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Despite the fact that we are a limited partnership under Delaware law, it is possible in certain circumstances for a partnership such as ours to be treated as a corporation for federal income tax purposes. A change in our business or a change in current law could cause us to be treated as a corporation for federal income tax purposes or otherwise subject us to taxation as an entity.</w:t>
      </w:r>
    </w:p>
    <w:p>
      <w:pPr>
        <w:spacing w:after="0" w:line="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If we were treated as a corporation for federal income tax purposes, we would pay federal income tax on our taxable income at the corporate tax rate, which is currently 21%, and would likely pay state and local income tax at varying rates. Distributions to our unitholders would generally be taxed again as corporate dividends (to the extent of our current and accumulated earnings and profits), and no income, gains, losses, deductions, or credits would flow through to our unitholders. Because a tax would be imposed upon us as a corporation, our cash available for distribution would be substantially reduced. Therefore, if we were treated as a corporation for federal income tax purposes, there would be material reductions in the anticipated cash flow and after-tax return to our unitholders, likely causing a substantial reduction in the value of our units. This could adversely affect our financial position, results of operations and ability to make distributions to our unitholders.</w:t>
      </w:r>
    </w:p>
    <w:p>
      <w:pPr>
        <w:spacing w:after="0" w:line="5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unitholders are required to pay income taxes on their share of our taxable income, which may be substantial, even if they do not receive any cash distributions from us. A unitholder’s share of our taxable income may be affected by a variety of factors, including our economic performance and transactions in which we engage.</w:t>
      </w:r>
    </w:p>
    <w:p>
      <w:pPr>
        <w:spacing w:after="0" w:line="3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unitholder’s allocable share of our taxable income will be taxable to it, which may require the unitholder to pay federal income taxes and, in some cases, state and local income taxes, even if the unitholder receives no cash distributions from us.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For example, we have not paid a distribution on our common units since 2020, but we have allocated substantial amounts of taxable income and tax depreciation to our unitholders each year, though the precise amount has varied significantly depending upon when the unitholder acquired the units and the price paid for the units.</w:t>
      </w:r>
    </w:p>
    <w:p>
      <w:pPr>
        <w:spacing w:after="0" w:line="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 2020, we engaged in transactions that generated substantial COD income on a per unit basis relative to the trading price of our common units. We may engage in other transactions that result in substantial COD income or other substantial gains, such as gains upon asset sales, in the future, and such events may cause a unitholder to be allocated substantial income with respect to our units with no corresponding distribution of cash to fund the payment of the resulting tax liability to the unitholder.</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unitholder’s share of our taxable income will include any COD income recognized upon the satisfaction of our outstanding indebtedness for total consideration less than the adjusted issue price (and any accrued but unpaid interest) of such indebtedness. In 2020, we engaged in various liability management transactions that resulted in substantial COD income. We may engage in other transactions that result in substantial COD income or other substantial gains, such as gains upon asset sales, in the future. Depending upon the net amount of other items related to our loss (or income) allocable to a unitholder, any COD income or other gains (including from an asset sale) may cause a unitholder to be allocated substantial income with respect to our units with no corresponding distribution of cash to fund the payment of the resulting tax liability to the unitholder. Furthermore, such COD income event or other gain event may not be fully offset, either now or in the future, by capital losses, which are subject to significant limitations, or other losses. Accordingly, a COD income event or other gain event could cause a unitholder to realize taxable income without corresponding future economic benefits or offsetting tax deductions.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subjected to a material amount of additional entity-level taxation by individual states, it would reduce our cash available for distribution to our unitholders.</w:t>
      </w:r>
    </w:p>
    <w:p>
      <w:pPr>
        <w:spacing w:after="0" w:line="9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Changes in current state law may subject us to additional entity-level taxation by individual states. Because of widespread state budget deficits and other reasons, several states are evaluating ways to subject partnerships to entity-level taxation through the imposition of state income, franchise and other forms of taxation. Imposition of any such taxes may substantially reduce the cash available for distribution.</w:t>
      </w:r>
    </w:p>
    <w:p>
      <w:pPr>
        <w:spacing w:after="0" w:line="49" w:lineRule="exact"/>
        <w:rPr>
          <w:sz w:val="20"/>
          <w:szCs w:val="20"/>
          <w:color w:val="auto"/>
        </w:rPr>
      </w:pPr>
    </w:p>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3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present U.S. federal income tax treatment of publicly traded partnerships, including us, or an investment in our units may be modified by administrative, legislative or judicial changes or differing interpretations at any time. From time to time, the President and members of the U.S. Congress propose and consider substantive changes to the existing federal income tax laws that affect publicly traded partnerships, including proposals that would eliminate our ability to quality for partnership tax treatment. Further, while unitholders of publicly traded partnerships are, subject to certain limitations, entitled to a deduction equal to 20% of their allocable share of a publicly traded partnership’s “qualified business income,” this deduction is scheduled to expire with respect to taxable years beginning after December 31, 2025.</w:t>
      </w:r>
    </w:p>
    <w:p>
      <w:pPr>
        <w:spacing w:after="0" w:line="5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Any modification to the U.S. federal income tax laws and interpretations could make it more difficult or impossible to meet the exception for us to be treated as a partnership for U.S. federal income tax purposes. We are unable to predict whether any such changes will ultimately be enacted, but it is possible that a change in law could affect us and may, if enacted, be applied retroactively. Any such changes could negatively impact the value of an investment in our units.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Unitholders may be subject to limitation on their ability to deduct interest expense incurred by us.</w:t>
      </w:r>
    </w:p>
    <w:p>
      <w:pPr>
        <w:spacing w:after="0" w:line="9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purposes of this limitation, our adjusted taxable income is computed without regard to any business interest expense or business interest income. In the case of taxable years beginning January 1, 2022, our adjusted taxable income is computed by taking into account any deduction allowable for depreciation, amortization, or depletion. Our deduction for “business interest” is significantly limited by these rules, and as a result, the amount of taxable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income allocated to our unitholders is increased. Prospective unitholders should consult their tax advisors regarding the impact of this business interest deduction limitation on an investment in our common units.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gain or loss on the disposition of our units could be more or less than expected.</w:t>
      </w:r>
    </w:p>
    <w:p>
      <w:pPr>
        <w:spacing w:after="0" w:line="9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If a unitholder sells its units, a gain or loss will be recognized for federal income tax purposes equal to the difference between the amount realized and the unitholder's tax basis in those units. Because distributions in excess of a unitholder's allocable share of its net taxable income decrease its tax basis in its units, the amount, if any, of such prior excess distributions with respect to the units it sells will, in effect, become taxable income to the unitholder if it sells such units at a price greater than its tax basis in those units, even if the price it receives is less than its original cost.</w:t>
      </w:r>
    </w:p>
    <w:p>
      <w:pPr>
        <w:spacing w:after="0" w:line="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Furthermore, a substantial portion of the amount realized on any sale or other disposition of a unitholder's units may be taxed as ordinary income due to potential recapture items, including depreciation recapture. Such ordinary income may exceed net taxable gain realized on the sale of a unit and may be recognized even if there is a net taxable loss realized on the sale of a unit. Thus, a unitholder may recognize both ordinary income and capital gain or loss upon a sale of units. In addition, because the amount realized includes a unitholder's share of our nonrecourse liabilities, if a unitholder sells its units, it may incur a tax liability in excess of the amount of cash it receives from the sale.</w:t>
      </w:r>
    </w:p>
    <w:p>
      <w:pPr>
        <w:spacing w:after="0" w:line="54"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IRS contests the federal income tax positions we take, the market for our units may be adversely impacted and the cost of any IRS contest would likely reduce our cash available for distribution to our unitholders.</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IRS may adopt positions that differ from the conclusions of our counsel expressed in a prospectus or from the positions we take, and the IRS's positions may ultimately be sustained. It may be necessary to resort to administrative or court proceedings to sustain some or all of our counsel’s conclusions or the positions we take and such positions may not ultimately be sustained. A court may not agree with some or all of our counsel’s conclusions or the positions we take. Any contest with the IRS, and the outcome of any IRS contest, may have a materially adverse effect on the market for our units and the price at which they trade. In addition, our costs of any contest with the IRS would be borne indirectly by our unitholders because the costs would likely reduce our cash available for distribution.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Tax-exempt entities and non-U.S. persons face unique tax issues from owning our units that may result in adverse tax consequences to them.</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Investment in our units by tax-exempt entities, such as employee benefit plans and individual retirement accounts (“IRAs”), and non-U.S. persons raises issues unique to them. For example, virtually all of our income allocated to an organization that is exempt from federal income tax, including IRAs and other retirement plans, will be unrelated business taxable income (“UBTI”) and will be taxable to the exempt organization as UBTI on the exempt organization’s tax return in the year the exempt organization is allocated the income. An exempt organization is required to independently compute its UBTI from each separate unrelated trade or business which may prevent an exempt organization from utilizing losses we allocate to the organization against the organization’s UBTI from other sources and vice versa. Distributions to non-U.S. persons will be reduced by withholding taxes at the highest applicable effective tax rate, and non-U.S. persons will be required to file federal income tax returns and applicable state tax returns and pay tax on their share of our taxable income.</w:t>
      </w:r>
    </w:p>
    <w:p>
      <w:pPr>
        <w:spacing w:after="0" w:line="6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5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Additionally, if a unitholder sells or otherwise disposes of a unit, the transferee is required to withhold 10.0% of the amount realized by the transferor unless the transferor certifies that it is not a foreign person, and we are required to deduct and withhold from the transferee amounts that should have been withheld by the transferee but were not withheld. Under the Treasury Regulations, such withholding will be required on open market transactions, but in the case of a transfer made through a broker, a partner’s share of liabilities will be excluded from the amount realized. In addition, the obligation to withhold will be imposed on the broker instead of the transferee (and we will generally not be required to withhold from the transferee amounts that should have been withheld by the transferee but were not withheld). These withholding obligations will apply to</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transfers of our common units occurring on or after January 1, 2023. Current and prospective non-U.S. unitholders should consult their tax advisors regarding the impact of these rules on an investment in our common units.</w:t>
      </w:r>
    </w:p>
    <w:p>
      <w:pPr>
        <w:spacing w:after="0" w:line="3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treat each holder of our common units as having the same tax benefits without regard to the actual common units held. The IRS may challenge this treatment, which could adversely affect the value of the common units.</w:t>
      </w:r>
    </w:p>
    <w:p>
      <w:pPr>
        <w:spacing w:after="0" w:line="3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our unitholders. A successful IRS challenge also could affect the timing of these tax benefits or the amount of gain from a unitholder’s sale of common units and could have a negative impact on the value of our common units or result in audit adjustments to the unitholder’s tax returns.</w:t>
      </w:r>
    </w:p>
    <w:p>
      <w:pPr>
        <w:spacing w:after="0" w:line="5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Treatment of distributions on our Series A Preferred Units as guaranteed payments for the use of capital creates a different tax treatment for the holders of our Series A Preferred Units than the holders of our common units and such distributions are not eligible for the 20% deduction for qualified publicly traded partnership income.</w:t>
      </w:r>
    </w:p>
    <w:p>
      <w:pPr>
        <w:spacing w:after="0" w:line="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tax treatment of distributions on our Series A Preferred Units is uncertain. We will treat the holders of Series A Preferred Units as partners for tax purposes and will treat distributions on the Series A Preferred Units as guaranteed payments for the use of capital that will generally be taxable to the holders of Series A Preferred Units as ordinary income. A holder of Series A Preferred Units may recognize taxable income from the accrual of such a guaranteed payment even in the absence of a contemporaneous distribution, and we anticipate accruing the guaranteed payment distributions quarterly on the 15th day of March, June, September and December. Because the guaranteed payment for each unit must accrue as income to a holder during the taxable year of the accrual, the guaranteed payment attributable to the period beginning December 15th and ending December 31st will accrue to the holder of record of a Series A Preferred Unit on December 31st for such period. Otherwise, except in the case of our liquidation, the holders of Series A Preferred Units are generally not anticipated to share in our items of income, gain, loss or deduction. We will not allocate any share of its nonrecourse liabilities to the holders of Series A Preferred Units.</w:t>
      </w:r>
    </w:p>
    <w:p>
      <w:pPr>
        <w:spacing w:after="0" w:line="6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Treasury Regulations provide that a guaranteed payment for the use of capital generally is not taken into account for purposes of computing qualified business income for purposes of the 20% deduction for qualified publicly traded partnership will not constitute an allocable or distributive share of such income. As a result, the guaranteed payment for use of capital received by holders of our Series A Preferred Units may not be eligible for the 20% deduction for qualified publicly traded partnership income.</w:t>
      </w:r>
    </w:p>
    <w:p>
      <w:pPr>
        <w:spacing w:after="0" w:line="5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 holder of Series A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A Preferred Units. Subject to general rules requiring a blended basis among multiple partnership interests, the tax basis of a Series A Preferred Unit will generally be equal to the sum of the cash and the fair market value of other property paid by the holder to acquire such Series A Preferred Unit. Gain or loss recognized by a holder on the sale or exchange of a Series A Preferred Unit held for more than one year generally will be taxable as long-term capital gain or loss. Because holders of Series A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Investment in the Series A Preferred Units by tax-exempt investors, such as employee benefit plans and IRAs, and non-U.S. persons raises issues unique to them. Although the issue is not free from doubt, we will treat distributions to non-U.S. holders of the Series A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tax-exempt investors is not certain and such payments may be treated as unrelated business taxable income for federal income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holders of our Series A Preferred Units are urged to consult a tax advisor with respect to the consequences of owning our Series A Preferred Units.</w:t>
      </w:r>
    </w:p>
    <w:p>
      <w:pPr>
        <w:spacing w:after="0" w:line="9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prorate our items of income, gain, loss and deduction for U.S. federal income tax purposes between transferors and transferees of our units each month based upon the ownership of our units on the first day of each month, instead of on the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of the date a particular unit is transferred. Treasury Regulations allow a similar monthly simplifying convention, but do not specifically authorize the use of the proration method we have adopted. If the IRS were to challenge our proration method, or if new Treasury Regulations were issued, we may be required to change the allocation of items of income, gain, loss and deduction among our unitholders.</w:t>
      </w:r>
    </w:p>
    <w:p>
      <w:pPr>
        <w:spacing w:after="0" w:line="49"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unitholder whose units are loaned to a “short seller” to cover a short sale of units may be considered as having disposed of those units. If so, the unitholder would no longer be treated for federal income tax purposes as a partner with respect to those units during the period of the loan and may recognize gain or loss from the disposition.</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Because a unitholder whose units are loaned to a “short seller” to cover a short sale of units may be considered as having disposed of the loaned units, the unitholder may no longer be treated for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loaning their units.</w:t>
      </w:r>
    </w:p>
    <w:p>
      <w:pPr>
        <w:spacing w:after="0" w:line="56"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adopted certain valuation methodologies and monthly conventions for U.S. federal income tax purposes that may result in a shift of income, gain, loss and deduction among our unitholders. The IRS may challenge this treatment, which could adversely affect the value of our units.</w:t>
      </w:r>
    </w:p>
    <w:p>
      <w:pPr>
        <w:spacing w:after="0" w:line="3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When we issue additional units or engage in certain other transactions, we will determine the fair market value of our assets. Although we may from time to time consult with professional appraisers regarding valuation matters, we make many fair market value estimates using a methodology based on the market value of our units as a means to measure the fair market value of our assets. The IRS may challenge these valuation methods and the resulting allocations of income, gain, loss and deduction.</w:t>
      </w:r>
    </w:p>
    <w:p>
      <w:pPr>
        <w:spacing w:after="0" w:line="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 successful IRS challenge to these methods or allocations could adversely affect the amount, character and timing of taxable income or loss being allocated to our unitholders. It also could affect the amount of taxable gain from our unitholders' sale of units and could have a negative impact on the value of the units or result in audit adjustments to our unitholders' tax returns without the benefit of additional deductions.</w:t>
      </w:r>
    </w:p>
    <w:p>
      <w:pPr>
        <w:spacing w:after="0" w:line="4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the IRS makes audit adjustments to our income tax returns, the IRS (and some states) may collect any resulting taxes (including any applicable penalties and interest) resulting from such audit adjustment directly from us, in which case we may require our unitholders and former unitholders to reimburse us for such taxes (including any applicable penalties or interest) or, if we are required to bear such payment, our cash available for distribution to our unitholders could be substantially reduced.</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If the IRS makes audit adjustments to our income tax returns, it may collect any resulting taxes (including any applicable penalties and interest) directly from us. We will generally have the ability to shift any such tax liability to our unitholders in accordance with their interests in us during the year under audit, but there can be no assurance that we will be able to do so (and will choose to do so) under all circumstances, or that we will be able to (or choose to) effect corresponding shifts in state income or similar tax liability resulting from the IRS adjustment in states in which we do business in the year under audit or in the adjustment year. If, we make payments of taxes, penalties and interest resulting from audit adjustments, we may require our unitholders and former unitholders to reimburse us for such taxes (including any applicable penalties or interest) or, if we are required to bear such payment, our cash available for distribution to our unitholders could be substantially reduced. Additionally, we may be required to allocate an adjustment disproportionately among our unitholders, causing the publicly traded units to have different capital accounts, unless the IRS issues further guidance.</w:t>
      </w:r>
    </w:p>
    <w:p>
      <w:pPr>
        <w:spacing w:after="0" w:line="6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result of investing in our units, our unitholders will likely be subject to state and local taxes and return filing requirements in jurisdictions where we operate or own or acquire properties.</w:t>
      </w:r>
    </w:p>
    <w:p>
      <w:pPr>
        <w:spacing w:after="0" w:line="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addition to federal income taxes, our unitholders will likely be subject to other taxes, including state and local taxes, unincorporated business taxes and estate, inheritance or intangible taxes that are imposed by the various jurisdictions in which we conduct business or control property now or in the future, even if the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Some of the states in which we conduct business currently impose a personal income tax on individuals. As we make acquisitions or expand our business, we may control assets or conduct business in additional states that impose a personal income tax. It is the unitholder's responsibility to file all federal, state and local tax returns.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and changes in tax laws could adversely affect our performance.</w:t>
      </w:r>
    </w:p>
    <w:p>
      <w:pPr>
        <w:spacing w:after="0" w:line="9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are subject to extensive tax laws and regulations, including federal and state income taxes and transactional taxes such as excise, sales/use, payroll, franchise and ad valorem taxes. New tax laws and regulations and changes in existing tax laws and regulations are continuously being enacted that could result in increased tax expenditures in the future. Many of these tax liabilities are subject to audits by the respective taxing authority. These audits may result in additional taxes as well as interest and penalties.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Terrorism and Cyberterrorism</w:t>
      </w:r>
    </w:p>
    <w:p>
      <w:pPr>
        <w:spacing w:after="0" w:line="94"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Terrorist attacks and threats, escalation of military activity in response to these attacks, or acts of war could have a material adverse effect on our business, financial condition or results of operations.</w:t>
      </w:r>
    </w:p>
    <w:p>
      <w:pPr>
        <w:spacing w:after="0" w:line="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 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depend on the use of information technology (“IT”) and operational technology (“OT”) systems that could be the target of a cyberattack.</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oil and gas industry has become increasingly dependent on digital technologies to conduct day-to-day operations, including certain midstream activities. For example, software programs are used to manage gathering and transportation systems and for compliance reporting. The use of remote communication devices has increased rapidly. Industrial control systems now control large scale processes that can include multiple sites and long distances, such as oil and gas pipelines.</w:t>
      </w:r>
    </w:p>
    <w:p>
      <w:pPr>
        <w:spacing w:after="0" w:line="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operations depend on the use of sophisticated IT and OT systems. These systems, as well as those of our customers, business partners and counterparties, may become the target of cyber-attacks or information security breaches. Additionally, increased remote access to information systems by employees and contractors can increase exposure to potential cybersecurity incidents.</w:t>
      </w:r>
    </w:p>
    <w:p>
      <w:pPr>
        <w:spacing w:after="0" w:line="3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Any such cyber-attacks or information security breaches could have a material adverse effect on our revenues and increase our operating and capital costs and could reduce the amount of cash otherwise available for distribution. A cyber-incident involving our IT or OT systems, or that of our customers, business partners or counterparties, could disrupt our business plans and negatively impact our operations in the following ways, among others:</w:t>
      </w:r>
    </w:p>
    <w:p>
      <w:pPr>
        <w:spacing w:after="0" w:line="51" w:lineRule="exact"/>
        <w:rPr>
          <w:sz w:val="20"/>
          <w:szCs w:val="20"/>
          <w:color w:val="auto"/>
        </w:rPr>
      </w:pPr>
    </w:p>
    <w:p>
      <w:pPr>
        <w:ind w:left="520" w:right="2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cyber-attack on a vendor or service provider could result in supply chain disruptions, which could delay or halt development of additional infrastructure, effectively delaying the start of cash flows from the project;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cyber-attack on downstream pipelines could prevent us from delivering product at the tailgate of our facilities, resulting in a loss of revenues;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cyber-attack on a communications network or power grid could cause operational disruption, resulting in loss of revenues;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deliberate corruption of our financial or operational data could result in events of non-compliance, which could lead to regulatory fines or penalties;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could result in expensive remediation efforts, distraction of management, damage to our reputation or a negative impact on the price of our units.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Cyber-incidents and related business interruptions could result in expensive remediation efforts, distraction of management, damage to our reputation or a negative impact on the price of our units. In addition, certain cyberattacks and related incidents, such as reconnaissance or surveillance by threat actors, may remain undetected for an extended period notwithstanding our monitoring and detection efforts. As a result, we may be required to incur additional costs to modify or enhance our IT or OT systems to prevent or remediate any such attacks. Finally, laws and regulations governing cybersecurity pose increasingly complex compliance challenges, and failure to comply with these laws could result in penalties and legal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 Risk Management, Strategy and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Cybersecurity Oversight and Management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Oversight of Cybersecurity Matters</w:t>
      </w:r>
    </w:p>
    <w:p>
      <w:pPr>
        <w:spacing w:after="0" w:line="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The Audit Committee is tasked with overseeing the Partnership’s cybersecurity matters. Pursuant to the Audit Committee’s charter, one of the Audit Committee’s responsibilities is to discuss the Partnership’s major risk exposures with management, including those related to cybersecurity, and the steps taken by management to monitor and control such exposures, including the Partnership’s risk assessment and risk management guidelines, policies and practices.</w:t>
      </w:r>
    </w:p>
    <w:p>
      <w:pPr>
        <w:spacing w:after="0" w:line="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Audit Committee reports to the entire Board of Directors periodically regarding its oversight of cybersecurity matters. In developing such updates to the Board of Directors, the Audit Committee relies in large part on periodic updates from Partnership management.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of Cybersecurity Matters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Partnership’s management assumes executive responsibility for assessing, identifying, and managing cybersecurity risks and incidents.</w:t>
      </w:r>
    </w:p>
    <w:p>
      <w:pPr>
        <w:spacing w:after="0" w:line="9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particular, the Senior Vice President, Engineering and Operations (SVP, E&amp;O) reports directly to the President, Chief Executive Officer, and Chairman of the Board and holds the highest level of executive responsibility for assessing and managing all cybersecurity threats, incidents, and risks at the Partnership, as well as developing and implementing all cybersecurity risk management, strategy, and governance recommendations.</w:t>
      </w:r>
    </w:p>
    <w:p>
      <w:pPr>
        <w:spacing w:after="0" w:line="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SVP, E&amp;O holds key skills, experience, and competencies related to the management of cybersecurity matters. In particular, our current SVP, E&amp;O has over 30 years of experience leading IT and OT physical security and cybersecurity.</w:t>
      </w:r>
    </w:p>
    <w:p>
      <w:pPr>
        <w:spacing w:after="0" w:line="3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SVP, E&amp;O is supported by critical internal positions within the Partnership, including but not limited to the Director of Information Technology, Vice President of Operational Technology and dedicated IT and OT resources with cybersecurity responsibilities. The SVP, E&amp;O is further supported by various external parties, including but not limited to cybersecurity service providers, consultants, and other third parties engaged on an as-needed basis.</w:t>
      </w:r>
    </w:p>
    <w:p>
      <w:pPr>
        <w:spacing w:after="0" w:line="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Partnership’s management has processes in place by which it is informed of and monitors the prevention, detection, mitigation, and remediation of cybersecurity risks. These processes include, but are not limited to:</w:t>
      </w:r>
    </w:p>
    <w:p>
      <w:pPr>
        <w:spacing w:after="0" w:line="39"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updated inventory and management of digital assets;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Ensuring familiarity and compliance with cybersecurity frameworks, including the National Institute of Standards and Technology’s Cybersecurity Framework and ISO 27001;</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Updating and maintaining an internal incident response plan;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risk assessments of the Partnership’s cybersecurity policies, practices, and tools;</w:t>
      </w:r>
    </w:p>
    <w:p>
      <w:pPr>
        <w:spacing w:after="0" w:line="93"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Employing appropriate antivirus, anti-malware, firewall, endpoint detection and response, backup and recovery software, multifactor authentication, virtual private network, account change monitoring, patch management, web content filter, spam filter and reporting, and vulnerability management software;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regular vulnerability scans of the Partnership’s digital and operational infrastructure;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employees to complete a Cybersecurity Awareness Program, which includes computer-based training;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evaluating developments in the threat landscape.</w:t>
      </w:r>
    </w:p>
    <w:p>
      <w:pPr>
        <w:spacing w:after="0" w:line="9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Partnership’s management also has processes in place to oversee and identify material risks from cybersecurity threats associated with its use of third-party service providers. These processes include, but are not limited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inventory of all third-party vendors engaged by the Partnership and assessing each vendor’s level of access to the Partnership’s IT and OT systems and information;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access controls that restrict vendor access to only specific Partnership systems and information necessary to perform their service.</w:t>
      </w:r>
    </w:p>
    <w:p>
      <w:pPr>
        <w:spacing w:after="0" w:line="94"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SVP, E&amp;O provides updates to the Audit Committee at its quarterly meetings regarding management of the Partnership’s cybersecurity matters, including any new cybersecurity threats, incidents, risks, risk management solutions, trainings or education, infrastructure upgrades, or governance changes.</w:t>
      </w:r>
    </w:p>
    <w:p>
      <w:pPr>
        <w:spacing w:after="0" w:line="6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As of March 15, 2024, the Partnership’s business strategy, operations, or financial condition have not been materially affected by and are not likely to be materially affected by, any cybersecurity threats or incidents.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description of our properties is included in Item 1. Business, and is incorporated herein by reference. For additional information on our midstream assets and their capacities, see Item 1. Business.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 exception of certain ordinary course encumbrances and permits with governmental entities that have been applied for, but not yet issued.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lease various office space to support our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4"/>
          <w:szCs w:val="14"/>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 contemplated to be brought against us, under the various environmental protection statutes to which we are subject, except as noted below.</w:t>
      </w:r>
    </w:p>
    <w:p>
      <w:pPr>
        <w:spacing w:after="0" w:line="4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Fiberspar Corporation. </w:t>
      </w:r>
      <w:r>
        <w:rPr>
          <w:rFonts w:ascii="Times New Roman" w:cs="Times New Roman" w:eastAsia="Times New Roman" w:hAnsi="Times New Roman"/>
          <w:sz w:val="14"/>
          <w:szCs w:val="14"/>
          <w:color w:val="auto"/>
        </w:rPr>
        <w:t>On May 3, 2022, Fiberspar Corporation (“Fiberspar”) filed a petition in state court alleging, before costs and interest, over $5.0 million owed but not paid for orders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spacing w:after="0" w:line="5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Global Settlement. </w:t>
      </w:r>
      <w:r>
        <w:rPr>
          <w:rFonts w:ascii="Times New Roman" w:cs="Times New Roman" w:eastAsia="Times New Roman" w:hAnsi="Times New Roman"/>
          <w:sz w:val="14"/>
          <w:szCs w:val="14"/>
          <w:color w:val="auto"/>
        </w:rPr>
        <w:t>On August 4, 2021, the Partnership and several of its subsidiaries entered into agreements to resolve government investigations into the previously disclosed 2015 Blacktail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spacing w:after="0" w:line="5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system audit, training, and reporting; and (iv) no admission of liability to the U.S. or North Dakota. The Consent Decree was entered by the U.S. District Court on September 28, 2021.</w:t>
      </w:r>
    </w:p>
    <w:p>
      <w:pPr>
        <w:spacing w:after="0" w:line="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spacing w:after="0" w:line="5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spacing w:after="0" w:line="5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On December 6, 2021, the U.S. District Court accepted the Plea Agreement. This Global Settlement resulted in losses amounting to $36.3 million and will be paid over five to six years, of which we have paid principal amounts of $14.7 million as of December 31, 2023.</w:t>
      </w:r>
    </w:p>
    <w:p>
      <w:pPr>
        <w:spacing w:after="0" w:line="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Verdad Resources. </w:t>
      </w:r>
      <w:r>
        <w:rPr>
          <w:rFonts w:ascii="Times New Roman" w:cs="Times New Roman" w:eastAsia="Times New Roman" w:hAnsi="Times New Roman"/>
          <w:sz w:val="14"/>
          <w:szCs w:val="14"/>
          <w:color w:val="auto"/>
        </w:rPr>
        <w:t>Verdad Resources LLC (“Verdad”) filed a complaint in Colorado state court for the district of Weld County against Sterling Energy Investments LLC (“Sterling”), Golden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Resources, Inc., and Grasslands Energy Marketing LLC (“Grasslands”) on October 20, 2022, and amended on December 6, 2022 to exclude Golden Resources, Inc. as a defendant. In connection with the 2022 DJ Acquisitions, Sterling and Grasslands became subsidiaries of the Partnership. The Partnership settled all claims with Verdad in February 2024 with no material impact to the Partnership.</w:t>
      </w:r>
    </w:p>
    <w:p>
      <w:pPr>
        <w:spacing w:after="0" w:line="4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Sage Natural Resources. </w:t>
      </w:r>
      <w:r>
        <w:rPr>
          <w:rFonts w:ascii="Times New Roman" w:cs="Times New Roman" w:eastAsia="Times New Roman" w:hAnsi="Times New Roman"/>
          <w:sz w:val="14"/>
          <w:szCs w:val="14"/>
          <w:color w:val="auto"/>
        </w:rPr>
        <w:t>In July 2022, the Partnership’s subsidiary DFW Midstream filed a petition in the District Court of Dallas County, Texas seeking payment, before costs and interest,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$1.0 million in electric power costs for gathering services provided to Sage Natural Resources, LLC (“Sage”) in 2021-2022. Sage has denied the amounts are owed and has filed counterclaims seeking damages and other relief for DFW Midstream’s alleged breaches of the gathering agreement. The issues in this case arose from events in February 2021 impacting the oil and gas industry in the Barnett during Winter Storm Uri. A non-jury trial is currently scheduled for February 2024, and we are unable to predict the final outcome of this matter.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units trade on the NYSE under the ticker symbol “SMLP”. As of December 31, 2023, there were approximately 6,583 common unitholders of record per our tax records.</w:t>
      </w:r>
    </w:p>
    <w:p>
      <w:pPr>
        <w:spacing w:after="0" w:line="9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have not made a distribution on our common units or Series A Preferred Units since we announced a suspension of those distributions on May 3, 2020. We paid distributions in-kind on our Subsidiary Series A Preferred Units in 2020, 2021 and portions of 2022, and we did not pay any distributions in-kind in 2023. We paid cash distributions on our Subsidiary Series A Preferred Units totaling $6.5 million in 2023 and $3.3 million in 2022 and accrued an additional $1.6 million in 2023 which was subsequently paid in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Cash Distribution Policy and Restrictions on Distributions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Suspension of Distributions</w:t>
      </w:r>
      <w:r>
        <w:rPr>
          <w:rFonts w:ascii="Times New Roman" w:cs="Times New Roman" w:eastAsia="Times New Roman" w:hAnsi="Times New Roman"/>
          <w:sz w:val="14"/>
          <w:szCs w:val="14"/>
          <w:color w:val="auto"/>
        </w:rPr>
        <w:t>. On May 3, 2020, we suspended distributions to holders of our common units and suspended payments of distributions to holders of our Series A Preferred Units,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commencing with respect to the quarter ending March 31, 2020. Because our Series A Preferred Units rank senior to our common units with respect to distribution rights, any accrued amounts on our Series A Preferred Units must first be paid prior to our resumption of distributions to our common unitholders. As of December 31, 2023, the amount of accrued and unpaid distributions on the Series A Preferred Units totaled $33.0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Absent a material change to our business, we do not expect to pay distributions to holders of our common units or Series A Preferred Units in the foreseeable future.</w:t>
      </w:r>
    </w:p>
    <w:p>
      <w:pPr>
        <w:spacing w:after="0" w:line="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Cash Distribution Policy. </w:t>
      </w:r>
      <w:r>
        <w:rPr>
          <w:rFonts w:ascii="Times New Roman" w:cs="Times New Roman" w:eastAsia="Times New Roman" w:hAnsi="Times New Roman"/>
          <w:sz w:val="14"/>
          <w:szCs w:val="14"/>
          <w:color w:val="auto"/>
        </w:rPr>
        <w:t>Our Partnership Agreement requires us to distribute all of our available cash quarterly, subject to reserves established by our General Partner. Generally, our available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cash is our (i) cash on hand at the end of a quarter after the payment of our expenses and the establishment of cash reserves and (ii) cash on hand resulting from working capital borrowings made after the end of the quarter. Because we are not subject to an entity-level federal income tax, we have more cash to distribute to our unitholders than would be the case were we subject to federal income tax.</w:t>
      </w:r>
    </w:p>
    <w:p>
      <w:pPr>
        <w:spacing w:after="0" w:line="22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If we resume distributions on the common units, we will pay our distributions on or about the 15th of each of February, May, August and November to holders of record on or about seven days prior to such distribution date, and we make the distribution on the business day immediately preceding the indicated distribution date if the distribution date falls on a holiday or non-business day.</w:t>
      </w:r>
    </w:p>
    <w:p>
      <w:pPr>
        <w:spacing w:after="0" w:line="3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Board of Directors plans on making decisions with respect to payment of distributions on the common units and Series A Preferred Units on a semi-annual or quarterly basis, as applicable, based on the required payment date. However, we do not intend to pay distributions on the common units or Series A Preferred Units in the foreseeable future, absent a material change to our business, and there are restrictions in the agreements for our indebtedness limiting our ability to pay cash distributions on any of our equity securities.</w:t>
      </w:r>
    </w:p>
    <w:p>
      <w:pPr>
        <w:spacing w:after="0" w:line="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Limitations on Cash Distributions and Our Ability to Change Our Cash Distribution Policy. </w:t>
      </w:r>
      <w:r>
        <w:rPr>
          <w:rFonts w:ascii="Times New Roman" w:cs="Times New Roman" w:eastAsia="Times New Roman" w:hAnsi="Times New Roman"/>
          <w:sz w:val="14"/>
          <w:szCs w:val="14"/>
          <w:color w:val="auto"/>
        </w:rPr>
        <w:t>There is no guarantee that our unitholders will receive quarterly distributions from us. We do not have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legal obligation to pay any distribution except to the extent we have available cash as defined in our Partnership Agreement. Our cash distribution policy may be changed at any time and is subject to certain restrictions, including the following:</w:t>
      </w:r>
    </w:p>
    <w:p>
      <w:pPr>
        <w:spacing w:after="0" w:line="51" w:lineRule="exact"/>
        <w:rPr>
          <w:sz w:val="20"/>
          <w:szCs w:val="20"/>
          <w:color w:val="auto"/>
        </w:rPr>
      </w:pPr>
    </w:p>
    <w:p>
      <w:pPr>
        <w:ind w:left="520" w:hanging="260"/>
        <w:spacing w:after="0" w:line="270"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distribution policy is subject to restrictions on distributions under our ABL Facility and the indentures governing the Senior Notes. These agreements contain financial tests, excess cash flow sweep mechanisms, and covenants that we must satisfy. Should we be unable to satisfy these restrictions, we may be prohibited from making cash distributions notwithstanding our stated cash distribution policy.</w:t>
      </w:r>
    </w:p>
    <w:p>
      <w:pPr>
        <w:spacing w:after="0" w:line="50"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distribution policy is subject to restrictions on distributions under our Series A Preferred Units. Our Series A Preferred Units contain covenants that we must satisfy. Should we be unable to satisfy these restrictions, we may be prohibited from making cash distributions notwithstanding our stated cash distribution policy.</w:t>
      </w:r>
    </w:p>
    <w:p>
      <w:pPr>
        <w:spacing w:after="0" w:line="39" w:lineRule="exact"/>
        <w:rPr>
          <w:rFonts w:ascii="Times New Roman" w:cs="Times New Roman" w:eastAsia="Times New Roman" w:hAnsi="Times New Roman"/>
          <w:sz w:val="14"/>
          <w:szCs w:val="14"/>
          <w:color w:val="auto"/>
        </w:rPr>
      </w:pPr>
    </w:p>
    <w:p>
      <w:pPr>
        <w:jc w:val="both"/>
        <w:ind w:left="520" w:right="100" w:hanging="260"/>
        <w:spacing w:after="0" w:line="270"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7" w:name="page68"/>
    <w:bookmarkEnd w:id="6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right="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our Partnership Agreement requires us to distribute all of our available cash, our Partnership Agreement, including the provisions requiring us to distribute all of our available cash, may be amended. We can amend our Partnership Agreement with the consent of our General Partner and the approval of a majority of the outstanding common units.</w:t>
      </w:r>
    </w:p>
    <w:p>
      <w:pPr>
        <w:spacing w:after="0" w:line="3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Delaware law, we may not make a distribution if the distribution would cause our liabilities to exceed the fair value of our assets.</w:t>
      </w:r>
    </w:p>
    <w:p>
      <w:pPr>
        <w:spacing w:after="0" w:line="93" w:lineRule="exact"/>
        <w:rPr>
          <w:rFonts w:ascii="Times New Roman" w:cs="Times New Roman" w:eastAsia="Times New Roman" w:hAnsi="Times New Roman"/>
          <w:sz w:val="14"/>
          <w:szCs w:val="14"/>
          <w:color w:val="auto"/>
        </w:rPr>
      </w:pPr>
    </w:p>
    <w:p>
      <w:pPr>
        <w:jc w:val="both"/>
        <w:ind w:left="520" w:right="100" w:hanging="260"/>
        <w:spacing w:after="0" w:line="270"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spacing w:after="0" w:line="50" w:lineRule="exact"/>
        <w:rPr>
          <w:rFonts w:ascii="Times New Roman" w:cs="Times New Roman" w:eastAsia="Times New Roman" w:hAnsi="Times New Roman"/>
          <w:sz w:val="14"/>
          <w:szCs w:val="14"/>
          <w:color w:val="auto"/>
        </w:rPr>
      </w:pPr>
    </w:p>
    <w:p>
      <w:pPr>
        <w:ind w:left="520" w:righ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to the extent our cash available for distribution materially declines, we may elect to reduce our quarterly distribution rate to service or repay our debt or fund expansion capital expenditures.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Unit Distributions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Units</w:t>
      </w:r>
    </w:p>
    <w:p>
      <w:pPr>
        <w:spacing w:after="0" w:line="9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 November 2017, we issued 300,000 Series A Preferred Units at a price to the public of $1,000 per Series A Preferred Unit, and, as a result of exchange transactions completed in 2020, 2021 and 2022, the Partnership had 65,508 Series A Preferred Units outstanding as of December 31, 2023 and $33.0 million of accrued and unpaid distributions.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2020, we suspended payments of distributions to holders of our Series A Preferred Units, and we did not make a distribution on our Series A Preferred Units in 2023 or 2022.</w:t>
      </w:r>
    </w:p>
    <w:p>
      <w:pPr>
        <w:spacing w:after="0" w:line="9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we completed an offer to exchange our Series A Preferred Units for newly issued common units (the “2022 Preferred Exchange Offer”), whereby we issued 2,853,875 SMLP common units, net of units withheld for withholding taxes, in exchange for 77,939 Series A Preferred Units.</w:t>
      </w:r>
    </w:p>
    <w:p>
      <w:pPr>
        <w:spacing w:after="0" w:line="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Distributions on the Series A Preferred Units are cumulative and compounding and are payable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initial distribution rate for the Series A Preferred Units was 9.50% per annum of the $1,000 liquidation preference per Series A Preferred Unit. Beginning December 15, 2022, distributions on the Series A Preferred Units accumulate for each distribution period at a percentage of the liquidation preference equal to the three-month LIBOR plus a spread of 7.43%. During the fourth quarter of 2023, distributions on the Series A Preferred Units began to accumulate at a rate equal to the three-month SOFR plus a spread of 7.69%. See Note 12 - Partners' Capital and Mezzanine Capital to the consolidated financial statements for additional details.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Subsidiary Series A Preferred Units</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December 2019 and during the year ended December 31, 2020, Permian Holdco issued 30,057 and 55,251 Subsidiary Series A Preferred Units, respectively, representing limited partner interests in Permian Holdco at a price of $1,000 per unit. During the year ended December 31, 2022, we elected to make PIK distributions and issued 1,600 Subsidiary Series A Preferred Units to the holders of the Subsidiary Series A Preferred Units. No PIK distributions were made during the year ended December 31, 2023.</w:t>
      </w:r>
    </w:p>
    <w:p>
      <w:pPr>
        <w:spacing w:after="0" w:line="5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As of December 31, 2023, we had 93,039 Subsidiary Series A Preferred Units outstanding, and during fiscal year ended December 31, 2023, we made $6.5 million of cash distributions to holders of the Subsidiary Series A Preferred Units and accrued an additional $1.6 million in 2023 which was subsequently paid in 2024. Additionally, we paid distributions in-kind on our Subsidiary Series A Preferred Units in 2020, 2021 and portions of 2022. We did not pay any distributions in-kind in 2023.</w:t>
      </w:r>
    </w:p>
    <w:p>
      <w:pPr>
        <w:spacing w:after="0" w:line="5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w:t>
      </w:r>
    </w:p>
    <w:p>
      <w:pPr>
        <w:spacing w:after="0" w:line="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4"/>
          <w:szCs w:val="14"/>
          <w:color w:val="auto"/>
        </w:rPr>
        <w:t>applicable Subsidiary Series A Preferred Distribution Payment Date, in each case, when, as, and if declared by the board of directors of Permian Holdco out of legally available funds for such purpose.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distribution rate is 7.00% per annum of the $1,000 issue amount per outstanding Permian Holdco Subsidiary Series A Preferred Unit. Permian Holdco had the option to pay this distribution in-kind until the first quarter of 2022, which is the first full quarter following the date the Double E Pipeline was placed in service. If the Subsidiary Series A Preferred Units were redeemed on December 31, 2023, the redemption amount would be $125.5 million, when considering the applicable multiple of invested capital metric and make-whole amount provisions contained in the Amended and Restated Limited Liability Company Agreement of Permian Holdco. See Note 12 - Partners' Capital and Mezzanine Capital to the consolidated financial statements for additional details.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January 2022, we completed the 2022 Preferred Exchange Offer, whereby we issued 2,853,875 SMLP common units, net of units withheld for withholding taxes, in exchange for 77,939 Series A Preferred Units. Upon the settlement of the 2022 Preferred Exchange Offer, we eliminated $92.6 million of the Series A Preferred Unit liquidation preference amount, inclusive of accrued distributions due as of the settlement date. We did not receive any cash proceeds from the 2022 Preferred Exchange Offer.</w:t>
      </w:r>
    </w:p>
    <w:p>
      <w:pPr>
        <w:spacing w:after="0" w:line="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Partnership relied on Section 3(a)(9) of the Securities Act to exempt the 2022 Preferred Exchange Offer from the registration requirements of the Securities Act. Section 3(a)(9) offers exemptions from the registration requirements of the Securities Act for exchange offers in which (i) the issuer of the securities offered is the same as the issuer of the securities being surrendered, (ii) the holders are not being asked to surrender anything of value other than the outstanding securities, (iii) the exchange offer is made exclusively to existing holders of the issuer’s outstanding securities, and (iv) the issuer does not pay any commission or remuneration for solicitation of the exchange. Because the Partnership offered only its own common units exclusively to the holders of and in exchange for its outstanding Series A Preferred Units, and because it neither paid nor received anything of value other than the subject securities, the Partnership was able to rely on the exemption afforded by Section 3(a)(9) of the Securities Act.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made no repurchases of our common units during the quarter or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MD&amp;A is intended to inform the reader about matters affecting the financial condition and results of operations of the Partnership and its subsidiaries. As a result, the following discussion for the year ended December 31, 2023 should be read in conjunction with the consolidated financial statements and notes thereto included in this Annual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Currently,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 During the year ended December 31, 2023, these additional activities accounted for approximately 39% of our total revenues.</w:t>
      </w:r>
    </w:p>
    <w:p>
      <w:pPr>
        <w:spacing w:after="0" w:line="6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following table presents certain consolidated and reportable segment financial data. For additional information on our reportable segments, see the “Segment Overview for the Years Ended December 31, 2023 and 2022” section herein.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Pr>
          <w:p>
            <w:pPr>
              <w:spacing w:after="0"/>
              <w:rPr>
                <w:sz w:val="12"/>
                <w:szCs w:val="12"/>
                <w:color w:val="auto"/>
              </w:rPr>
            </w:pPr>
          </w:p>
        </w:tc>
      </w:tr>
      <w:tr>
        <w:trPr>
          <w:trHeight w:val="30"/>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1"/>
        </w:trPr>
        <w:tc>
          <w:tcPr>
            <w:tcW w:w="8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30"/>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1"/>
        </w:trPr>
        <w:tc>
          <w:tcPr>
            <w:tcW w:w="8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2"/>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2"/>
                <w:szCs w:val="12"/>
                <w:color w:val="auto"/>
              </w:rPr>
            </w:pPr>
          </w:p>
        </w:tc>
      </w:tr>
      <w:tr>
        <w:trPr>
          <w:trHeight w:val="30"/>
        </w:trPr>
        <w:tc>
          <w:tcPr>
            <w:tcW w:w="8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(38,947)</w:t>
            </w:r>
          </w:p>
        </w:tc>
        <w:tc>
          <w:tcPr>
            <w:tcW w:w="64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(123,461)</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adjusted EBITDA</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Northeast</w:t>
            </w:r>
          </w:p>
        </w:tc>
        <w:tc>
          <w:tcPr>
            <w:tcW w:w="84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94,249</w:t>
            </w:r>
          </w:p>
        </w:tc>
        <w:tc>
          <w:tcPr>
            <w:tcW w:w="64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77,046</w:t>
            </w:r>
          </w:p>
        </w:tc>
      </w:tr>
      <w:tr>
        <w:trPr>
          <w:trHeight w:val="19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Rockies</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87,390</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57,810</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Permian</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24,207</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18,051</w:t>
            </w:r>
          </w:p>
        </w:tc>
      </w:tr>
      <w:tr>
        <w:trPr>
          <w:trHeight w:val="19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Piceance</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59,749</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60,055</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Barnett</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26,171</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31,624</w:t>
            </w:r>
          </w:p>
        </w:tc>
      </w:tr>
      <w:tr>
        <w:trPr>
          <w:trHeight w:val="202"/>
        </w:trPr>
        <w:tc>
          <w:tcPr>
            <w:tcW w:w="8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126,906</w:t>
            </w:r>
          </w:p>
        </w:tc>
        <w:tc>
          <w:tcPr>
            <w:tcW w:w="64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98,744</w:t>
            </w:r>
          </w:p>
        </w:tc>
      </w:tr>
      <w:tr>
        <w:trPr>
          <w:trHeight w:val="212"/>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w:t>
            </w:r>
            <w:r>
              <w:rPr>
                <w:rFonts w:ascii="Times New Roman" w:cs="Times New Roman" w:eastAsia="Times New Roman" w:hAnsi="Times New Roman"/>
                <w:sz w:val="18"/>
                <w:szCs w:val="18"/>
                <w:color w:val="auto"/>
                <w:vertAlign w:val="superscript"/>
              </w:rPr>
              <w:t>(1)</w:t>
            </w:r>
          </w:p>
        </w:tc>
        <w:tc>
          <w:tcPr>
            <w:tcW w:w="840" w:type="dxa"/>
            <w:vAlign w:val="bottom"/>
          </w:tcPr>
          <w:p>
            <w:pPr>
              <w:spacing w:after="0"/>
              <w:rPr>
                <w:sz w:val="18"/>
                <w:szCs w:val="18"/>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68,905</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30,472</w:t>
            </w: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consideration paid for the acquisition of Outrigger DJ, net of cash acquired</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(166,631)</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consideration paid for the acquisition of Sterling DJ, net of cash acquired</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(139,896)</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disposition of the Lane G&amp;P System, net of cash sold in the transaction</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75,020</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disposition of Bison Midstream, net of cash sold in the transaction</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38,920</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in Double E equity method investee</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3,500</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r>
      <w:tr>
        <w:trPr>
          <w:trHeight w:val="202"/>
        </w:trPr>
        <w:tc>
          <w:tcPr>
            <w:tcW w:w="8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 on 2026 Unsecured Notes</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29,480</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 of 2025 Senior Notes</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(29,650)</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 on ABL Facility</w:t>
            </w:r>
          </w:p>
        </w:tc>
        <w:tc>
          <w:tcPr>
            <w:tcW w:w="84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70,000</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293,000</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Repayments on ABL Facility</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Repayments on Permian Transmission Term Loan</w:t>
            </w:r>
          </w:p>
        </w:tc>
        <w:tc>
          <w:tcPr>
            <w:tcW w:w="8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1"/>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 on 2026 Secured Notes</w:t>
            </w: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84,371</w:t>
            </w:r>
          </w:p>
        </w:tc>
      </w:tr>
      <w:tr>
        <w:trPr>
          <w:trHeight w:val="22"/>
        </w:trPr>
        <w:tc>
          <w:tcPr>
            <w:tcW w:w="8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68" w:lineRule="exact"/>
        <w:rPr>
          <w:sz w:val="20"/>
          <w:szCs w:val="20"/>
          <w:color w:val="auto"/>
        </w:rPr>
      </w:pPr>
    </w:p>
    <w:p>
      <w:pPr>
        <w:ind w:left="500" w:hanging="495"/>
        <w:spacing w:after="0"/>
        <w:tabs>
          <w:tab w:leader="none" w:pos="500" w:val="left"/>
        </w:tabs>
        <w:numPr>
          <w:ilvl w:val="0"/>
          <w:numId w:val="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"Liquidity and Capital Resources" herein and Note 17 - Segment Information to the consolidated financial statements for additional information on capital expenditures.</w:t>
      </w:r>
    </w:p>
    <w:p>
      <w:pPr>
        <w:spacing w:after="0" w:line="200" w:lineRule="exact"/>
        <w:rPr>
          <w:rFonts w:ascii="Times New Roman" w:cs="Times New Roman" w:eastAsia="Times New Roman" w:hAnsi="Times New Roman"/>
          <w:sz w:val="17"/>
          <w:szCs w:val="17"/>
          <w:color w:val="auto"/>
          <w:vertAlign w:val="superscript"/>
        </w:rPr>
      </w:pPr>
    </w:p>
    <w:p>
      <w:pPr>
        <w:spacing w:after="0" w:line="200" w:lineRule="exact"/>
        <w:rPr>
          <w:rFonts w:ascii="Times New Roman" w:cs="Times New Roman" w:eastAsia="Times New Roman" w:hAnsi="Times New Roman"/>
          <w:sz w:val="17"/>
          <w:szCs w:val="17"/>
          <w:color w:val="auto"/>
          <w:vertAlign w:val="superscript"/>
        </w:rPr>
      </w:pPr>
    </w:p>
    <w:p>
      <w:pPr>
        <w:spacing w:after="0" w:line="321"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Key Matters for the Year ended December 31, 2023. </w:t>
      </w:r>
      <w:r>
        <w:rPr>
          <w:rFonts w:ascii="Times New Roman" w:cs="Times New Roman" w:eastAsia="Times New Roman" w:hAnsi="Times New Roman"/>
          <w:sz w:val="14"/>
          <w:szCs w:val="14"/>
          <w:color w:val="auto"/>
        </w:rPr>
        <w:t>The following items are reflected in our financial results for the fiscal year ended December 31, 2023:</w:t>
      </w:r>
    </w:p>
    <w:p>
      <w:pPr>
        <w:spacing w:after="0" w:line="83" w:lineRule="exact"/>
        <w:rPr>
          <w:sz w:val="20"/>
          <w:szCs w:val="20"/>
          <w:color w:val="auto"/>
        </w:rPr>
      </w:pPr>
    </w:p>
    <w:p>
      <w:pPr>
        <w:ind w:left="1020" w:right="80" w:hanging="506"/>
        <w:spacing w:after="0" w:line="249" w:lineRule="auto"/>
        <w:tabs>
          <w:tab w:leader="none" w:pos="1016" w:val="left"/>
        </w:tabs>
        <w:numPr>
          <w:ilvl w:val="0"/>
          <w:numId w:val="4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Strategic review</w:t>
      </w:r>
      <w:r>
        <w:rPr>
          <w:rFonts w:ascii="Times New Roman" w:cs="Times New Roman" w:eastAsia="Times New Roman" w:hAnsi="Times New Roman"/>
          <w:sz w:val="14"/>
          <w:szCs w:val="14"/>
          <w:color w:val="auto"/>
        </w:rPr>
        <w:t>. As we previously announced in October 2023, based on our recent and expected financial performance, as well as interest recently received from third parties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potential transactions, ranging from the sale of specific assets to consideration for the whole Partnership, our Board of Directors has engaged external advisors to evaluate strategic alternatives for us with the goal of maximizing value for our unitholders. These alternatives may include, but are not limited to, continued execution of our business plan, sale of assets, refinancing parts or the entirety of our capital structure, sale of the Partnership by merger or cash, or any combination of these and other alternatives.</w:t>
      </w:r>
    </w:p>
    <w:p>
      <w:pPr>
        <w:spacing w:after="0" w:line="65" w:lineRule="exact"/>
        <w:rPr>
          <w:rFonts w:ascii="Times New Roman" w:cs="Times New Roman" w:eastAsia="Times New Roman" w:hAnsi="Times New Roman"/>
          <w:sz w:val="14"/>
          <w:szCs w:val="14"/>
          <w:b w:val="1"/>
          <w:bCs w:val="1"/>
          <w:i w:val="1"/>
          <w:iCs w:val="1"/>
          <w:color w:val="auto"/>
        </w:rPr>
      </w:pPr>
    </w:p>
    <w:p>
      <w:pPr>
        <w:ind w:left="1020" w:right="40"/>
        <w:spacing w:after="0" w:line="264"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If our Board of Directors decides to proceed with a strategic transaction, it may not be at a price that our investors view as attractive relative to the value of our standalone business. Additionally, the closing of any such transaction would be dependent upon a number of factors that may be beyond our control, including, among other factors, market conditions, regulatory factors, industry trends, the interest of third parties in our business and the availability of financing to potential buyers on reasonable terms. If our Board of Directors decides not to proceed with a strategic transaction, this could have a negative effect on the market price and volatility of our common units.</w:t>
      </w:r>
    </w:p>
    <w:p>
      <w:pPr>
        <w:spacing w:after="0" w:line="42" w:lineRule="exact"/>
        <w:rPr>
          <w:rFonts w:ascii="Times New Roman" w:cs="Times New Roman" w:eastAsia="Times New Roman" w:hAnsi="Times New Roman"/>
          <w:sz w:val="14"/>
          <w:szCs w:val="14"/>
          <w:b w:val="1"/>
          <w:bCs w:val="1"/>
          <w:i w:val="1"/>
          <w:iCs w:val="1"/>
          <w:color w:val="auto"/>
        </w:rPr>
      </w:pPr>
    </w:p>
    <w:p>
      <w:pPr>
        <w:ind w:left="1020" w:right="100" w:hanging="506"/>
        <w:spacing w:after="0" w:line="241" w:lineRule="auto"/>
        <w:tabs>
          <w:tab w:leader="none" w:pos="10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Refinancing of 2025 Senior Notes. </w:t>
      </w:r>
      <w:r>
        <w:rPr>
          <w:rFonts w:ascii="Times New Roman" w:cs="Times New Roman" w:eastAsia="Times New Roman" w:hAnsi="Times New Roman"/>
          <w:sz w:val="14"/>
          <w:szCs w:val="14"/>
          <w:color w:val="auto"/>
        </w:rPr>
        <w:t>In November 2023, we entered into a private agreement to issue a total of $209.5 million aggregate principal amount of unsecured notes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“2026 Unsecured Notes”) in exchange for $180.0 million aggregate principal amount of our existing 2025 Senior Notes and $29.5 million in cash (the “2023 Exchange”). The exchanged 2025 Senior Notes were cancelled. The cash raised was used to repurchase $29.7 million aggregate principal amount of existing 2025 Senior Notes (together with the 2023 Exchange, the “2023 Exchange Transactions”) that were not exchanged. As of December 31, 2023, following the consummation of the 2023 Exchange Transactions, approximately $49.8 million of 2025 Senior Notes remained outstanding. The 2026 Unsecured Notes will bear interest at 12.00% and mature on October 15, 2026, in line with the maturity date of our 2026 Secured Notes.</w:t>
      </w:r>
    </w:p>
    <w:p>
      <w:pPr>
        <w:spacing w:after="0" w:line="69" w:lineRule="exact"/>
        <w:rPr>
          <w:rFonts w:ascii="Times New Roman" w:cs="Times New Roman" w:eastAsia="Times New Roman" w:hAnsi="Times New Roman"/>
          <w:sz w:val="14"/>
          <w:szCs w:val="14"/>
          <w:color w:val="auto"/>
        </w:rPr>
      </w:pPr>
    </w:p>
    <w:p>
      <w:pPr>
        <w:ind w:left="1020" w:right="100" w:hanging="506"/>
        <w:spacing w:after="0" w:line="271" w:lineRule="auto"/>
        <w:tabs>
          <w:tab w:leader="none" w:pos="1016" w:val="left"/>
        </w:tabs>
        <w:numPr>
          <w:ilvl w:val="0"/>
          <w:numId w:val="4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Integration of DJ Acquisitions</w:t>
      </w:r>
      <w:r>
        <w:rPr>
          <w:rFonts w:ascii="Times New Roman" w:cs="Times New Roman" w:eastAsia="Times New Roman" w:hAnsi="Times New Roman"/>
          <w:sz w:val="14"/>
          <w:szCs w:val="14"/>
          <w:color w:val="auto"/>
        </w:rPr>
        <w:t>. Our financial results for the year ended December 31, 2023 include our first full year with the assets acquired in the 2022 DJ Acquisitions. During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2023, we worked on integrating the 2022 DJ Acquisitions into our existing DJ Basin assets and began to achieve capital and operating synergies. Those integration efforts will continue into 2024.</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Key Matters for the Year ended December 31, 2022. </w:t>
      </w:r>
      <w:r>
        <w:rPr>
          <w:rFonts w:ascii="Times New Roman" w:cs="Times New Roman" w:eastAsia="Times New Roman" w:hAnsi="Times New Roman"/>
          <w:sz w:val="14"/>
          <w:szCs w:val="14"/>
          <w:color w:val="auto"/>
        </w:rPr>
        <w:t>The following items are reflected in our financial results for the fiscal year ended 2022:</w:t>
      </w:r>
    </w:p>
    <w:p>
      <w:pPr>
        <w:spacing w:after="0" w:line="94" w:lineRule="exact"/>
        <w:rPr>
          <w:sz w:val="20"/>
          <w:szCs w:val="20"/>
          <w:color w:val="auto"/>
        </w:rPr>
      </w:pPr>
    </w:p>
    <w:p>
      <w:pPr>
        <w:ind w:left="1020" w:right="400" w:hanging="506"/>
        <w:spacing w:after="0" w:line="265" w:lineRule="auto"/>
        <w:tabs>
          <w:tab w:leader="none" w:pos="1016" w:val="left"/>
        </w:tabs>
        <w:numPr>
          <w:ilvl w:val="0"/>
          <w:numId w:val="5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Strategic DJ Acquisitions. </w:t>
      </w:r>
      <w:r>
        <w:rPr>
          <w:rFonts w:ascii="Times New Roman" w:cs="Times New Roman" w:eastAsia="Times New Roman" w:hAnsi="Times New Roman"/>
          <w:sz w:val="14"/>
          <w:szCs w:val="14"/>
          <w:color w:val="auto"/>
        </w:rPr>
        <w:t>On December 1, 2022, we completed the acquisition of 100% of the membership interests in Outrigger DJ from Outrigger Energy II LLC for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 of $165 million, subject to post-closing adjustments, and 100% of the membership interests in each of Sterling Energy Investments LLC, Grasslands Energy Marketing LLC and Centennial Water Pipelines LLC from Sterling Investment Holdings LLC for cash consideration of $140 million, subject to post-closing adjustments, respectively, pursuant to definitive agreements, each dated October 14, 2022.</w:t>
      </w:r>
    </w:p>
    <w:p>
      <w:pPr>
        <w:spacing w:after="0" w:line="54" w:lineRule="exact"/>
        <w:rPr>
          <w:rFonts w:ascii="Times New Roman" w:cs="Times New Roman" w:eastAsia="Times New Roman" w:hAnsi="Times New Roman"/>
          <w:sz w:val="14"/>
          <w:szCs w:val="14"/>
          <w:b w:val="1"/>
          <w:bCs w:val="1"/>
          <w:i w:val="1"/>
          <w:iCs w:val="1"/>
          <w:color w:val="auto"/>
        </w:rPr>
      </w:pPr>
    </w:p>
    <w:p>
      <w:pPr>
        <w:ind w:left="1020" w:right="20"/>
        <w:spacing w:after="0" w:line="287"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As a result of the 2022 DJ Acquisitions, we acquired natural gas gathering and processing systems, a crude oil gathering system, freshwater rights, and a freshwater delivery system in the DJ Basin. The acquired assets of Outrigger DJ and Sterling DJ are located in Weld, Morgan, and Logan Counties, Colorado and Cheyenne County, Nebraska.</w:t>
      </w:r>
    </w:p>
    <w:p>
      <w:pPr>
        <w:spacing w:after="0" w:line="69" w:lineRule="exact"/>
        <w:rPr>
          <w:rFonts w:ascii="Times New Roman" w:cs="Times New Roman" w:eastAsia="Times New Roman" w:hAnsi="Times New Roman"/>
          <w:sz w:val="14"/>
          <w:szCs w:val="14"/>
          <w:b w:val="1"/>
          <w:bCs w:val="1"/>
          <w:i w:val="1"/>
          <w:iCs w:val="1"/>
          <w:color w:val="auto"/>
        </w:rPr>
      </w:pPr>
    </w:p>
    <w:p>
      <w:pPr>
        <w:ind w:left="1020" w:hanging="506"/>
        <w:spacing w:after="0" w:line="239" w:lineRule="auto"/>
        <w:tabs>
          <w:tab w:leader="none" w:pos="1016"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b w:val="1"/>
          <w:bCs w:val="1"/>
          <w:i w:val="1"/>
          <w:iCs w:val="1"/>
          <w:color w:val="auto"/>
        </w:rPr>
        <w:t xml:space="preserve">Financing of 2022 DJ Acquisitions. </w:t>
      </w:r>
      <w:r>
        <w:rPr>
          <w:rFonts w:ascii="Times New Roman" w:cs="Times New Roman" w:eastAsia="Times New Roman" w:hAnsi="Times New Roman"/>
          <w:sz w:val="14"/>
          <w:szCs w:val="14"/>
          <w:color w:val="auto"/>
        </w:rPr>
        <w:t>The 2022 DJ Acquisitions were financed through a combination of cash on hand, borrowings under Summit’s ABL Facility and the issuance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$85.0 million aggregate principal amount of Additional 2026 Secured Notes.</w:t>
      </w:r>
    </w:p>
    <w:p>
      <w:pPr>
        <w:spacing w:after="0" w:line="69" w:lineRule="exact"/>
        <w:rPr>
          <w:rFonts w:ascii="Arial" w:cs="Arial" w:eastAsia="Arial" w:hAnsi="Arial"/>
          <w:sz w:val="17"/>
          <w:szCs w:val="17"/>
          <w:color w:val="auto"/>
        </w:rPr>
      </w:pPr>
    </w:p>
    <w:p>
      <w:pPr>
        <w:jc w:val="both"/>
        <w:ind w:left="1020" w:right="340" w:hanging="506"/>
        <w:spacing w:after="0" w:line="261" w:lineRule="auto"/>
        <w:tabs>
          <w:tab w:leader="none" w:pos="1016" w:val="left"/>
        </w:tabs>
        <w:numPr>
          <w:ilvl w:val="0"/>
          <w:numId w:val="5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Sale of Non-Core Assets. </w:t>
      </w:r>
      <w:r>
        <w:rPr>
          <w:rFonts w:ascii="Times New Roman" w:cs="Times New Roman" w:eastAsia="Times New Roman" w:hAnsi="Times New Roman"/>
          <w:sz w:val="14"/>
          <w:szCs w:val="14"/>
          <w:color w:val="auto"/>
        </w:rPr>
        <w:t>On September 19, 2022, we completed the sale of Bison Midstream, LLC (“Bison Midstream”) and its gas gathering system in Burke and Mountrail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Counties, North Dakota to a subsidiary of Steel Reef Infrastructure Corp., an integrated owner and operator of associated gas capture, gathering and processing assets in North Dakota and Saskatchewan. Additionally, on June 30, 2022, we completed the sale of Summit Permian, which owns the Lane Gathering and Processing System (“Lane G&amp;P</w:t>
      </w:r>
    </w:p>
    <w:p>
      <w:pPr>
        <w:ind w:left="102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System”), to Longwood Gathering and Disposal Systems, LP (“Longwood”), a wholly owned subsidiary of Matador Resources͏ Company (“Matador”).</w:t>
      </w:r>
    </w:p>
    <w:p>
      <w:pPr>
        <w:spacing w:after="0" w:line="77" w:lineRule="exact"/>
        <w:rPr>
          <w:rFonts w:ascii="Times New Roman" w:cs="Times New Roman" w:eastAsia="Times New Roman" w:hAnsi="Times New Roman"/>
          <w:sz w:val="14"/>
          <w:szCs w:val="14"/>
          <w:b w:val="1"/>
          <w:bCs w:val="1"/>
          <w:i w:val="1"/>
          <w:iCs w:val="1"/>
          <w:color w:val="auto"/>
        </w:rPr>
      </w:pPr>
    </w:p>
    <w:p>
      <w:pPr>
        <w:ind w:left="1020" w:right="140" w:hanging="506"/>
        <w:spacing w:after="0" w:line="290" w:lineRule="auto"/>
        <w:tabs>
          <w:tab w:leader="none" w:pos="1016" w:val="left"/>
        </w:tabs>
        <w:numPr>
          <w:ilvl w:val="0"/>
          <w:numId w:val="5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January 2022 Series A Preferred Unit Exchange. </w:t>
      </w:r>
      <w:r>
        <w:rPr>
          <w:rFonts w:ascii="Times New Roman" w:cs="Times New Roman" w:eastAsia="Times New Roman" w:hAnsi="Times New Roman"/>
          <w:sz w:val="14"/>
          <w:szCs w:val="14"/>
          <w:color w:val="auto"/>
        </w:rPr>
        <w:t>In January 2022, we completed the 2022 Preferred Exchange Offer, whereby we issued 2,853,875 SMLP common units, net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units withheld for withholding taxes, in exchange for 77,939 Series A Preferred Units. Upon the settlement of the 2022 Preferred Exchange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right="360"/>
        <w:spacing w:after="0" w:line="287" w:lineRule="auto"/>
        <w:rPr>
          <w:sz w:val="20"/>
          <w:szCs w:val="20"/>
          <w:color w:val="auto"/>
        </w:rPr>
      </w:pPr>
      <w:r>
        <w:rPr>
          <w:rFonts w:ascii="Times New Roman" w:cs="Times New Roman" w:eastAsia="Times New Roman" w:hAnsi="Times New Roman"/>
          <w:sz w:val="14"/>
          <w:szCs w:val="14"/>
          <w:color w:val="auto"/>
        </w:rPr>
        <w:t>Offer, we eliminated $92.6 million of the Series A Preferred Unit liquidation preference amount, inclusive of accrued distributions due as of the settlement date. See Note 12 – Partners' Capital and Mezzanine Capital for additional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and Outlook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has been, and we expect our future business to continue to be, affected by the following key trends:</w:t>
      </w:r>
    </w:p>
    <w:p>
      <w:pPr>
        <w:spacing w:after="0" w:line="94" w:lineRule="exact"/>
        <w:rPr>
          <w:sz w:val="20"/>
          <w:szCs w:val="20"/>
          <w:color w:val="auto"/>
        </w:rPr>
      </w:pPr>
    </w:p>
    <w:p>
      <w:pPr>
        <w:ind w:left="1020" w:right="380" w:hanging="379"/>
        <w:spacing w:after="0" w:line="287" w:lineRule="auto"/>
        <w:tabs>
          <w:tab w:leader="none" w:pos="10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impact of political and economic conditions and events in foreign oil and natural gas producing countries on commodity prices, including the current Russia-Ukraine conflict, the international sanctions against Russia, continued conflict in the Middle East and other sustained military campaigns;</w:t>
      </w:r>
    </w:p>
    <w:p>
      <w:pPr>
        <w:spacing w:after="0" w:line="39"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NGL and crude oil supply and demand dynamics;</w:t>
      </w:r>
    </w:p>
    <w:p>
      <w:pPr>
        <w:spacing w:after="0" w:line="93" w:lineRule="exact"/>
        <w:rPr>
          <w:rFonts w:ascii="Times New Roman" w:cs="Times New Roman" w:eastAsia="Times New Roman" w:hAnsi="Times New Roman"/>
          <w:sz w:val="14"/>
          <w:szCs w:val="14"/>
          <w:color w:val="auto"/>
        </w:rPr>
      </w:pPr>
    </w:p>
    <w:p>
      <w:pPr>
        <w:ind w:left="1020" w:right="340" w:hanging="379"/>
        <w:spacing w:after="0" w:line="287" w:lineRule="auto"/>
        <w:tabs>
          <w:tab w:leader="none" w:pos="10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the OPEC and its allies, including the ability and willingness of the members of OPEC and other exporting nations to agree to and maintain oil price and production controls;</w:t>
      </w:r>
    </w:p>
    <w:p>
      <w:pPr>
        <w:spacing w:after="0" w:line="39"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from U.S. shale plays;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markets availability and cost of capital; and</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shifts in operating costs.</w:t>
      </w:r>
    </w:p>
    <w:p>
      <w:pPr>
        <w:spacing w:after="0" w:line="9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Integration of DJ Acquisitions. </w:t>
      </w:r>
      <w:r>
        <w:rPr>
          <w:rFonts w:ascii="Times New Roman" w:cs="Times New Roman" w:eastAsia="Times New Roman" w:hAnsi="Times New Roman"/>
          <w:sz w:val="14"/>
          <w:szCs w:val="14"/>
          <w:color w:val="auto"/>
        </w:rPr>
        <w:t>On December 1, 2022, we completed the 2022 DJ Acquisitions for total cash consideration of $305.0 million, subject to post-closing adjustments. As a result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2022 DJ Acquisitions, we acquired natural gas gathering and processing systems, a crude oil gathering system, freshwater rights, and a freshwater delivery system in the DJ Basin. The acquired assets of Outrigger DJ and Sterling DJ are located in Weld, Morgan, and Logan Counties, Colorado and Cheyenne County, Nebraska. During 2023, we continued to integrate the 2022 DJ Acquisitions into our existing DJ Basin assets and began to achieve capital and operating synergies. Those integration efforts will continue into 2024.</w:t>
      </w:r>
    </w:p>
    <w:p>
      <w:pPr>
        <w:spacing w:after="0" w:line="5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Capital structure optimization and portfolio management</w:t>
      </w:r>
      <w:r>
        <w:rPr>
          <w:rFonts w:ascii="Times New Roman" w:cs="Times New Roman" w:eastAsia="Times New Roman" w:hAnsi="Times New Roman"/>
          <w:sz w:val="14"/>
          <w:szCs w:val="14"/>
          <w:color w:val="auto"/>
        </w:rPr>
        <w:t>. The Partnership intends to improve its capital structure in the future by reducing its indebtedness with free cash flow, and when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appropriate, it may pursue opportunistic transactions with the objective of increasing long term unitholder value. This may include opportunistic acquisitions (such as the 2022 DJ Acquisitions), divestitures (such as the dispositions of the Lane G&amp;P System and Bison Midstream in 2022), re-allocation of capital to new or existing areas, and development of joint ventures involving our existing midstream assets or new investment opportunities. We believe that our internally generated cash flow, our ABL Facility, the Permian Term Loan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5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Ongoing impact of the current Russia-Ukraine conflict, the international sanctions against Russia on commodity prices and conflict in the Middle East. </w:t>
      </w:r>
      <w:r>
        <w:rPr>
          <w:rFonts w:ascii="Times New Roman" w:cs="Times New Roman" w:eastAsia="Times New Roman" w:hAnsi="Times New Roman"/>
          <w:sz w:val="14"/>
          <w:szCs w:val="14"/>
          <w:color w:val="auto"/>
        </w:rPr>
        <w:t>Although the Partnership does not operate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Ukraine, Russia or the Middle East, there are certain impacts arising from Russia’s invasion of Ukraine and conflict in the Middle East that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 on the Partnership.</w:t>
      </w:r>
    </w:p>
    <w:p>
      <w:pPr>
        <w:spacing w:after="0" w:line="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Natural gas, NGL and crude oil supply and demand dynamics. </w:t>
      </w:r>
      <w:r>
        <w:rPr>
          <w:rFonts w:ascii="Times New Roman" w:cs="Times New Roman" w:eastAsia="Times New Roman" w:hAnsi="Times New Roman"/>
          <w:sz w:val="14"/>
          <w:szCs w:val="14"/>
          <w:color w:val="auto"/>
        </w:rPr>
        <w:t>Natural gas continues to be a critical component of energy supply and demand in the United States. The average spot price of natural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gas decreased by approximately 61% from 2022 to 2023, primarily due to natural gas supply exceeding demand. The average daily Henry Hub Natural Gas Spot Price was $2.53 per MMBtu during 2023, compared with $6.45 per MMBtu during 2022. As of January 31, 2024, Henry Hub 12-month strip pricing closed at $2.10 per MMBtu. In response to the decreasing natural gas prices, the number of active natural gas drilling rigs in the continental United States decreased from 156 in December 2022 to 120 in December 2023, according to Baker Hughes.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spacing w:after="0" w:line="5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In addition, certain of our gathering systems are directly affected by crude oil supply and demand dynamics. Crude oil prices decreased in 2023, with the average daily Cushing, Oklahoma West Texas Intermediate crude oil spot price average of $94.90 per barrel during 2022 decreasing to an average of $77.58 per barrel during 2023, representing an 18% decrease. As of January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31, 2024, West Texas Intermediate 12-month strip pricing closed at $75.85 per barrel. In response to the increasing crude oil prices, the number of active crude oil drilling rigs in the continental United States decreased from 621 in December 2022 to 500 in December 2023, according to Baker Hughes. Over the next several years, we expect that crude oil prices will support continued drilling activity and increasing production in the Williston Basin, Permian Basin and, given the current regulatory environment in Colorado, in rural parts of the DJ Basin.</w:t>
      </w:r>
    </w:p>
    <w:p>
      <w:pPr>
        <w:spacing w:after="0" w:line="5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spacing w:after="0" w:line="3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Growth in production from U.S. shale plays. </w:t>
      </w:r>
      <w:r>
        <w:rPr>
          <w:rFonts w:ascii="Times New Roman" w:cs="Times New Roman" w:eastAsia="Times New Roman" w:hAnsi="Times New Roman"/>
          <w:sz w:val="14"/>
          <w:szCs w:val="14"/>
          <w:color w:val="auto"/>
        </w:rPr>
        <w:t>Over the past several years, natural gas production from unconventional shale resources has increased due to advances in technology that allow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Marcellus, Utica and Permian Basin shale plays in which we operate. We believe that these long-term capital investments should support drilling activity in unconventional shale plays over the long term.</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Rate of growth in production from U.S. shale plays. </w:t>
      </w:r>
      <w:r>
        <w:rPr>
          <w:rFonts w:ascii="Times New Roman" w:cs="Times New Roman" w:eastAsia="Times New Roman" w:hAnsi="Times New Roman"/>
          <w:sz w:val="14"/>
          <w:szCs w:val="14"/>
          <w:color w:val="auto"/>
        </w:rPr>
        <w:t>Some of our producer customers have adjusted their drilling and completion activities and schedules to manage drilling and completion costs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spacing w:after="0" w:line="5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Capital markets availability and cost of capital. </w:t>
      </w:r>
      <w:r>
        <w:rPr>
          <w:rFonts w:ascii="Times New Roman" w:cs="Times New Roman" w:eastAsia="Times New Roman" w:hAnsi="Times New Roman"/>
          <w:sz w:val="14"/>
          <w:szCs w:val="14"/>
          <w:color w:val="auto"/>
        </w:rPr>
        <w:t>Capital markets conditions, including but not limited to availability and higher borrowing costs, could affect our ability to access the debt and equity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markets to the extent necessary, to fund our future growth. Furthermore, market demand for equity issued by master limited partnerships has been significantly lower in recent years than it has been historically, which may make it more challenging for us to finance our capital expenditures with the issuance of additional equity. We announced the elimination of our common unit distribution in May 2020 beginning with the distribution paid in respect of the first quarter of 2020, and this action may further reduce demand for our common units. In addition, interest rates on future credit facilities and debt offerings could be higher than current levels, causing our financing costs to increase accordingly.</w:t>
      </w:r>
    </w:p>
    <w:p>
      <w:pPr>
        <w:spacing w:after="0" w:line="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borrowings under our ABL Facility, which have a variable interest rate, expose us to the risk of increasing interest rates. We do not anticipate making offers to purchase in the designated amount for the fiscal year ended 2023, and, as a result, the interest rate on the 2026 Secured Notes will increase an incremental 50 basis points to 9.50% effective April 1, 2024, resulting in an incremental increase in annual interest expense of approximately $3.9 million.</w:t>
      </w:r>
    </w:p>
    <w:p>
      <w:pPr>
        <w:spacing w:after="0" w:line="3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Inflation and operating costs. </w:t>
      </w:r>
      <w:r>
        <w:rPr>
          <w:rFonts w:ascii="Times New Roman" w:cs="Times New Roman" w:eastAsia="Times New Roman" w:hAnsi="Times New Roman"/>
          <w:sz w:val="14"/>
          <w:szCs w:val="14"/>
          <w:color w:val="auto"/>
        </w:rPr>
        <w:t>The annual rate of inflation in the United States hit 6.5% in December 2022, one of the highest increases in more than three decades, as measured by the Consumer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Price Index. While inflation has declined since the second half of 2022, declining to 3.4% as of December 31, 2023, further increases in inflation in 2024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Evaluate Our Operations</w:t>
      </w:r>
    </w:p>
    <w:p>
      <w:pPr>
        <w:spacing w:after="0" w:line="9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17 -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Throughput Volume</w:t>
      </w:r>
    </w:p>
    <w:p>
      <w:pPr>
        <w:spacing w:after="0" w:line="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spacing w:after="0" w:line="5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spacing w:after="0" w:line="39" w:lineRule="exact"/>
        <w:rPr>
          <w:sz w:val="20"/>
          <w:szCs w:val="20"/>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drilling activity within our AMIs;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work-overs and recompletions of wells on existing pad sites to which our gathering systems are connected;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new pad sites in our AMIs awaiting connections;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for volumes from successful new wells in the areas in which we operate outside of our existing AMIs;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gather, treat and/or process production that has been released from commitments with our competitors.</w:t>
      </w:r>
    </w:p>
    <w:p>
      <w:pPr>
        <w:spacing w:after="0" w:line="94" w:lineRule="exact"/>
        <w:rPr>
          <w:sz w:val="20"/>
          <w:szCs w:val="20"/>
          <w:color w:val="auto"/>
        </w:rPr>
      </w:pPr>
    </w:p>
    <w:p>
      <w:pPr>
        <w:ind w:right="1860"/>
        <w:spacing w:after="0" w:line="379" w:lineRule="auto"/>
        <w:rPr>
          <w:sz w:val="20"/>
          <w:szCs w:val="20"/>
          <w:color w:val="auto"/>
        </w:rPr>
      </w:pPr>
      <w:r>
        <w:rPr>
          <w:rFonts w:ascii="Times New Roman" w:cs="Times New Roman" w:eastAsia="Times New Roman" w:hAnsi="Times New Roman"/>
          <w:sz w:val="14"/>
          <w:szCs w:val="14"/>
          <w:color w:val="auto"/>
        </w:rPr>
        <w:t xml:space="preserve">We report volumes gathered for natural gas in cubic feet per day. We aggregate crude oil and produced water gathering and report volumes gathered in barrels per day. </w:t>
      </w:r>
      <w:r>
        <w:rPr>
          <w:rFonts w:ascii="Times New Roman" w:cs="Times New Roman" w:eastAsia="Times New Roman" w:hAnsi="Times New Roman"/>
          <w:sz w:val="14"/>
          <w:szCs w:val="14"/>
          <w:b w:val="1"/>
          <w:bCs w:val="1"/>
          <w:color w:val="auto"/>
        </w:rPr>
        <w:t>Revenues</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revenues are primarily attributable to the volumes that we gather, compress, treat and/or process and the rates we charge for those services. A majority of our gathering and processing agreements are fee-based, which limits our direct exposure to fluctuations in commodity prices; however, certain of our contracts have rates that are directly impacted by commodity prices. We also have percent-of-proceeds arrangements with certain customers under which the gathering and processing revenues that we earn correlate directly with the fluctuating price of natural gas, condensate and NGLs.</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 and Maintenance Expenses</w:t>
      </w:r>
    </w:p>
    <w:p>
      <w:pPr>
        <w:spacing w:after="0" w:line="9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and maintenance expenses also include costs that are reimbursed by our customers, which are included in Other revenues.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Adjusted EBITDA</w:t>
      </w:r>
    </w:p>
    <w:p>
      <w:pPr>
        <w:spacing w:after="0" w:line="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Segment adjusted EBITDA is a supplemental financial measure used by management and by external users of our financial statements such as investors, commercial banks, research analysts and others.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adjusted EBITDA is used to assess: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assets to generate cash sufficient to make cash distributions and support our indebtedness;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performance of our assets without regard to financing methods, capital structure or historical cost basis;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performance and return on capital as compared to other companies in the midstream energy sector, without regard to financing or capital structure;</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attractiveness of capital projects and acquisitions and the overall rates of return on alternative investment opportunities; and</w:t>
      </w:r>
    </w:p>
    <w:p>
      <w:pPr>
        <w:spacing w:after="0" w:line="93" w:lineRule="exact"/>
        <w:rPr>
          <w:rFonts w:ascii="Times New Roman" w:cs="Times New Roman" w:eastAsia="Times New Roman" w:hAnsi="Times New Roman"/>
          <w:sz w:val="14"/>
          <w:szCs w:val="14"/>
          <w:color w:val="auto"/>
        </w:rPr>
      </w:pPr>
    </w:p>
    <w:p>
      <w:pPr>
        <w:ind w:left="1020" w:right="500" w:hanging="506"/>
        <w:spacing w:after="0" w:line="287" w:lineRule="auto"/>
        <w:tabs>
          <w:tab w:leader="none" w:pos="10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performance of our assets without regard to (i) income or loss from equity method investees, (ii) the impact of the timing of MVC shortfall payments under our gathering agreements or (iii) the timing of impairments or other noncash income or expense items.</w:t>
      </w:r>
    </w:p>
    <w:p>
      <w:pPr>
        <w:spacing w:after="0" w:line="3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Additional Information. </w:t>
      </w:r>
      <w:r>
        <w:rPr>
          <w:rFonts w:ascii="Times New Roman" w:cs="Times New Roman" w:eastAsia="Times New Roman" w:hAnsi="Times New Roman"/>
          <w:sz w:val="14"/>
          <w:szCs w:val="14"/>
          <w:color w:val="auto"/>
        </w:rPr>
        <w:t>For additional information, see the “Results of Operations” section herein and the notes to the consolidated financial statements contained in Item 8. Financial Statements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Supplementary Data.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Overview for the Years Ended December 31, 2023 and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certain consolidated data and volume throughput for the years ended December 31, 2023 and 2022.</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248,223</w:t>
            </w:r>
          </w:p>
        </w:tc>
        <w:tc>
          <w:tcPr>
            <w:tcW w:w="80" w:type="dxa"/>
            <w:vAlign w:val="bottom"/>
          </w:tcPr>
          <w:p>
            <w:pPr>
              <w:spacing w:after="0"/>
              <w:rPr>
                <w:sz w:val="18"/>
                <w:szCs w:val="18"/>
                <w:color w:val="auto"/>
              </w:rPr>
            </w:pPr>
          </w:p>
        </w:tc>
        <w:tc>
          <w:tcPr>
            <w:tcW w:w="8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248,358</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86,225</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35,011</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revenues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458,903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369,594</w:t>
            </w:r>
          </w:p>
        </w:tc>
        <w:tc>
          <w:tcPr>
            <w:tcW w:w="0" w:type="dxa"/>
            <w:vAlign w:val="bottom"/>
          </w:tcPr>
          <w:p>
            <w:pPr>
              <w:spacing w:after="0"/>
              <w:rPr>
                <w:sz w:val="1"/>
                <w:szCs w:val="1"/>
                <w:color w:val="auto"/>
              </w:rPr>
            </w:pPr>
          </w:p>
        </w:tc>
      </w:tr>
      <w:tr>
        <w:trPr>
          <w:trHeight w:val="22"/>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Cost of natural gas and NGLs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76,826</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84,152</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44,943</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119,055</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Acquisition integration costs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Gain on asset sales,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91,644</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382,287</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423,081</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3"/>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Gain on interest rate swaps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Loss on sale of business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91"/>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(140,784)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(102,459)</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before income taxes and equity method investment income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(72,454)</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(141,277)</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equity method investees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(38,947)</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(123,461)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Volume throughput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6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Aggregate average daily throughput - natural gas (MMcf/d)</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Aggregate average daily throughput - liquids (Mbbl/d)</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-3799205</wp:posOffset>
            </wp:positionV>
            <wp:extent cx="7161530" cy="134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-3529330</wp:posOffset>
            </wp:positionV>
            <wp:extent cx="7161530"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-3260090</wp:posOffset>
            </wp:positionV>
            <wp:extent cx="7161530" cy="141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-2983865</wp:posOffset>
            </wp:positionV>
            <wp:extent cx="7161530" cy="134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-2713990</wp:posOffset>
            </wp:positionV>
            <wp:extent cx="7161530" cy="134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-2444750</wp:posOffset>
            </wp:positionV>
            <wp:extent cx="7161530"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7161530"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-1905635</wp:posOffset>
            </wp:positionV>
            <wp:extent cx="7161530" cy="141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716153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-1353185</wp:posOffset>
            </wp:positionV>
            <wp:extent cx="716153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-1083945</wp:posOffset>
            </wp:positionV>
            <wp:extent cx="7161530" cy="141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-807720</wp:posOffset>
            </wp:positionV>
            <wp:extent cx="7161530"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6153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wp:posOffset>
            </wp:positionV>
            <wp:extent cx="7161530"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4"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considered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29845</wp:posOffset>
            </wp:positionV>
            <wp:extent cx="97028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70280"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108%</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(10%)</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24%</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7%</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26%</w:t>
      </w:r>
    </w:p>
    <w:p>
      <w:pPr>
        <w:spacing w:after="0" w:line="677" w:lineRule="exact"/>
        <w:rPr>
          <w:sz w:val="20"/>
          <w:szCs w:val="20"/>
          <w:color w:val="auto"/>
        </w:rPr>
      </w:pPr>
    </w:p>
    <w:p>
      <w:pPr>
        <w:sectPr>
          <w:pgSz w:w="11900" w:h="16838" w:orient="portrait"/>
          <w:cols w:equalWidth="0" w:num="2">
            <w:col w:w="9660" w:space="300"/>
            <w:col w:w="1120"/>
          </w:cols>
          <w:pgMar w:left="300" w:top="210" w:right="519" w:bottom="1440" w:gutter="0" w:footer="0" w:header="0"/>
        </w:sectPr>
      </w:pPr>
    </w:p>
    <w:p>
      <w:pPr>
        <w:ind w:left="260" w:right="60" w:hanging="255"/>
        <w:spacing w:after="0" w:line="230" w:lineRule="auto"/>
        <w:tabs>
          <w:tab w:leader="none" w:pos="250"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volume throughput for Ohio Gathering and Double E. For additional information, see the Northeast and Permian sections herein under the caption “Segment Overview for the Years Ended December 31, 2023 and 2022”.</w:t>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210" w:right="519" w:bottom="1440" w:gutter="0" w:footer="0" w:header="0"/>
          <w:type w:val="continuous"/>
        </w:sectPr>
      </w:pPr>
    </w:p>
    <w:bookmarkStart w:id="77" w:name="page78"/>
    <w:bookmarkEnd w:id="7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Volumes – Gas. </w:t>
      </w:r>
      <w:r>
        <w:rPr>
          <w:rFonts w:ascii="Times New Roman" w:cs="Times New Roman" w:eastAsia="Times New Roman" w:hAnsi="Times New Roman"/>
          <w:sz w:val="14"/>
          <w:szCs w:val="14"/>
          <w:color w:val="auto"/>
        </w:rPr>
        <w:t>Natural gas throughput volumes increased 84 MMcf/d for the year ended December 31, 2023 compared to the year ended December 31, 2022, primarily reflecting:</w:t>
      </w:r>
    </w:p>
    <w:p>
      <w:pPr>
        <w:spacing w:after="0" w:line="96" w:lineRule="exact"/>
        <w:rPr>
          <w:sz w:val="20"/>
          <w:szCs w:val="20"/>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volume throughput increase of 40 MMcf/d for the Northeast segment.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volume throughput decrease of 2 MMcf/d for the Piceance segment.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volume throughput decrease of 14 MMcf/d for the Permian segment.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volume throughput decrease of 20 MMcf/d for the Barnett segment.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volume throughput increase of 80 MMcf/d for the Rockies segment.</w:t>
      </w:r>
    </w:p>
    <w:p>
      <w:pPr>
        <w:spacing w:after="0" w:line="9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Volumes – Liquids. </w:t>
      </w:r>
      <w:r>
        <w:rPr>
          <w:rFonts w:ascii="Times New Roman" w:cs="Times New Roman" w:eastAsia="Times New Roman" w:hAnsi="Times New Roman"/>
          <w:sz w:val="14"/>
          <w:szCs w:val="14"/>
          <w:color w:val="auto"/>
        </w:rPr>
        <w:t>Crude oil and produced water volume throughput for the Rockies segment increased 16 Mbbl/d for the year ended December 31, 2023 compared to the year ended December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2022, primarily as a result of 65 new well connections that came online during 2023, offset by natural production declines and weather related downtime.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on volumes, see the “Segment Overview for the Years Ended December 31, 2023 and 2022” section herein.</w:t>
      </w:r>
    </w:p>
    <w:p>
      <w:pPr>
        <w:spacing w:after="0" w:line="92"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Revenues. </w:t>
      </w:r>
      <w:r>
        <w:rPr>
          <w:rFonts w:ascii="Times New Roman" w:cs="Times New Roman" w:eastAsia="Times New Roman" w:hAnsi="Times New Roman"/>
          <w:sz w:val="14"/>
          <w:szCs w:val="14"/>
          <w:color w:val="auto"/>
        </w:rPr>
        <w:t>Total revenues increased $89.3 million during the year ended December 31, 2023 compared to the year ended December 31, 2022 comprised of a $93.0 million increase in natural gas,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NGLs and condensate sales, offset by a $3.6 million decrease in Other revenues, and a $0.1 million decrease in gathering services and related fees.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Gathering services and related fees</w:t>
      </w:r>
      <w:r>
        <w:rPr>
          <w:rFonts w:ascii="Times New Roman" w:cs="Times New Roman" w:eastAsia="Times New Roman" w:hAnsi="Times New Roman"/>
          <w:sz w:val="14"/>
          <w:szCs w:val="14"/>
          <w:color w:val="auto"/>
        </w:rPr>
        <w:t>. Gathering services and related fees decreased $0.1 million compared to the year ended December 31, 2022, primarily reflecting:</w:t>
      </w:r>
    </w:p>
    <w:p>
      <w:pPr>
        <w:spacing w:after="0" w:line="94" w:lineRule="exact"/>
        <w:rPr>
          <w:sz w:val="20"/>
          <w:szCs w:val="20"/>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$4.3 million decrease in the Barnett, primarily due to production curtailments associated with a significant reduction in commodity pricing;</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$3.7 million decrease in the Permian, primarily due to the disposition of the Lane G&amp;P System in June 2022;</w:t>
      </w:r>
    </w:p>
    <w:p>
      <w:pPr>
        <w:spacing w:after="0" w:line="93" w:lineRule="exact"/>
        <w:rPr>
          <w:rFonts w:ascii="Times New Roman" w:cs="Times New Roman" w:eastAsia="Times New Roman" w:hAnsi="Times New Roman"/>
          <w:sz w:val="14"/>
          <w:szCs w:val="14"/>
          <w:color w:val="auto"/>
        </w:rPr>
      </w:pPr>
    </w:p>
    <w:p>
      <w:pPr>
        <w:ind w:left="1020" w:right="140" w:hanging="506"/>
        <w:spacing w:after="0" w:line="287" w:lineRule="auto"/>
        <w:tabs>
          <w:tab w:leader="none" w:pos="10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 million decrease in the Rockies, primarily due to decreased volume throughput and the expiration of a customer’s minimum volume commitment contract in the DJ Basin; partially offset by</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$9.4 million increase in the Northeast, primarily due to increased volume throughput,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Natural Gas, NGLs and Condensate Sales</w:t>
      </w:r>
      <w:r>
        <w:rPr>
          <w:rFonts w:ascii="Times New Roman" w:cs="Times New Roman" w:eastAsia="Times New Roman" w:hAnsi="Times New Roman"/>
          <w:sz w:val="14"/>
          <w:szCs w:val="14"/>
          <w:color w:val="auto"/>
        </w:rPr>
        <w:t>. Natural gas, NGLs and condensate sales revenue increased $93.0 million compared to the year ended December 31, 2022, primarily reflecting:</w:t>
      </w:r>
    </w:p>
    <w:p>
      <w:pPr>
        <w:spacing w:after="0" w:line="94" w:lineRule="exact"/>
        <w:rPr>
          <w:sz w:val="20"/>
          <w:szCs w:val="20"/>
          <w:color w:val="auto"/>
        </w:rPr>
      </w:pPr>
    </w:p>
    <w:p>
      <w:pPr>
        <w:ind w:left="1020" w:right="100" w:hanging="506"/>
        <w:spacing w:after="0" w:line="287" w:lineRule="auto"/>
        <w:tabs>
          <w:tab w:leader="none" w:pos="10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$114.5 million increase in the Rockies reportable segment, primarily due to the 2022 DJ Acquisitions, partially offset by the disposition of Bison Midstream in September 2022; offset by</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$17.4 million decrease in the Permian reportable segment, primarily due to the disposition of the Lane G&amp;P System in June 2022;</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$2.3 million decrease in the Piceance reportable segment;</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 million decrease in the Barnett reportable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Costs and expenses. </w:t>
      </w:r>
      <w:r>
        <w:rPr>
          <w:rFonts w:ascii="Times New Roman" w:cs="Times New Roman" w:eastAsia="Times New Roman" w:hAnsi="Times New Roman"/>
          <w:sz w:val="14"/>
          <w:szCs w:val="14"/>
          <w:color w:val="auto"/>
        </w:rPr>
        <w:t>Total costs and expenses decreased $40.8 million during the year ended December 31, 2023 compared to the year ended December 31, 2022, primarily reflecting:</w:t>
      </w:r>
    </w:p>
    <w:p>
      <w:pPr>
        <w:spacing w:after="0" w:line="9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u w:val="single" w:color="auto"/>
          <w:color w:val="auto"/>
        </w:rPr>
        <w:t>Cost of natural gas and NGLs</w:t>
      </w:r>
      <w:r>
        <w:rPr>
          <w:rFonts w:ascii="Times New Roman" w:cs="Times New Roman" w:eastAsia="Times New Roman" w:hAnsi="Times New Roman"/>
          <w:sz w:val="14"/>
          <w:szCs w:val="14"/>
          <w:color w:val="auto"/>
        </w:rPr>
        <w:t>. Cost of natural gas and NGLs increased $35.6 million during the year ended December 31, 2023 compared to the year ended December 31, 2022, primarily driven by the 2022 DJ Acquisitions in December 2022, partially offset by the disposition of the Lane G&amp;P System in June 2022 and the disposition of Bison Midstream in September 2022.</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 and maintenance</w:t>
      </w:r>
      <w:r>
        <w:rPr>
          <w:rFonts w:ascii="Times New Roman" w:cs="Times New Roman" w:eastAsia="Times New Roman" w:hAnsi="Times New Roman"/>
          <w:sz w:val="14"/>
          <w:szCs w:val="14"/>
          <w:color w:val="auto"/>
        </w:rPr>
        <w:t>. Operation and maintenance expense increased $16.6 million for the year ended December 31, 2023 compared to the year ended December 31, 2022; primarily as a result of the acquisitions of Sterling DJ and Outrigger DJ in December 2022, partially offset by the disposition of the Lane G&amp;P System in June 2022 and the disposition of Bison Midstream in September 2022.</w:t>
      </w:r>
    </w:p>
    <w:p>
      <w:pPr>
        <w:spacing w:after="0" w:line="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u w:val="single" w:color="auto"/>
          <w:color w:val="auto"/>
        </w:rPr>
        <w:t>Asset Impairments</w:t>
      </w:r>
      <w:r>
        <w:rPr>
          <w:rFonts w:ascii="Times New Roman" w:cs="Times New Roman" w:eastAsia="Times New Roman" w:hAnsi="Times New Roman"/>
          <w:sz w:val="14"/>
          <w:szCs w:val="14"/>
          <w:color w:val="auto"/>
        </w:rPr>
        <w:t>. In 2022, we recognized impairments of $84.5 million related to the disposition of the Lane G&amp;P System and $6.9 million in connection with disposition of Bison Midstream. In 2023, we recognized impairments of $0.5 million.</w:t>
      </w:r>
    </w:p>
    <w:p>
      <w:pPr>
        <w:spacing w:after="0" w:line="3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u w:val="single" w:color="auto"/>
          <w:color w:val="auto"/>
        </w:rPr>
        <w:t>Interest Expense</w:t>
      </w:r>
      <w:r>
        <w:rPr>
          <w:rFonts w:ascii="Times New Roman" w:cs="Times New Roman" w:eastAsia="Times New Roman" w:hAnsi="Times New Roman"/>
          <w:sz w:val="14"/>
          <w:szCs w:val="14"/>
          <w:color w:val="auto"/>
        </w:rPr>
        <w:t>. Interest expense increased $38.3 million during the year ended December 31, 2023 compared to the year ended December 31, 2022 primarily due to $18.0 million of increased borrowing costs on the ABL Facility resulting from higher interest rates and borrowings throughout 2023 compared to 2022, $7.0 million of increased borrowing costs resulting from the issuance of $85.0 million of 2026 Secured Notes to fund the 2022 DJ Acquisitions, $4.9 million of higher borrowing</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10" w:right="39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costs on the Permian Transmission Term Loan, $4.5 million of increased borrowing costs on the 2026 Secured Notes, $3.4 million of increased amortization of debt issuance costs and $3.1 million of borrowing costs on the newly issued 2026 Unsecured Notes.</w:t>
      </w:r>
    </w:p>
    <w:p>
      <w:pPr>
        <w:spacing w:after="0" w:line="3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See Note 9 – Debt to the consolidated financial statements for additional details. Interest expense does not include the impact of gains or losses from our interest rate swaps entered into for the Permian Transmission Credit Facilities.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Overview for the Years Ended December 31, 2023 and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Northeast.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the Northeast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Northeast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20"/>
        </w:trPr>
        <w:tc>
          <w:tcPr>
            <w:tcW w:w="6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74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daily throughput (MMcf/d)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daily throughput (MMcf/d) (Ohio Gathering)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8"/>
                <w:szCs w:val="18"/>
                <w:color w:val="auto"/>
              </w:rPr>
            </w:pPr>
          </w:p>
        </w:tc>
        <w:tc>
          <w:tcPr>
            <w:tcW w:w="1420" w:type="dxa"/>
            <w:vAlign w:val="bottom"/>
          </w:tcPr>
          <w:p>
            <w:pPr>
              <w:jc w:val="right"/>
              <w:ind w:right="516"/>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Volume throughput for the Northeast, excluding Ohio Gathering, increased 6% compared to the year ended December 31, 2022 primarily due 31 well connections that came online during the year ended December 31, 2023 partially offset by natural production declines as well as frac-protect activities which occurred primarily during the first half of 2023.</w:t>
      </w:r>
    </w:p>
    <w:p>
      <w:pPr>
        <w:spacing w:after="0" w:line="3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Volume throughput for the Ohio Gathering system increased 16% compared to the year ended December 31, 2022, primarily as a result of 48 new well connections that came online during the year ended December 31, 2023, partially offset by natural production declines and volume shut-in for frac-protect activities that occurred primarily during the first half of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data for our Northeast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Northeast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3"/>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09"/>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8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3"/>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63,805</w:t>
            </w:r>
          </w:p>
        </w:tc>
        <w:tc>
          <w:tcPr>
            <w:tcW w:w="100" w:type="dxa"/>
            <w:vAlign w:val="bottom"/>
          </w:tcPr>
          <w:p>
            <w:pPr>
              <w:spacing w:after="0"/>
              <w:rPr>
                <w:sz w:val="16"/>
                <w:szCs w:val="16"/>
                <w:color w:val="auto"/>
              </w:rPr>
            </w:pP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54,392</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63,805</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54,392</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8,862</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17,501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6"/>
              </w:rPr>
              <w:t>2%</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(30)%</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25,419</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17,856</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17,501</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related to capital reimbursement activity</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Proportional adjusted EBITDA for Ohio Gathering</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30,656</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94,249</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77,046</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95"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considered meaningful</w:t>
      </w:r>
    </w:p>
    <w:p>
      <w:pPr>
        <w:spacing w:after="0" w:line="8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u w:val="single" w:color="auto"/>
          <w:color w:val="auto"/>
        </w:rPr>
        <w:t>Year ended December 31, 2023</w:t>
      </w:r>
      <w:r>
        <w:rPr>
          <w:rFonts w:ascii="Times New Roman" w:cs="Times New Roman" w:eastAsia="Times New Roman" w:hAnsi="Times New Roman"/>
          <w:sz w:val="14"/>
          <w:szCs w:val="14"/>
          <w:color w:val="auto"/>
        </w:rPr>
        <w:t>. Segment adjusted EBITDA increased $17.2 million compared to the year ended December 31, 2022, primarily as a result of revenue increases of $9.4 million from gathering services and related fees as well as a $9.5 million increase in proportional adjusted EBITDA for Ohio Gathering.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Rockies.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our Rockies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Rockies</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jc w:val="center"/>
              <w:ind w:left="51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120" w:type="dxa"/>
            <w:vAlign w:val="bottom"/>
            <w:gridSpan w:val="3"/>
          </w:tcPr>
          <w:p>
            <w:pPr>
              <w:jc w:val="center"/>
              <w:ind w:left="6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average daily throughput - natural gas (MMcf/d)</w:t>
            </w:r>
          </w:p>
        </w:tc>
        <w:tc>
          <w:tcPr>
            <w:tcW w:w="840" w:type="dxa"/>
            <w:vAlign w:val="bottom"/>
            <w:tcBorders>
              <w:bottom w:val="single" w:sz="8" w:color="CCEEFF"/>
            </w:tcBorders>
            <w:shd w:val="clear" w:color="auto" w:fill="CCEEFF"/>
          </w:tcPr>
          <w:p>
            <w:pPr>
              <w:jc w:val="center"/>
              <w:ind w:left="514"/>
              <w:spacing w:after="0"/>
              <w:rPr>
                <w:sz w:val="20"/>
                <w:szCs w:val="20"/>
                <w:color w:val="auto"/>
              </w:rPr>
            </w:pPr>
            <w:r>
              <w:rPr>
                <w:rFonts w:ascii="Times New Roman" w:cs="Times New Roman" w:eastAsia="Times New Roman" w:hAnsi="Times New Roman"/>
                <w:sz w:val="14"/>
                <w:szCs w:val="14"/>
                <w:color w:val="auto"/>
              </w:rPr>
              <w:t>113</w:t>
            </w:r>
          </w:p>
        </w:tc>
        <w:tc>
          <w:tcPr>
            <w:tcW w:w="2120" w:type="dxa"/>
            <w:vAlign w:val="bottom"/>
            <w:tcBorders>
              <w:bottom w:val="single" w:sz="8" w:color="CCEEFF"/>
            </w:tcBorders>
            <w:gridSpan w:val="3"/>
            <w:shd w:val="clear" w:color="auto" w:fill="CCEEFF"/>
          </w:tcPr>
          <w:p>
            <w:pPr>
              <w:jc w:val="center"/>
              <w:ind w:left="596"/>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average daily throughput - liquids (Mbbl/d)</w:t>
            </w:r>
          </w:p>
        </w:tc>
        <w:tc>
          <w:tcPr>
            <w:tcW w:w="840" w:type="dxa"/>
            <w:vAlign w:val="bottom"/>
          </w:tcPr>
          <w:p>
            <w:pPr>
              <w:jc w:val="center"/>
              <w:ind w:left="514"/>
              <w:spacing w:after="0"/>
              <w:rPr>
                <w:sz w:val="20"/>
                <w:szCs w:val="20"/>
                <w:color w:val="auto"/>
              </w:rPr>
            </w:pPr>
            <w:r>
              <w:rPr>
                <w:rFonts w:ascii="Times New Roman" w:cs="Times New Roman" w:eastAsia="Times New Roman" w:hAnsi="Times New Roman"/>
                <w:sz w:val="14"/>
                <w:szCs w:val="14"/>
                <w:color w:val="auto"/>
                <w:w w:val="99"/>
              </w:rPr>
              <w:t>78</w:t>
            </w:r>
          </w:p>
        </w:tc>
        <w:tc>
          <w:tcPr>
            <w:tcW w:w="2120" w:type="dxa"/>
            <w:vAlign w:val="bottom"/>
            <w:gridSpan w:val="3"/>
          </w:tcPr>
          <w:p>
            <w:pPr>
              <w:jc w:val="center"/>
              <w:ind w:left="596"/>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6"/>
                <w:szCs w:val="16"/>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u w:val="single" w:color="auto"/>
          <w:color w:val="auto"/>
        </w:rPr>
        <w:t>Natural gas</w:t>
      </w:r>
      <w:r>
        <w:rPr>
          <w:rFonts w:ascii="Times New Roman" w:cs="Times New Roman" w:eastAsia="Times New Roman" w:hAnsi="Times New Roman"/>
          <w:sz w:val="14"/>
          <w:szCs w:val="14"/>
          <w:color w:val="auto"/>
        </w:rPr>
        <w:t>. Natural gas volume throughput in 2023 increased 242% compared to the year ended December 31, 2022, primarily reflecting the 2022 DJ Acquisitions and 94 new well connections that came online during 2023, partially offset by the sale of Bison Midstream in September 2022. Aggregate volume throughput for 2022 includes 9 MMcf/d of average daily throughput related to the Bison Midstream assets.</w:t>
      </w:r>
    </w:p>
    <w:p>
      <w:pPr>
        <w:spacing w:after="0" w:line="4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For the years ended December 31, 2023 and 2022, costs of natural gas and NGLs includes $39.6 million and $12.2 million, respectively, of gathering fees collected under percentage of proceeds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Liquids</w:t>
      </w:r>
      <w:r>
        <w:rPr>
          <w:rFonts w:ascii="Times New Roman" w:cs="Times New Roman" w:eastAsia="Times New Roman" w:hAnsi="Times New Roman"/>
          <w:sz w:val="14"/>
          <w:szCs w:val="14"/>
          <w:color w:val="auto"/>
        </w:rPr>
        <w:t>. Liquids volume throughput in 2023 increased 26% compared to the year ended December 31, 2022, primarily associated with 65 new well connections that came online during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data for our Rockies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Rockies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gridSpan w:val="3"/>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gridSpan w:val="3"/>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65,869</w:t>
            </w:r>
          </w:p>
        </w:tc>
        <w:tc>
          <w:tcPr>
            <w:tcW w:w="100" w:type="dxa"/>
            <w:vAlign w:val="bottom"/>
          </w:tcPr>
          <w:p>
            <w:pPr>
              <w:spacing w:after="0"/>
              <w:rPr>
                <w:sz w:val="16"/>
                <w:szCs w:val="16"/>
                <w:color w:val="auto"/>
              </w:rPr>
            </w:pP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67,838</w:t>
            </w:r>
          </w:p>
        </w:tc>
        <w:tc>
          <w:tcPr>
            <w:tcW w:w="15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(3%)</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173,688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16,557</w:t>
            </w:r>
          </w:p>
        </w:tc>
        <w:tc>
          <w:tcPr>
            <w:tcW w:w="15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(7%)</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255,031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143,603</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natural gas and NGLs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52,749</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50,246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30,260</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30,532</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(92%)</w:t>
            </w:r>
          </w:p>
        </w:tc>
        <w:tc>
          <w:tcPr>
            <w:tcW w:w="0" w:type="dxa"/>
            <w:vAlign w:val="bottom"/>
          </w:tcPr>
          <w:p>
            <w:pPr>
              <w:spacing w:after="0"/>
              <w:rPr>
                <w:sz w:val="1"/>
                <w:szCs w:val="1"/>
                <w:color w:val="auto"/>
              </w:rPr>
            </w:pPr>
          </w:p>
        </w:tc>
      </w:tr>
      <w:tr>
        <w:trPr>
          <w:trHeight w:val="181"/>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201,650</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123,087</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30,532</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Integration costs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 related to capital</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reimbursement activity</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87,390</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57,810</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considered meaningful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u w:val="single" w:color="auto"/>
          <w:color w:val="auto"/>
        </w:rPr>
        <w:t>Year ended December 31, 2023</w:t>
      </w:r>
      <w:r>
        <w:rPr>
          <w:rFonts w:ascii="Times New Roman" w:cs="Times New Roman" w:eastAsia="Times New Roman" w:hAnsi="Times New Roman"/>
          <w:sz w:val="14"/>
          <w:szCs w:val="14"/>
          <w:color w:val="auto"/>
        </w:rPr>
        <w:t>. Segment adjusted EBITDA increased $29.6 million compared to the year ended December 31, 2022 primarily due to the 2022 DJ Acquisitions, partially offset by the sale of Bison Midstream in September 2022.</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10" w:right="37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Permian.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our Permian reportable segment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7161530" cy="141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daily throughput (MMcf/d)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Average daily throughput (MMcf/d) (Double 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30, 2022, we completed the sale of our Lane G&amp;P System.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Double E increased 10% compared to the year ended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1"/>
          <w:szCs w:val="11"/>
          <w:b w:val="1"/>
          <w:bCs w:val="1"/>
          <w:color w:val="auto"/>
        </w:rPr>
        <w:t>Permian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00" w:type="dxa"/>
            <w:vAlign w:val="bottom"/>
            <w:tcBorders>
              <w:top w:val="single" w:sz="8" w:color="auto"/>
            </w:tcBorders>
            <w:gridSpan w:val="3"/>
          </w:tcPr>
          <w:p>
            <w:pPr>
              <w:ind w:left="8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41"/>
        </w:trPr>
        <w:tc>
          <w:tcPr>
            <w:tcW w:w="1420" w:type="dxa"/>
            <w:vAlign w:val="bottom"/>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1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4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8"/>
                <w:szCs w:val="18"/>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664" w:lineRule="exact"/>
        <w:rPr>
          <w:sz w:val="20"/>
          <w:szCs w:val="20"/>
          <w:color w:val="auto"/>
        </w:rPr>
      </w:pPr>
    </w:p>
    <w:p>
      <w:pPr>
        <w:sectPr>
          <w:pgSz w:w="11900" w:h="16838" w:orient="portrait"/>
          <w:cols w:equalWidth="0" w:num="2">
            <w:col w:w="6080" w:space="720"/>
            <w:col w:w="4480"/>
          </w:cols>
          <w:pgMar w:left="300" w:top="210" w:right="319" w:bottom="1440" w:gutter="0" w:footer="0" w:header="0"/>
        </w:sect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following table presents the MVC quantities that Double E’s shippers have contracted to with firm transportation service agreements and related negotiated rate agreements, excluding a new firm transportation agreement executed with a large independent oil and gas exploration and production company that includes a 10 year contract term with an expected in-service upon completion of the associated project: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MVC quantities for the year ended December 31,</w:t>
            </w:r>
          </w:p>
        </w:tc>
        <w:tc>
          <w:tcPr>
            <w:tcW w:w="24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(MMBTU/day)</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986,803</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84"/>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879,452</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82" w:name="page83"/>
    <w:bookmarkEnd w:id="8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data for our Permian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449"/>
              <w:spacing w:after="0"/>
              <w:rPr>
                <w:sz w:val="20"/>
                <w:szCs w:val="20"/>
                <w:color w:val="auto"/>
              </w:rPr>
            </w:pPr>
            <w:r>
              <w:rPr>
                <w:rFonts w:ascii="Times New Roman" w:cs="Times New Roman" w:eastAsia="Times New Roman" w:hAnsi="Times New Roman"/>
                <w:sz w:val="11"/>
                <w:szCs w:val="11"/>
                <w:b w:val="1"/>
                <w:bCs w:val="1"/>
                <w:color w:val="auto"/>
              </w:rPr>
              <w:t>Permian</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20"/>
        </w:trPr>
        <w:tc>
          <w:tcPr>
            <w:tcW w:w="6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3"/>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17,382</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(13%)</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(86%)</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natural gas and NGLs</w:t>
            </w: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18,007</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(56%)</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84,516</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81"/>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109,036</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costs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related to capital</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reimbursement activity</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84,516</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Proportional adjusted EBITDA for Double 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considered meaningful</w:t>
      </w:r>
    </w:p>
    <w:p>
      <w:pPr>
        <w:spacing w:after="0" w:line="80" w:lineRule="exact"/>
        <w:rPr>
          <w:sz w:val="20"/>
          <w:szCs w:val="20"/>
          <w:color w:val="auto"/>
        </w:rPr>
      </w:pPr>
    </w:p>
    <w:p>
      <w:pPr>
        <w:jc w:val="both"/>
        <w:ind w:right="460"/>
        <w:spacing w:after="0" w:line="287" w:lineRule="auto"/>
        <w:rPr>
          <w:sz w:val="20"/>
          <w:szCs w:val="20"/>
          <w:color w:val="auto"/>
        </w:rPr>
      </w:pPr>
      <w:r>
        <w:rPr>
          <w:rFonts w:ascii="Times New Roman" w:cs="Times New Roman" w:eastAsia="Times New Roman" w:hAnsi="Times New Roman"/>
          <w:sz w:val="14"/>
          <w:szCs w:val="14"/>
          <w:u w:val="single" w:color="auto"/>
          <w:color w:val="auto"/>
        </w:rPr>
        <w:t>Year ended December 31, 2023</w:t>
      </w:r>
      <w:r>
        <w:rPr>
          <w:rFonts w:ascii="Times New Roman" w:cs="Times New Roman" w:eastAsia="Times New Roman" w:hAnsi="Times New Roman"/>
          <w:sz w:val="14"/>
          <w:szCs w:val="14"/>
          <w:color w:val="auto"/>
        </w:rPr>
        <w:t>. Segment adjusted EBITDA increased $6.2 million compared to the year ended December 31, 2022 primarily as a result of an increase in proportional adjusted EBITDA from our equity method investment in Double E, partially offset by the disposition of the Lane G&amp;P System in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Piceance.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our Piceance reportable segment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Piceance</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41"/>
        </w:trPr>
        <w:tc>
          <w:tcPr>
            <w:tcW w:w="7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72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jc w:val="right"/>
              <w:ind w:right="4980"/>
              <w:spacing w:after="0"/>
              <w:rPr>
                <w:sz w:val="20"/>
                <w:szCs w:val="20"/>
                <w:color w:val="auto"/>
              </w:rPr>
            </w:pPr>
            <w:r>
              <w:rPr>
                <w:rFonts w:ascii="Times New Roman" w:cs="Times New Roman" w:eastAsia="Times New Roman" w:hAnsi="Times New Roman"/>
                <w:sz w:val="14"/>
                <w:szCs w:val="14"/>
                <w:color w:val="auto"/>
              </w:rPr>
              <w:t>Aggregate average daily throughput (MMcf/d)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Volume throughput decreased 1% in 2023 compared to the year ended December 31, 2022, primarily as a result of natural production declines, partially offset by 56 new well connections that came online during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data for our Piceance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Piceance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09"/>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3"/>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81,041</w:t>
            </w:r>
          </w:p>
        </w:tc>
        <w:tc>
          <w:tcPr>
            <w:tcW w:w="100" w:type="dxa"/>
            <w:vAlign w:val="bottom"/>
          </w:tcPr>
          <w:p>
            <w:pPr>
              <w:spacing w:after="0"/>
              <w:rPr>
                <w:sz w:val="16"/>
                <w:szCs w:val="16"/>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80,630</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(33%)</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93,349</w:t>
            </w:r>
          </w:p>
        </w:tc>
        <w:tc>
          <w:tcPr>
            <w:tcW w:w="15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natural gas and NGLs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(51%)</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23,523</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5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(7%)</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51,352</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(86%)</w:t>
            </w:r>
          </w:p>
        </w:tc>
        <w:tc>
          <w:tcPr>
            <w:tcW w:w="0" w:type="dxa"/>
            <w:vAlign w:val="bottom"/>
          </w:tcPr>
          <w:p>
            <w:pPr>
              <w:spacing w:after="0"/>
              <w:rPr>
                <w:sz w:val="1"/>
                <w:szCs w:val="1"/>
                <w:color w:val="auto"/>
              </w:rPr>
            </w:pPr>
          </w:p>
        </w:tc>
      </w:tr>
      <w:tr>
        <w:trPr>
          <w:trHeight w:val="181"/>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78,956</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80,649</w:t>
            </w:r>
          </w:p>
        </w:tc>
        <w:tc>
          <w:tcPr>
            <w:tcW w:w="15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(2%)</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51,352</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related to capital reimbursement activity</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59,749</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60,055</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considered meaningful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Year ended December 31, 2023</w:t>
      </w:r>
      <w:r>
        <w:rPr>
          <w:rFonts w:ascii="Times New Roman" w:cs="Times New Roman" w:eastAsia="Times New Roman" w:hAnsi="Times New Roman"/>
          <w:sz w:val="14"/>
          <w:szCs w:val="14"/>
          <w:color w:val="auto"/>
        </w:rPr>
        <w:t>. Segment adjusted EBITDA decreased $0.3 million compared to the year ended December 31, 2022.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Barnett.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Volume throughput for our Barnett reportable segment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w w:val="99"/>
              </w:rPr>
              <w:t>Barnett</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Change</w:t>
            </w:r>
          </w:p>
        </w:tc>
        <w:tc>
          <w:tcPr>
            <w:tcW w:w="0" w:type="dxa"/>
            <w:vAlign w:val="bottom"/>
          </w:tcPr>
          <w:p>
            <w:pPr>
              <w:spacing w:after="0"/>
              <w:rPr>
                <w:sz w:val="1"/>
                <w:szCs w:val="1"/>
                <w:color w:val="auto"/>
              </w:rPr>
            </w:pPr>
          </w:p>
        </w:tc>
      </w:tr>
      <w:tr>
        <w:trPr>
          <w:trHeight w:val="141"/>
        </w:trPr>
        <w:tc>
          <w:tcPr>
            <w:tcW w:w="7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72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jc w:val="right"/>
              <w:ind w:right="5580"/>
              <w:spacing w:after="0"/>
              <w:rPr>
                <w:sz w:val="20"/>
                <w:szCs w:val="20"/>
                <w:color w:val="auto"/>
              </w:rPr>
            </w:pPr>
            <w:r>
              <w:rPr>
                <w:rFonts w:ascii="Times New Roman" w:cs="Times New Roman" w:eastAsia="Times New Roman" w:hAnsi="Times New Roman"/>
                <w:sz w:val="14"/>
                <w:szCs w:val="14"/>
                <w:color w:val="auto"/>
              </w:rPr>
              <w:t>Average daily throughput (MMcf/d)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Volume throughput decreased 10% compared to the year ended December 31, 2022, primarily as a result of temporary production curtailments associated with reductions in commodity pricing, partially offset by 10 wells that came online during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data for our Barnett reportable segment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Barnett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3"/>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09"/>
        </w:trPr>
        <w:tc>
          <w:tcPr>
            <w:tcW w:w="6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37,508</w:t>
            </w:r>
          </w:p>
        </w:tc>
        <w:tc>
          <w:tcPr>
            <w:tcW w:w="100" w:type="dxa"/>
            <w:vAlign w:val="bottom"/>
          </w:tcPr>
          <w:p>
            <w:pPr>
              <w:spacing w:after="0"/>
              <w:rPr>
                <w:sz w:val="16"/>
                <w:szCs w:val="16"/>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41,830</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(10%)</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(69%)</w:t>
            </w:r>
          </w:p>
        </w:tc>
        <w:tc>
          <w:tcPr>
            <w:tcW w:w="0" w:type="dxa"/>
            <w:vAlign w:val="bottom"/>
          </w:tcPr>
          <w:p>
            <w:pPr>
              <w:spacing w:after="0"/>
              <w:rPr>
                <w:sz w:val="1"/>
                <w:szCs w:val="1"/>
                <w:color w:val="auto"/>
              </w:rPr>
            </w:pPr>
          </w:p>
        </w:tc>
      </w:tr>
      <w:tr>
        <w:trPr>
          <w:trHeight w:val="21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520" w:type="dxa"/>
            <w:vAlign w:val="bottom"/>
            <w:tcBorders>
              <w:bottom w:val="single" w:sz="8" w:color="CCEEFF"/>
            </w:tcBorders>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(12%)</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52,096</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(13%)</w:t>
            </w: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18,255</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18,792</w:t>
            </w:r>
          </w:p>
        </w:tc>
        <w:tc>
          <w:tcPr>
            <w:tcW w:w="15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(3%)</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15,233</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15,178</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(14%)</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81"/>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34,714</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15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(2%)</w:t>
            </w: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8"/>
                <w:szCs w:val="18"/>
                <w:color w:val="auto"/>
                <w:vertAlign w:val="superscript"/>
              </w:rPr>
              <w:t>(1)</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related to capital reimbursement activity</w:t>
            </w:r>
          </w:p>
        </w:tc>
        <w:tc>
          <w:tcPr>
            <w:tcW w:w="8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31,624</w:t>
            </w:r>
          </w:p>
        </w:tc>
        <w:tc>
          <w:tcPr>
            <w:tcW w:w="15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considered meaningful</w:t>
      </w:r>
    </w:p>
    <w:p>
      <w:pPr>
        <w:spacing w:after="0" w:line="64" w:lineRule="exact"/>
        <w:rPr>
          <w:sz w:val="20"/>
          <w:szCs w:val="20"/>
          <w:color w:val="auto"/>
        </w:rPr>
      </w:pPr>
    </w:p>
    <w:p>
      <w:pPr>
        <w:ind w:left="240" w:hanging="235"/>
        <w:spacing w:after="0"/>
        <w:tabs>
          <w:tab w:leader="none" w:pos="240"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amortization expense associated with our favorable and unfavorable gas gathering contracts as reported in other revenues.</w:t>
      </w:r>
    </w:p>
    <w:p>
      <w:pPr>
        <w:spacing w:after="0" w:line="6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u w:val="single" w:color="auto"/>
          <w:color w:val="auto"/>
        </w:rPr>
        <w:t>Year ended December 31, 2023</w:t>
      </w:r>
      <w:r>
        <w:rPr>
          <w:rFonts w:ascii="Times New Roman" w:cs="Times New Roman" w:eastAsia="Times New Roman" w:hAnsi="Times New Roman"/>
          <w:sz w:val="14"/>
          <w:szCs w:val="14"/>
          <w:color w:val="auto"/>
        </w:rPr>
        <w:t>. Segment adjusted EBITDA decreased $5.5 million compared to the year ended December 31, 2022 primarily as a result of $1.7 million of commercial settlements that benefited the segment’s financial results in the first quarter of 2022 and the volume throughput decreases discussed above.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and Other Overview for the Years Ended December 31, 2023 and 2022</w:t>
      </w:r>
    </w:p>
    <w:p>
      <w:pPr>
        <w:spacing w:after="0" w:line="9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interest expense and losses on early extinguishment of debt. Corporate and Other includes intercompany eliminations.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gridSpan w:val="3"/>
          </w:tcPr>
          <w:p>
            <w:pPr>
              <w:ind w:left="880"/>
              <w:spacing w:after="0"/>
              <w:rPr>
                <w:sz w:val="20"/>
                <w:szCs w:val="20"/>
                <w:color w:val="auto"/>
              </w:rPr>
            </w:pPr>
            <w:r>
              <w:rPr>
                <w:rFonts w:ascii="Times New Roman" w:cs="Times New Roman" w:eastAsia="Times New Roman" w:hAnsi="Times New Roman"/>
                <w:sz w:val="11"/>
                <w:szCs w:val="11"/>
                <w:b w:val="1"/>
                <w:bCs w:val="1"/>
                <w:color w:val="auto"/>
              </w:rPr>
              <w:t>Corporate and Other</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20"/>
        </w:trPr>
        <w:tc>
          <w:tcPr>
            <w:tcW w:w="6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40" w:type="dxa"/>
            <w:vAlign w:val="bottom"/>
            <w:gridSpan w:val="2"/>
          </w:tcPr>
          <w:p>
            <w:pPr>
              <w:ind w:left="740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60" w:type="dxa"/>
            <w:vAlign w:val="bottom"/>
          </w:tcPr>
          <w:p>
            <w:pPr>
              <w:spacing w:after="0"/>
              <w:rPr>
                <w:sz w:val="12"/>
                <w:szCs w:val="12"/>
                <w:color w:val="auto"/>
              </w:rPr>
            </w:pP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142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60" w:type="dxa"/>
            <w:vAlign w:val="bottom"/>
          </w:tcPr>
          <w:p>
            <w:pPr>
              <w:jc w:val="right"/>
              <w:ind w:right="656"/>
              <w:spacing w:after="0"/>
              <w:rPr>
                <w:sz w:val="20"/>
                <w:szCs w:val="20"/>
                <w:color w:val="auto"/>
              </w:rPr>
            </w:pPr>
            <w:r>
              <w:rPr>
                <w:rFonts w:ascii="Times New Roman" w:cs="Times New Roman" w:eastAsia="Times New Roman" w:hAnsi="Times New Roman"/>
                <w:sz w:val="14"/>
                <w:szCs w:val="14"/>
                <w:color w:val="auto"/>
              </w:rPr>
              <w:t>34,287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38,282</w:t>
            </w:r>
          </w:p>
        </w:tc>
        <w:tc>
          <w:tcPr>
            <w:tcW w:w="10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6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12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rPr>
              <w:t>1,176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475"/>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60" w:type="dxa"/>
            <w:vAlign w:val="bottom"/>
          </w:tcPr>
          <w:p>
            <w:pPr>
              <w:jc w:val="right"/>
              <w:ind w:right="656"/>
              <w:spacing w:after="0"/>
              <w:rPr>
                <w:sz w:val="20"/>
                <w:szCs w:val="20"/>
                <w:color w:val="auto"/>
              </w:rPr>
            </w:pPr>
            <w:r>
              <w:rPr>
                <w:rFonts w:ascii="Times New Roman" w:cs="Times New Roman" w:eastAsia="Times New Roman" w:hAnsi="Times New Roman"/>
                <w:sz w:val="14"/>
                <w:szCs w:val="14"/>
                <w:color w:val="auto"/>
              </w:rPr>
              <w:t>140,784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102,459</w:t>
            </w:r>
          </w:p>
        </w:tc>
        <w:tc>
          <w:tcPr>
            <w:tcW w:w="100" w:type="dxa"/>
            <w:vAlign w:val="bottom"/>
          </w:tcPr>
          <w:p>
            <w:pPr>
              <w:spacing w:after="0"/>
              <w:rPr>
                <w:sz w:val="16"/>
                <w:szCs w:val="16"/>
                <w:color w:val="auto"/>
              </w:rPr>
            </w:pPr>
          </w:p>
        </w:tc>
        <w:tc>
          <w:tcPr>
            <w:tcW w:w="1420" w:type="dxa"/>
            <w:vAlign w:val="bottom"/>
          </w:tcPr>
          <w:p>
            <w:pPr>
              <w:jc w:val="right"/>
              <w:ind w:right="515"/>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Not considered meaningful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Transaction costs</w:t>
      </w:r>
      <w:r>
        <w:rPr>
          <w:rFonts w:ascii="Times New Roman" w:cs="Times New Roman" w:eastAsia="Times New Roman" w:hAnsi="Times New Roman"/>
          <w:sz w:val="14"/>
          <w:szCs w:val="14"/>
          <w:color w:val="auto"/>
        </w:rPr>
        <w:t>. Transaction costs during 2022 were primarily related to costs incurred in connection with the 2022 DJ Acquisitions.</w:t>
      </w:r>
    </w:p>
    <w:p>
      <w:pPr>
        <w:spacing w:after="0" w:line="9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u w:val="single" w:color="auto"/>
          <w:color w:val="auto"/>
        </w:rPr>
        <w:t>General and administrative</w:t>
      </w:r>
      <w:r>
        <w:rPr>
          <w:rFonts w:ascii="Times New Roman" w:cs="Times New Roman" w:eastAsia="Times New Roman" w:hAnsi="Times New Roman"/>
          <w:sz w:val="14"/>
          <w:szCs w:val="14"/>
          <w:color w:val="auto"/>
        </w:rPr>
        <w:t>. General and administrative expense attributable to Corporate and Other decreased by $4.0 million compared to the year ended December 31, 2022, primarily as a result of lower employee incentive compensation costs.</w:t>
      </w:r>
    </w:p>
    <w:p>
      <w:pPr>
        <w:spacing w:after="0" w:line="3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u w:val="single" w:color="auto"/>
          <w:color w:val="auto"/>
        </w:rPr>
        <w:t>Interest Expense</w:t>
      </w:r>
      <w:r>
        <w:rPr>
          <w:rFonts w:ascii="Times New Roman" w:cs="Times New Roman" w:eastAsia="Times New Roman" w:hAnsi="Times New Roman"/>
          <w:sz w:val="14"/>
          <w:szCs w:val="14"/>
          <w:color w:val="auto"/>
        </w:rPr>
        <w:t>. Interest expense increased $38.3 million during the year ended December 31, 2023 compared to the year ended December 31, 2022 primarily due to $18.0 million of increased borrowing costs on the ABL Facility resulting from higher interest rates and borrowings throughout 2023 compared to 2022, $7.0 million of increased borrowing costs resulting from the issuance of $85.0 million of 2026 Secured Notes to fund the 2022 DJ Acquisitions, $4.9 million of higher borrowing costs on the Permian Transmission Term Loan, $4.5 million of increased borrowing costs on the 2026 Secured Notes, $3.4 million of increased amortization of debt issuance costs and $3.1 million of borrowing costs on the newly issued 2026 Unsecured Notes.</w:t>
      </w:r>
    </w:p>
    <w:p>
      <w:pPr>
        <w:spacing w:after="0" w:line="56"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See Note 9 – Debt to the consolidated financial statements for additional details. Interest expense does not include the impact of gains or losses from our interest rate swaps entered into for the Permian Transmission Credit Facilities.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rely primarily on internally generated cash flow as well as external financing sources, including our ABL Facility and the issuance of debt, equity and preferred equity securities, and proceeds from potential asset divestitures to fund our investments. We believe that our ABL Facility and Permian Transmission Credit Facilities, together with internally generated cash flow and access to debt or equity capital markets, will be adequate to finance our operations for the next twelve months without adversely impacting our liquidity.</w:t>
      </w:r>
    </w:p>
    <w:p>
      <w:pPr>
        <w:spacing w:after="0" w:line="4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Off-Balance Sheet Arrangements. </w:t>
      </w:r>
      <w:r>
        <w:rPr>
          <w:rFonts w:ascii="Times New Roman" w:cs="Times New Roman" w:eastAsia="Times New Roman" w:hAnsi="Times New Roman"/>
          <w:sz w:val="14"/>
          <w:szCs w:val="14"/>
          <w:color w:val="auto"/>
        </w:rPr>
        <w:t>We may enter into off-balance sheet arrangements and transactions that can give rise to material off-balance sheet obligations. As of December 31, 2023,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material off-balance sheet arrangements and transactions include (i) letters of credit outstanding against our ABL Facility aggregating to $4.3 million and (ii) letters of credit outstanding against our Permian Transmission Credit Facilities aggregating to $10.5 million. There are no other transactions, arrangements or other relationships with unconsolidated entities or other persons that are reasonably likely to materially affect our liquidity or availability of our capital resources.</w:t>
      </w:r>
    </w:p>
    <w:p>
      <w:pPr>
        <w:spacing w:after="0" w:line="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ABL Facility. </w:t>
      </w:r>
      <w:r>
        <w:rPr>
          <w:rFonts w:ascii="Times New Roman" w:cs="Times New Roman" w:eastAsia="Times New Roman" w:hAnsi="Times New Roman"/>
          <w:sz w:val="14"/>
          <w:szCs w:val="14"/>
          <w:color w:val="auto"/>
        </w:rPr>
        <w:t>Summit Holdings has a $400.0 million revolving ABL Facility pursuant to that certain Loan and Security Agreement, dated as of November 2, 2021 (the “ABL Agreement”), with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maturity date of May 1, 2026. The ABL Facility will mature on May 1, 2026; provided that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As of December 31, 2023, the outstanding balance of the ABL Facility was $313.0 million and the unused commitments were $82.7 million, after giving effect to the issuance thereunder of $4.3 million of outstanding but undrawn irrevocable standby letters of credit. The ABL Facility is secured by a first lien on all of our assets and borrowings are subject to a borrowing base comprised of a percentage of eligible accounts receivable of Summit Holdings and its subsidiaries that guarantee the ABL Facility (collectively, the “ABL Facility Guarantors”) and a percentage of eligible above-ground fixed assets including eligible compression units, processing plants, compression stations and related equipment of Summit Holdings and the ABL Facility Guarantors. As of the date of the most recent borrowing base determination, eligible assets totaled $723.2 million, an amount greater than the $400.0 million of aggregate lending commitments.</w:t>
      </w:r>
    </w:p>
    <w:p>
      <w:pPr>
        <w:spacing w:after="0" w:line="5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On November 16, 2023, we amended the ABL Facility to, among other things, permit the 2023 Exchange Transactions, address springing borrowing base reserves in relation to the outstanding principal amount of the 2025 Senior Notes and amend the Interest Coverage Ratio (as defined in the ABL Agreement) covenant to 1.75x through the end of 2024 and 1.90x thereafter.</w:t>
      </w:r>
    </w:p>
    <w:p>
      <w:pPr>
        <w:spacing w:after="0" w:line="4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There were no defaults or events of default under the ABL Facility during 2023, and as of December 31, 2023, we were in compliance with the financial covenants in the ABL Facility. The ABL Facility requires that Summit Holdings not permit (i) the First Lien Net Leverage Ratio (as defined in the ABL Agreement) as of the last day of any fiscal quarter to be greater than 2.50:1.00, or (ii) the Interest Coverage Ratio as of the last day of any fiscal quarter to be less than 1.75:1.00 through the end of 2024 or less than 1.90:1.00 thereafter.</w:t>
      </w:r>
    </w:p>
    <w:p>
      <w:pPr>
        <w:spacing w:after="0" w:line="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spacing w:after="0" w:line="5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 of December 31, 2023, the applicable margin under the adjusted term SOFR borrowings was 3.25%, the interest rate was 8.71% and the unused portion of the ABL Facility totaled $82.7 million after giving effect to the issuance of $4.3 million in outstanding but undrawn irrevocable standby letters of credit.</w:t>
      </w:r>
    </w:p>
    <w:p>
      <w:pPr>
        <w:spacing w:after="0" w:line="37"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Permian Transmission Credit Facilities. </w:t>
      </w:r>
      <w:r>
        <w:rPr>
          <w:rFonts w:ascii="Times New Roman" w:cs="Times New Roman" w:eastAsia="Times New Roman" w:hAnsi="Times New Roman"/>
          <w:sz w:val="14"/>
          <w:szCs w:val="14"/>
          <w:color w:val="auto"/>
        </w:rPr>
        <w:t>On March 8, 2021 (the “Permian Closing Date”), the Partnership’s unrestricted subsidiary, Permian Transmission, entered into a Credit Agreement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allows for $175.0 million of senior secured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w:t>
      </w:r>
    </w:p>
    <w:p>
      <w:pPr>
        <w:spacing w:after="0" w:line="5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As of December 31, 2023, the applicable margin under adjusted SOFR borrowings was 2.475%, the interest rate was 7.79% and the unused portion of the Permian Transmission Credit Facilities totaled $4.5 million, subject to a commitment fee of 0.7% after giving effect to the issuance of $10.5 million in outstanding but undrawn irrevocable standby letters of credit. As of December 31, 2023, the Partnership was in compliance with the financial covenants of the Permian Transmission Credit Facilities.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Permian Transmission Term Loan. </w:t>
      </w:r>
      <w:r>
        <w:rPr>
          <w:rFonts w:ascii="Times New Roman" w:cs="Times New Roman" w:eastAsia="Times New Roman" w:hAnsi="Times New Roman"/>
          <w:sz w:val="14"/>
          <w:szCs w:val="14"/>
          <w:color w:val="auto"/>
        </w:rPr>
        <w:t>In January 2022, the Permian Term Loan Facility was converted into the Permian Term Loan Facility. The Permian Transmission Term Loan is due January 2028,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of December 31, 2023, the applicable margin under adjusted SOFR borrowings was 2.475%, the interest rate was 7.79%. Summit Permian Transmission, LLC entered into interest rate hedges with notional amounts representing approximately 90% of the Permian Term Loan facility at a fixed SOFR rate of 1.23%. As of ended December 31, 2023, the Partnership was in compliance with the financial covenants governing the Permian Transmission Term Loan.</w:t>
      </w:r>
    </w:p>
    <w:p>
      <w:pPr>
        <w:spacing w:after="0" w:line="5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December 31, 2023, the balance of the Permian Transmission Term Loan was $144.8 million, and we were in compliance with the financial covenants of the Permian Transmission Term Loan and Permian Transmission Credit Facilities.</w:t>
      </w:r>
    </w:p>
    <w:p>
      <w:pPr>
        <w:spacing w:after="0" w:line="2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2025 Senior Notes. </w:t>
      </w:r>
      <w:r>
        <w:rPr>
          <w:rFonts w:ascii="Times New Roman" w:cs="Times New Roman" w:eastAsia="Times New Roman" w:hAnsi="Times New Roman"/>
          <w:sz w:val="14"/>
          <w:szCs w:val="14"/>
          <w:color w:val="auto"/>
        </w:rPr>
        <w:t>In February 2017, the Co-Issuers co-issued $500.0 million of 5.75% senior unsecured notes maturing April 15, 2025 (the “2025 Senior Notes”). On November 16, 2023,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entered into a private purchase and exchange agreement (the “Exchange Agreement”) with certain purchasers listed therein to issue a total of $209.5 million aggregate principal amount of the 2026 Unsecured Notes in exchange for $180.0 million aggregate principal amount of the 2025 Senior Notes and $29.5 million in cash. The exchanged 2025 Senior Notes were cancelled. The cash raised was used to repurchase $29.7 million aggregate principal amount of the remaining 2025 Senior Notes that were not exchanged. The 2025 Senior Notes are senior, unsecured obligations and rank equally in right of payment with all of our existing and future senior obligations. The 2025 Senior Notes are effectively subordinated in right of payment to all of our secured indebtedness, to the extent of the collateral securing such indebtedness. The Co-Issuers may redeem all or part of the remaining 2025 Senior Notes at a redemption price of 100.000%, plus accrued and unpaid interest, if any, to, but not including, the redemption date.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outstanding balance of the 2025 Senior Notes was $49.8 million.</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2026 Secured Notes. </w:t>
      </w:r>
      <w:r>
        <w:rPr>
          <w:rFonts w:ascii="Times New Roman" w:cs="Times New Roman" w:eastAsia="Times New Roman" w:hAnsi="Times New Roman"/>
          <w:sz w:val="14"/>
          <w:szCs w:val="14"/>
          <w:color w:val="auto"/>
        </w:rPr>
        <w:t>In November 2021, we issued $700.0 million of the 2026 Secured Notes, at a price of 98.5% of face value. Additionally, in November 2022, in connection with the 2022 DJ</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Acquisitions, we issued an additional $85.0 million of 2026 Secured Notes at a price of 99.26% of their face value. The Co-Issuers pay interest on the 2026 Secured Notes semi-annually on April 15 and October 15 of each year, and the 2026 Secured Notes are jointly and severally guaranteed, on a senior second-priority secured basis (subject to permitted liens), by us and each of our restricted subsidiaries that is an obligor under the ABL Facility, or under the 2025 Senior Notes on the issue date of the 2026 Secured Notes. As of December 31, 2023, the outstanding balance of the 2026 Secured Notes was $785.0 million.</w:t>
      </w:r>
    </w:p>
    <w:p>
      <w:pPr>
        <w:spacing w:after="0" w:line="5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spacing w:after="0" w:line="5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Because the Partnership did not offer to purchase at least $50.0 million in aggregate principal amount of 2026 Secured Notes by April 1, 2023, the interest rate on the 2026 Secured Notes automatically increased by 50 basis points per annum. If the Partnership has not offered to purchase $100.0 million in aggregate principal amount of 2026 Secured Notes by April 1, 2024, the interest rate on the 2026 Secured Notes shall automatically increase by 100 basis points per annum (minus any amount previously increased). If the Partnership has not offered to purchase at least $200.0 million in aggregate principal amount of 2026 Secured Notes by April 1, 2025, the interest rate on the 2026 Secured Notes shall automatically increase by 200 basis points per annum (minus any amount previously increased).</w:t>
      </w:r>
    </w:p>
    <w:p>
      <w:pPr>
        <w:spacing w:after="0" w:line="5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 We do not anticipate making offers to purchase in the designated amount for the fiscal year ended 2023 and as a result, the interest rate on the 2026 Secured Notes will increase an incremental 50 basis points to 9.50% effective April 1, 2024, resulting in an incremental increase in annual interest expense of approximately $3.9 million.</w:t>
      </w:r>
    </w:p>
    <w:p>
      <w:pPr>
        <w:spacing w:after="0" w:line="6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2026 Unsecured Notes. </w:t>
      </w:r>
      <w:r>
        <w:rPr>
          <w:rFonts w:ascii="Times New Roman" w:cs="Times New Roman" w:eastAsia="Times New Roman" w:hAnsi="Times New Roman"/>
          <w:sz w:val="14"/>
          <w:szCs w:val="14"/>
          <w:color w:val="auto"/>
        </w:rPr>
        <w:t>In November 2023, we issued a total of $209.5 million aggregate principal amount of 2026 Unsecured Notes in exchange for $180.0 million aggregate principal amount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2025 Senior Notes and $29.5 million in cash. The exchanged 2025 Senior Notes were cancelled, and the cash raised was used to repurchase $29.7 million aggregate principal amount of the remaining 2025 Senior Notes that were not exchanged. The 2026 Unsecured Notes bear interest at 12.0% and mature on October 15, 2026, in line with the maturity date of the 2026 Secured Notes. The 2026 Unsecured Notes are senior,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unsecured obligations and rank equally in right of payment with all of our existing and future senior obligations. The 2026 Unsecured Notes are effectively subordinated in right of payment to all of our secured indebtedness, to the extent of the collateral securing such indebtedness. The Co-Issuers may redeem all or a part of the 2026 Unsecured Notes at a redemption price of (a) on or before April 15, 2025, 101.00%, and (b) after April 15, 2025, 102.00%, plus accrued and unpaid interest, if any, to, but not including, the redemption date.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outstanding balance of the 2026 Unsecured Notes was $209.5 million.</w:t>
      </w: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209" w:right="45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4"/>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30"/>
        </w:trPr>
        <w:tc>
          <w:tcPr>
            <w:tcW w:w="8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1"/>
        </w:trPr>
        <w:tc>
          <w:tcPr>
            <w:tcW w:w="8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1"/>
        </w:trPr>
        <w:tc>
          <w:tcPr>
            <w:tcW w:w="8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2"/>
                <w:szCs w:val="12"/>
                <w:color w:val="auto"/>
              </w:rPr>
            </w:pPr>
          </w:p>
        </w:tc>
      </w:tr>
      <w:tr>
        <w:trPr>
          <w:trHeight w:val="30"/>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2"/>
        </w:trPr>
        <w:tc>
          <w:tcPr>
            <w:tcW w:w="8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126,906</w:t>
            </w:r>
          </w:p>
        </w:tc>
        <w:tc>
          <w:tcPr>
            <w:tcW w:w="500" w:type="dxa"/>
            <w:vAlign w:val="bottom"/>
            <w:tcBorders>
              <w:bottom w:val="single" w:sz="8" w:color="CFF0FC"/>
            </w:tcBorders>
            <w:gridSpan w:val="2"/>
            <w:shd w:val="clear" w:color="auto" w:fill="CFF0FC"/>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98,744</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(226,558)</w:t>
            </w:r>
          </w:p>
        </w:tc>
      </w:tr>
      <w:tr>
        <w:trPr>
          <w:trHeight w:val="22"/>
        </w:trPr>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8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(49,036)</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121,773</w:t>
            </w:r>
          </w:p>
        </w:tc>
      </w:tr>
      <w:tr>
        <w:trPr>
          <w:trHeight w:val="203"/>
        </w:trPr>
        <w:tc>
          <w:tcPr>
            <w:tcW w:w="8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the net change in cash, cash equivalents and restricted cash were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Details of cash flows from operating activities follow.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from operating activities for the year ended December 31, 2023, primarily reflected:</w:t>
      </w:r>
    </w:p>
    <w:p>
      <w:pPr>
        <w:spacing w:after="0" w:line="94" w:lineRule="exact"/>
        <w:rPr>
          <w:sz w:val="20"/>
          <w:szCs w:val="20"/>
          <w:color w:val="auto"/>
        </w:rPr>
      </w:pPr>
    </w:p>
    <w:p>
      <w:pPr>
        <w:ind w:left="1020" w:hanging="506"/>
        <w:spacing w:after="0"/>
        <w:tabs>
          <w:tab w:leader="none" w:pos="10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loss of $38.9 million plus adjustments of $185.5 million for non-cash items;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$19.7 million change in working capital accounts.</w:t>
      </w:r>
    </w:p>
    <w:p>
      <w:pPr>
        <w:spacing w:after="0" w:line="348" w:lineRule="exact"/>
        <w:rPr>
          <w:sz w:val="20"/>
          <w:szCs w:val="20"/>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loss of $123.5 million plus adjustments of $235.7 million for non-cash items;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$13.5 million change in working capital accounts.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506"/>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$68.9 million of capital expenditures primarily attributable to the ongoing development of our Rockies and Northeast segments;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 million of capital contributions and costs for our equity method investment in Double E.</w:t>
      </w:r>
    </w:p>
    <w:p>
      <w:pPr>
        <w:spacing w:after="0" w:line="348" w:lineRule="exact"/>
        <w:rPr>
          <w:sz w:val="20"/>
          <w:szCs w:val="20"/>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$166.6 million of cash consideration paid for the acquisition of Outrigger DJ, net of cash acquired in the transaction;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$139.9 million of cash consideration paid for the acquisition of Sterling DJ, net of cash acquired in the transaction;</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$30.5 million of capital expenditures primarily attributable to the ongoing development of our Rockies and Northeast segments;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 million of capital contributions and costs for our equity method investment in Double E; offset by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 million of cash proceeds from the disposition of the Lane G&amp;P System, net of cash sold in the transaction;</w:t>
      </w:r>
    </w:p>
    <w:p>
      <w:pPr>
        <w:spacing w:after="0" w:line="93"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$38.9 million of cash proceeds from the disposition of Bison Midstream, net of cash sold in the transaction;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 million of cash proceeds from the sale of unused assets and latent inventory.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$87.0 million of cash outflows for repayments on the ABL Facility;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$29.7 million of cash outflows for the repurchase of 2025 Senior Notes;</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$10.5 million of cash outflows for repayments on the Permian Transmission Term Loan; offset by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$29.5 million of borrowings under the 2026 Unsecured Notes;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$70.0 million from borrowings under the ABL Facility.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provided by financing activities during the year ended December 31, 2022 primarily reflected:</w:t>
      </w:r>
    </w:p>
    <w:p>
      <w:pPr>
        <w:spacing w:after="0" w:line="94" w:lineRule="exact"/>
        <w:rPr>
          <w:sz w:val="20"/>
          <w:szCs w:val="20"/>
          <w:color w:val="auto"/>
        </w:rPr>
      </w:pPr>
    </w:p>
    <w:p>
      <w:pPr>
        <w:ind w:left="1020" w:hanging="506"/>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$293.0 million of cash received from borrowing under the ABL Facility;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$84.4 million from the additional issuance of the 2026 Secured Notes; offset by</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$230.0 million in repayments on the ABL Facility.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Update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Partnership’s cash flows generated from operations are the primary source for funding various contractual obligations. The table below summarizes the Partnership’s major commitments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2023 through 2028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2"/>
                <w:szCs w:val="12"/>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2028</w:t>
            </w:r>
          </w:p>
        </w:tc>
      </w:tr>
      <w:tr>
        <w:trPr>
          <w:trHeight w:val="30"/>
        </w:trPr>
        <w:tc>
          <w:tcPr>
            <w:tcW w:w="2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1"/>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Senior Notes, due April 2025 </w:t>
            </w:r>
            <w:r>
              <w:rPr>
                <w:rFonts w:ascii="Times New Roman" w:cs="Times New Roman" w:eastAsia="Times New Roman" w:hAnsi="Times New Roman"/>
                <w:sz w:val="14"/>
                <w:szCs w:val="14"/>
                <w:color w:val="auto"/>
                <w:vertAlign w:val="superscript"/>
              </w:rPr>
              <w:t>(2)</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ABL Facility, due May 2026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376,611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322,087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2026</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Secured Notes, due October 2026 </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999,403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850,253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2026</w:t>
            </w:r>
          </w:p>
        </w:tc>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Unsecured Notes, due October 2026 </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281,791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231,509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Permian Transmission Term Loan, due January 2028 </w:t>
            </w:r>
            <w:r>
              <w:rPr>
                <w:rFonts w:ascii="Times New Roman" w:cs="Times New Roman" w:eastAsia="Times New Roman" w:hAnsi="Times New Roman"/>
                <w:sz w:val="14"/>
                <w:szCs w:val="14"/>
                <w:color w:val="auto"/>
                <w:vertAlign w:val="superscript"/>
              </w:rPr>
              <w:t>(3)</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186,451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25,263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83,929</w:t>
            </w:r>
          </w:p>
        </w:tc>
      </w:tr>
      <w:tr>
        <w:trPr>
          <w:trHeight w:val="18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Global Settlement for 2015 Blacktail release, inclusive of interest </w:t>
            </w:r>
            <w:r>
              <w:rPr>
                <w:rFonts w:ascii="Times New Roman" w:cs="Times New Roman" w:eastAsia="Times New Roman" w:hAnsi="Times New Roman"/>
                <w:sz w:val="14"/>
                <w:szCs w:val="14"/>
                <w:color w:val="auto"/>
                <w:vertAlign w:val="superscript"/>
              </w:rPr>
              <w:t>(4)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obligations</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2,842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r>
      <w:tr>
        <w:trPr>
          <w:trHeight w:val="167"/>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1,933,953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167,805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214,989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1,438,621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28,548</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83,990</w:t>
            </w:r>
          </w:p>
        </w:tc>
      </w:tr>
      <w:tr>
        <w:trPr>
          <w:trHeight w:val="20"/>
        </w:trPr>
        <w:tc>
          <w:tcPr>
            <w:tcW w:w="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520" w:right="140" w:hanging="260"/>
        <w:spacing w:after="0" w:line="231" w:lineRule="auto"/>
        <w:tabs>
          <w:tab w:leader="none" w:pos="51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above exclude the impact of principal reductions resulting from offers to purchase the 2026 Secured Notes with excess cash flow tenders required in the 2026 Secured Notes indenture. For illustration purposes, a 9.500% interest rate on the 2026 Secured Notes was utilized for the periods 2024 through 2026. If we fail to make certain offers to purchase the 2026 Secured Notes, the interest rate on the 2026 Secured Notes will increase. See Note 9 – Debt to the consolidated financial statements and the “The interest rate on the 2026 Secured Notes will be increased if the Partnership fails to make certain offers to purchase 2026 Secured Notes” section of Item 1A. Risk Factors for additional details.</w:t>
      </w:r>
    </w:p>
    <w:p>
      <w:pPr>
        <w:spacing w:after="0" w:line="1" w:lineRule="exact"/>
        <w:rPr>
          <w:rFonts w:ascii="Times New Roman" w:cs="Times New Roman" w:eastAsia="Times New Roman" w:hAnsi="Times New Roman"/>
          <w:sz w:val="17"/>
          <w:szCs w:val="17"/>
          <w:color w:val="auto"/>
          <w:vertAlign w:val="superscript"/>
        </w:rPr>
      </w:pPr>
    </w:p>
    <w:p>
      <w:pPr>
        <w:ind w:left="500" w:hanging="240"/>
        <w:spacing w:after="0" w:line="234" w:lineRule="auto"/>
        <w:tabs>
          <w:tab w:leader="none" w:pos="50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include an estimate for interest cost based on either the stated interest rate for fixed rate indebtedness or the interest rate in effect as of December 31, 2023 for variable rate indebtedness.</w:t>
      </w:r>
    </w:p>
    <w:p>
      <w:pPr>
        <w:spacing w:after="0" w:line="50"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include mandatory principal repayments of $15.5 million in 2024, $16.6 million in 2025, $17.0 million in 2026 and $17.8 million in 2027.</w:t>
      </w:r>
    </w:p>
    <w:p>
      <w:pPr>
        <w:spacing w:after="0" w:line="40"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Global Settlement amounts in the table exclude interest owed on the unpaid portion. See Note 10 - Commitments and Contingencies to the consolidated financial statements for additional details.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Requirements</w:t>
      </w:r>
    </w:p>
    <w:p>
      <w:pPr>
        <w:spacing w:after="0" w:line="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39" w:lineRule="exact"/>
        <w:rPr>
          <w:sz w:val="20"/>
          <w:szCs w:val="20"/>
          <w:color w:val="auto"/>
        </w:rPr>
      </w:pPr>
    </w:p>
    <w:p>
      <w:pPr>
        <w:ind w:left="1020" w:right="460" w:hanging="506"/>
        <w:spacing w:after="0" w:line="287" w:lineRule="auto"/>
        <w:tabs>
          <w:tab w:leader="none" w:pos="10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39" w:lineRule="exact"/>
        <w:rPr>
          <w:rFonts w:ascii="Times New Roman" w:cs="Times New Roman" w:eastAsia="Times New Roman" w:hAnsi="Times New Roman"/>
          <w:sz w:val="14"/>
          <w:szCs w:val="14"/>
          <w:color w:val="auto"/>
        </w:rPr>
      </w:pPr>
    </w:p>
    <w:p>
      <w:pPr>
        <w:ind w:left="1020" w:right="440" w:hanging="506"/>
        <w:spacing w:after="0" w:line="287" w:lineRule="auto"/>
        <w:tabs>
          <w:tab w:leader="none" w:pos="10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capital expenditures, which are cash expenditures incurred for acquisitions or capital improvements that we expect will increase our operating income or operating capacity over the long term.</w:t>
      </w:r>
    </w:p>
    <w:p>
      <w:pPr>
        <w:spacing w:after="0" w:line="3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cash paid for capital expenditures totaled $68.9 million which included $12.4 million of maintenance capital expenditures. For the year ended December 31, 2023, we contributed $3.5 million to Double E.</w:t>
      </w:r>
    </w:p>
    <w:p>
      <w:pPr>
        <w:spacing w:after="0" w:line="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rely primarily on internally generated cash flow as well as external financing sources, including commercial bank borrowings and the issuance of debt, equity and preferred equity securities, and proceeds from asset divestitures to fund our capital expenditures. We believe that our internally generated cash flow and access to debt or equity capital markets, will be adequate to finance our business for the next twelve months without adversely impacting our liquidity. Depending on the needs of our business, contractual limitations and market conditions, we may from time to time seek to issue equity securities, incur additional debt, issue debt securities, or redeem, repurchase, refinance, or retire our outstanding debt through privately negotiated transactions, open market repurchases, redemptions, exchanges, tender offers or otherwise, but we are under no obligation to do so. There can be no assurance that we will seek to do any of the foregoing or that we will be able to do any of the foregoing on terms acceptable to us or at all.</w:t>
      </w:r>
    </w:p>
    <w:p>
      <w:pPr>
        <w:spacing w:after="0" w:line="6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We estimate that our 2024 capital program will range from $30.0 million to $40.0 million, including between $10.0 million and $15.0 million of maintenance capital expenditures. We estimate investment in Double E equity method investee of approximately $5.0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There are a number of risks and uncertainties that could cause our current expectations to change, including, but not limited to, (i) the ability to reach agreement with third parties; (ii) prevailing conditions and outlook in the natural gas, crude oil and NGL industries and markets and (iii) our ability to obtain financing from commercial banks, the capital markets, or other financing sources.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and Counterparty Concentration Risks</w:t>
      </w:r>
    </w:p>
    <w:p>
      <w:pPr>
        <w:spacing w:after="0" w:line="9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Certain of our customers may be temporarily unable to meet their current obligations. While this may cause a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have exposure due to nonperformance under our MVC contracts whereby a customer, who does not meet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Summarized Financial Information</w:t>
      </w:r>
    </w:p>
    <w:p>
      <w:pPr>
        <w:spacing w:after="0" w:line="9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supplemental summarized financial information below reflects SMLP’s separate accounts, the combined accounts of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5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Payments to holders of the Senior Notes are affected by the composition of and relationships among the Co-Issuers, the Guarantor Subsidiaries and Non-Guarantor Subsidiaries, who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June 30, 2022, we completed the sale of all the equity interests in Summit Permian and Permian Finance to a third party. Additionally, on September 19, 2022, we completed the sale of Bison Midstream to a third party. In connection with these dispositions, the status of Bison Midstream, Summit Permian and Permian Finance as guarantor subsidiaries, was modified prior to the occurrence of each respective disposition.</w:t>
      </w:r>
    </w:p>
    <w:p>
      <w:pPr>
        <w:spacing w:after="0" w:line="5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December 1, 2022, we completed the acquisition of Outrigger DJ for cash consideration of $165.0 million, subject to post-closing adjustments, and Sterling DJ for cash consideration of $140.0 million, subject to post-closing adjustments. In connection with the acquisitions, Summit DJ - O, LLC (formerly Outrigger DJ Midstream, LLC), Summit DJ - O Operating, LLC (formerly Outrigger DJ Operating, LLC), Summit DJ - S, LLC (formerly Sterling Energy Investments, LLC), Grasslands Energy Marketing, LLC and Centennial Water Pipelines, LLC became newly acquired entities. With the exception of Centennial Water Pipeline, LLC, all acquired entities guarantee our obligations under the Senior Notes.</w:t>
      </w:r>
    </w:p>
    <w:p>
      <w:pPr>
        <w:spacing w:after="0" w:line="5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summarized financial information below presents the activities and balances of Bison Midstream, Summit Permian and Summit Finance as guarantor subsidiaries for all summarized income statement periods and balance sheet dates presented in which they were owned by the Partnership.</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list of each of SMLP’s subsidiaries that is a guarantor, issuer or co-issuer of our registered securities subject to the reporting requirements in Release 33-10762 is filed as Exhibit 22.1 to this Annual Report.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733"/>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Summarized Balance Sheet Information. </w:t>
            </w:r>
            <w:r>
              <w:rPr>
                <w:rFonts w:ascii="Times New Roman" w:cs="Times New Roman" w:eastAsia="Times New Roman" w:hAnsi="Times New Roman"/>
                <w:sz w:val="14"/>
                <w:szCs w:val="14"/>
                <w:color w:val="auto"/>
              </w:rPr>
              <w:t>Summarized balance sheet information as of December 31, 2023 and December 31, 2022 follow.</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7"/>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00" w:type="dxa"/>
            <w:vAlign w:val="bottom"/>
            <w:tcBorders>
              <w:bottom w:val="single" w:sz="8" w:color="auto"/>
            </w:tcBorders>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Borders>
              <w:bottom w:val="single" w:sz="8" w:color="auto"/>
            </w:tcBorders>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SMLP</w:t>
            </w: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Obligor Group</w:t>
            </w:r>
          </w:p>
        </w:tc>
      </w:tr>
      <w:tr>
        <w:trPr>
          <w:trHeight w:val="171"/>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4"/>
                <w:szCs w:val="14"/>
                <w:color w:val="auto"/>
              </w:rPr>
            </w:pPr>
          </w:p>
        </w:tc>
      </w:tr>
      <w:tr>
        <w:trPr>
          <w:trHeight w:val="180"/>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2,993</w:t>
            </w:r>
          </w:p>
        </w:tc>
        <w:tc>
          <w:tcPr>
            <w:tcW w:w="7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93,035</w:t>
            </w:r>
          </w:p>
        </w:tc>
      </w:tr>
      <w:tr>
        <w:trPr>
          <w:trHeight w:val="180"/>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9,801</w:t>
            </w:r>
          </w:p>
        </w:tc>
        <w:tc>
          <w:tcPr>
            <w:tcW w:w="7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2,069,149</w:t>
            </w:r>
          </w:p>
        </w:tc>
      </w:tr>
      <w:tr>
        <w:trPr>
          <w:trHeight w:val="202"/>
        </w:trPr>
        <w:tc>
          <w:tcPr>
            <w:tcW w:w="832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0"/>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0"/>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10,395</w:t>
            </w:r>
          </w:p>
        </w:tc>
        <w:tc>
          <w:tcPr>
            <w:tcW w:w="7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104,694</w:t>
            </w:r>
          </w:p>
        </w:tc>
      </w:tr>
      <w:tr>
        <w:trPr>
          <w:trHeight w:val="180"/>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2,054</w:t>
            </w:r>
          </w:p>
        </w:tc>
        <w:tc>
          <w:tcPr>
            <w:tcW w:w="7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1,383,704</w:t>
            </w:r>
          </w:p>
        </w:tc>
      </w:tr>
      <w:tr>
        <w:trPr>
          <w:trHeight w:val="371"/>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0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60" w:type="dxa"/>
            <w:vAlign w:val="bottom"/>
          </w:tcPr>
          <w:p>
            <w:pPr>
              <w:spacing w:after="0"/>
              <w:rPr>
                <w:sz w:val="24"/>
                <w:szCs w:val="24"/>
                <w:color w:val="auto"/>
              </w:rPr>
            </w:pP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181"/>
        </w:trPr>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SMLP</w:t>
            </w:r>
          </w:p>
        </w:tc>
        <w:tc>
          <w:tcPr>
            <w:tcW w:w="500" w:type="dxa"/>
            <w:vAlign w:val="bottom"/>
          </w:tcPr>
          <w:p>
            <w:pPr>
              <w:spacing w:after="0"/>
              <w:rPr>
                <w:sz w:val="15"/>
                <w:szCs w:val="15"/>
                <w:color w:val="auto"/>
              </w:rPr>
            </w:pPr>
          </w:p>
        </w:tc>
        <w:tc>
          <w:tcPr>
            <w:tcW w:w="150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Obligor Group</w:t>
            </w:r>
          </w:p>
        </w:tc>
      </w:tr>
      <w:tr>
        <w:trPr>
          <w:trHeight w:val="22"/>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1"/>
        </w:trPr>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r>
      <w:tr>
        <w:trPr>
          <w:trHeight w:val="22"/>
        </w:trPr>
        <w:tc>
          <w:tcPr>
            <w:tcW w:w="8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3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r>
      <w:tr>
        <w:trPr>
          <w:trHeight w:val="212"/>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2,553</w:t>
            </w:r>
          </w:p>
        </w:tc>
        <w:tc>
          <w:tcPr>
            <w:tcW w:w="7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86,443</w:t>
            </w:r>
          </w:p>
        </w:tc>
      </w:tr>
      <w:tr>
        <w:trPr>
          <w:trHeight w:val="212"/>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8,274</w:t>
            </w:r>
          </w:p>
        </w:tc>
        <w:tc>
          <w:tcPr>
            <w:tcW w:w="7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2,130,052</w:t>
            </w:r>
          </w:p>
        </w:tc>
      </w:tr>
      <w:tr>
        <w:trPr>
          <w:trHeight w:val="202"/>
        </w:trPr>
        <w:tc>
          <w:tcPr>
            <w:tcW w:w="832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83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r>
      <w:tr>
        <w:trPr>
          <w:trHeight w:val="212"/>
        </w:trPr>
        <w:tc>
          <w:tcPr>
            <w:tcW w:w="8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16,345</w:t>
            </w:r>
          </w:p>
        </w:tc>
        <w:tc>
          <w:tcPr>
            <w:tcW w:w="7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79,841</w:t>
            </w:r>
          </w:p>
        </w:tc>
      </w:tr>
      <w:tr>
        <w:trPr>
          <w:trHeight w:val="212"/>
        </w:trPr>
        <w:tc>
          <w:tcPr>
            <w:tcW w:w="8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2,172</w:t>
            </w:r>
          </w:p>
        </w:tc>
        <w:tc>
          <w:tcPr>
            <w:tcW w:w="7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1,410,370</w:t>
            </w:r>
          </w:p>
        </w:tc>
      </w:tr>
    </w:tbl>
    <w:p>
      <w:pPr>
        <w:spacing w:after="0" w:line="13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Summarized Statements of Operations Information. </w:t>
      </w:r>
      <w:r>
        <w:rPr>
          <w:rFonts w:ascii="Times New Roman" w:cs="Times New Roman" w:eastAsia="Times New Roman" w:hAnsi="Times New Roman"/>
          <w:sz w:val="14"/>
          <w:szCs w:val="14"/>
          <w:color w:val="auto"/>
        </w:rPr>
        <w:t>For the purposes of the following summarized statements of operations, we allocate a portion of general and administrative expenses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recognized at the SMLP parent to the Obligor Group to reflect what those entities' results would have been had they operated on a stand-alone basis. Summarized statements of operations for the years ended December 31, 2023 and 2022 follow.</w:t>
      </w:r>
    </w:p>
    <w:p>
      <w:pPr>
        <w:sectPr>
          <w:pgSz w:w="11900" w:h="16838" w:orient="portrait"/>
          <w:cols w:equalWidth="0" w:num="1">
            <w:col w:w="11280"/>
          </w:cols>
          <w:pgMar w:left="300" w:top="20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costs and expenses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before income taxes and income from</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 method investees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equity method investees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costs and expenses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(loss) before income taxes and income from</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equity method investees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equity method investees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187960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SMLP</w:t>
            </w:r>
          </w:p>
        </w:tc>
        <w:tc>
          <w:tcPr>
            <w:tcW w:w="220" w:type="dxa"/>
            <w:vAlign w:val="bottom"/>
          </w:tcPr>
          <w:p>
            <w:pPr>
              <w:spacing w:after="0"/>
              <w:rPr>
                <w:sz w:val="16"/>
                <w:szCs w:val="16"/>
                <w:color w:val="auto"/>
              </w:rPr>
            </w:pPr>
          </w:p>
        </w:tc>
        <w:tc>
          <w:tcPr>
            <w:tcW w:w="12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Obligor Group</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2660" w:type="dxa"/>
            <w:vAlign w:val="bottom"/>
            <w:gridSpan w:val="3"/>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2"/>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451,032</w:t>
            </w:r>
          </w:p>
        </w:tc>
      </w:tr>
      <w:tr>
        <w:trPr>
          <w:trHeight w:val="212"/>
        </w:trPr>
        <w:tc>
          <w:tcPr>
            <w:tcW w:w="30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3,882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373,245</w:t>
            </w:r>
          </w:p>
        </w:tc>
      </w:tr>
      <w:tr>
        <w:trPr>
          <w:trHeight w:val="382"/>
        </w:trPr>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(60,615)</w:t>
            </w:r>
          </w:p>
        </w:tc>
      </w:tr>
      <w:tr>
        <w:trPr>
          <w:trHeight w:val="212"/>
        </w:trPr>
        <w:tc>
          <w:tcPr>
            <w:tcW w:w="30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22,922</w:t>
            </w:r>
          </w:p>
        </w:tc>
      </w:tr>
      <w:tr>
        <w:trPr>
          <w:trHeight w:val="212"/>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-767080</wp:posOffset>
            </wp:positionV>
            <wp:extent cx="7161530" cy="13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-497840</wp:posOffset>
            </wp:positionV>
            <wp:extent cx="7161530" cy="2425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-120650</wp:posOffset>
            </wp:positionV>
            <wp:extent cx="7161530" cy="134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187960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1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SMLP</w:t>
            </w:r>
          </w:p>
        </w:tc>
        <w:tc>
          <w:tcPr>
            <w:tcW w:w="220" w:type="dxa"/>
            <w:vAlign w:val="bottom"/>
          </w:tcPr>
          <w:p>
            <w:pPr>
              <w:spacing w:after="0"/>
              <w:rPr>
                <w:sz w:val="16"/>
                <w:szCs w:val="16"/>
                <w:color w:val="auto"/>
              </w:rPr>
            </w:pPr>
          </w:p>
        </w:tc>
        <w:tc>
          <w:tcPr>
            <w:tcW w:w="12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Obligor Group</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3"/>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2660" w:type="dxa"/>
            <w:vAlign w:val="bottom"/>
            <w:gridSpan w:val="3"/>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2"/>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369,592</w:t>
            </w:r>
          </w:p>
        </w:tc>
      </w:tr>
      <w:tr>
        <w:trPr>
          <w:trHeight w:val="212"/>
        </w:trPr>
        <w:tc>
          <w:tcPr>
            <w:tcW w:w="30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411,640</w:t>
            </w:r>
          </w:p>
        </w:tc>
      </w:tr>
      <w:tr>
        <w:trPr>
          <w:trHeight w:val="382"/>
        </w:trPr>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(136,912)</w:t>
            </w:r>
          </w:p>
        </w:tc>
      </w:tr>
      <w:tr>
        <w:trPr>
          <w:trHeight w:val="212"/>
        </w:trPr>
        <w:tc>
          <w:tcPr>
            <w:tcW w:w="30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13,358</w:t>
            </w:r>
          </w:p>
        </w:tc>
      </w:tr>
      <w:tr>
        <w:trPr>
          <w:trHeight w:val="212"/>
        </w:trPr>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-767080</wp:posOffset>
            </wp:positionV>
            <wp:extent cx="7161530" cy="134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-497840</wp:posOffset>
            </wp:positionV>
            <wp:extent cx="7161530" cy="242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-120650</wp:posOffset>
            </wp:positionV>
            <wp:extent cx="7161530" cy="134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960"/>
          </w:cols>
          <w:pgMar w:left="300" w:top="201" w:right="31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type w:val="continuous"/>
        </w:sectPr>
      </w:pPr>
    </w:p>
    <w:bookmarkStart w:id="93" w:name="page94"/>
    <w:bookmarkEnd w:id="9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management to make estimates and judgments that affect the amounts of assets, liabilities, revenues and expenses and related disclosure of contingent assets and liabilities. We evaluate our estimates on an on-going basis, based on historical experience and on various other assumptions that are believed to be reasonable under the circumstances. Actual results may differ from these estimates under different assumptions or conditions. We believe the following describes significant judgments and estimates used in the preparation of our consolidated financial statements.</w:t>
      </w:r>
    </w:p>
    <w:p>
      <w:pPr>
        <w:spacing w:after="0" w:line="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Long-Lived Assets. </w:t>
      </w:r>
      <w:r>
        <w:rPr>
          <w:rFonts w:ascii="Times New Roman" w:cs="Times New Roman" w:eastAsia="Times New Roman" w:hAnsi="Times New Roman"/>
          <w:sz w:val="14"/>
          <w:szCs w:val="14"/>
          <w:color w:val="auto"/>
        </w:rPr>
        <w:t>Our long-lived assets consist of property, plant and equipment and intangible assets that have been obtained by multiple business combinations and property, plant and equipment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has been constructed in recent years. The initial recording of a majority of these long-lived assets was at fair value, which is estimated by management primarily utilizing market-related information, asset specific information and other projections on the performance of the assets acquired (including an analysis of discounted cash flows which can involve assumptions on weighted average cost of capital and projected cash flows of the assets acquired). Management reviews this information to determine its reasonableness in comparison to the assumptions utilized in determining the purchase price of the assets in addition to other market-based information that was received through the purchase process and other sources. These projections also include projections on potential and contractual obligations assumed in these acquisitions. Due to the imprecise nature of the projections and assumptions utilized in determining fair value, actual results can and often do, differ from our estimates.</w:t>
      </w:r>
    </w:p>
    <w:p>
      <w:pPr>
        <w:spacing w:after="0" w:line="5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As of December 31, 2023, we had net property, plant and equipment with a carrying value of approximately $1.7 billion and net amortizing intangible assets with a carrying value of approximately $175.6 million. 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would recognize an impairment loss equal to the amount by which the carrying value exceeds the asset's fair value. We determine fair value using a combination of approaches, including a market-based approach and an income-based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spacing w:after="0" w:line="6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evaluate our equity method investments for impairment when we believe the current fair value may be less than the carrying amount and record an impairment if we believe the decline in value is other than temporary.</w:t>
      </w:r>
    </w:p>
    <w:p>
      <w:pPr>
        <w:spacing w:after="0" w:line="3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Adjustments for MVC Shortfall Payments. </w:t>
      </w:r>
      <w:r>
        <w:rPr>
          <w:rFonts w:ascii="Times New Roman" w:cs="Times New Roman" w:eastAsia="Times New Roman" w:hAnsi="Times New Roman"/>
          <w:sz w:val="14"/>
          <w:szCs w:val="14"/>
          <w:color w:val="auto"/>
        </w:rPr>
        <w:t>For our calculation of segment adjusted EBITDA, we estimate the impact of expected MVC shortfall payments based on assumptions that include, but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limited to, contract terms, historical volume throughput data, and expectations regarding future investment expenditures, customer drilling activities, and customer production volumes.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Our current interest rate risk exposure is largely related to our indebtedness. As of December 31, 2023, we had $1.0 billion principal amount of fixed-rate debt, $313.0 million outstanding under our variable rate ABL Facility and $144.8 million outstanding under our variable rate Permian Transmission Term Loan. As of December 31, 2023, we had $130.4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the year ended December 31, 2023, a hypothetical 1% increase (decrease) in interest rates on our variable rate debt would have increased (decreased) our interest expense by approximately $4.6 million assuming no changes in amounts drawn or other variables under our ABL Facility or Permian Transmission Term Loan.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generate a majority of our revenues pursuant to primarily long-term and fee-based gathering agreements, many of which include MVCs and AMIs. Currently,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3760" w:type="dxa"/>
            <w:vAlign w:val="bottom"/>
            <w:gridSpan w:val="7"/>
          </w:tcPr>
          <w:p>
            <w:pPr>
              <w:spacing w:after="0"/>
              <w:rPr>
                <w:sz w:val="13"/>
                <w:szCs w:val="13"/>
                <w:color w:val="auto"/>
              </w:rPr>
            </w:pPr>
          </w:p>
        </w:tc>
        <w:tc>
          <w:tcPr>
            <w:tcW w:w="5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33"/>
        </w:trPr>
        <w:tc>
          <w:tcPr>
            <w:tcW w:w="52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5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20" w:type="dxa"/>
            <w:vAlign w:val="bottom"/>
          </w:tcPr>
          <w:p>
            <w:pPr>
              <w:spacing w:after="0"/>
              <w:rPr>
                <w:sz w:val="8"/>
                <w:szCs w:val="8"/>
                <w:color w:val="auto"/>
              </w:rPr>
            </w:pPr>
          </w:p>
        </w:tc>
        <w:tc>
          <w:tcPr>
            <w:tcW w:w="1800" w:type="dxa"/>
            <w:vAlign w:val="bottom"/>
            <w:gridSpan w:val="3"/>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0"/>
        </w:trPr>
        <w:tc>
          <w:tcPr>
            <w:tcW w:w="20" w:type="dxa"/>
            <w:vAlign w:val="bottom"/>
            <w:shd w:val="clear" w:color="auto" w:fill="CCEEFF"/>
          </w:tcPr>
          <w:p>
            <w:pPr>
              <w:spacing w:after="0"/>
              <w:rPr>
                <w:sz w:val="14"/>
                <w:szCs w:val="14"/>
                <w:color w:val="auto"/>
              </w:rPr>
            </w:pPr>
          </w:p>
        </w:tc>
        <w:tc>
          <w:tcPr>
            <w:tcW w:w="5260" w:type="dxa"/>
            <w:vAlign w:val="bottom"/>
            <w:gridSpan w:val="9"/>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34)</w:t>
            </w:r>
          </w:p>
        </w:tc>
        <w:tc>
          <w:tcPr>
            <w:tcW w:w="598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FF"/>
              </w:rPr>
              <w:t>97</w:t>
            </w:r>
          </w:p>
        </w:tc>
        <w:tc>
          <w:tcPr>
            <w:tcW w:w="20" w:type="dxa"/>
            <w:vAlign w:val="bottom"/>
            <w:shd w:val="clear" w:color="auto" w:fill="CCEEFF"/>
          </w:tcPr>
          <w:p>
            <w:pPr>
              <w:spacing w:after="0"/>
              <w:rPr>
                <w:sz w:val="14"/>
                <w:szCs w:val="14"/>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60" w:type="dxa"/>
            <w:vAlign w:val="bottom"/>
            <w:tcBorders>
              <w:top w:val="single" w:sz="8" w:color="0000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5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3640" w:type="dxa"/>
            <w:vAlign w:val="bottom"/>
            <w:gridSpan w:val="8"/>
          </w:tcPr>
          <w:p>
            <w:pPr>
              <w:spacing w:after="0" w:line="170"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1620" w:type="dxa"/>
            <w:vAlign w:val="bottom"/>
          </w:tcPr>
          <w:p>
            <w:pPr>
              <w:spacing w:after="0"/>
              <w:rPr>
                <w:sz w:val="14"/>
                <w:szCs w:val="14"/>
                <w:color w:val="auto"/>
              </w:rPr>
            </w:pPr>
          </w:p>
        </w:tc>
        <w:tc>
          <w:tcPr>
            <w:tcW w:w="598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6"/>
                <w:szCs w:val="16"/>
                <w:color w:val="0000FF"/>
              </w:rPr>
              <w:t>99</w:t>
            </w:r>
          </w:p>
        </w:tc>
        <w:tc>
          <w:tcPr>
            <w:tcW w:w="2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70"/>
        </w:trPr>
        <w:tc>
          <w:tcPr>
            <w:tcW w:w="20" w:type="dxa"/>
            <w:vAlign w:val="bottom"/>
            <w:shd w:val="clear" w:color="auto" w:fill="CCEEFF"/>
          </w:tcPr>
          <w:p>
            <w:pPr>
              <w:spacing w:after="0"/>
              <w:rPr>
                <w:sz w:val="14"/>
                <w:szCs w:val="14"/>
                <w:color w:val="auto"/>
              </w:rPr>
            </w:pPr>
          </w:p>
        </w:tc>
        <w:tc>
          <w:tcPr>
            <w:tcW w:w="2440" w:type="dxa"/>
            <w:vAlign w:val="bottom"/>
            <w:gridSpan w:val="4"/>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FF"/>
                <w:w w:val="96"/>
              </w:rPr>
              <w:t>Consolidated Statements of Operations</w:t>
            </w:r>
          </w:p>
        </w:tc>
        <w:tc>
          <w:tcPr>
            <w:tcW w:w="2820" w:type="dxa"/>
            <w:vAlign w:val="bottom"/>
            <w:gridSpan w:val="5"/>
            <w:shd w:val="clear" w:color="auto" w:fill="CCEEFF"/>
          </w:tcPr>
          <w:p>
            <w:pPr>
              <w:spacing w:after="0"/>
              <w:rPr>
                <w:sz w:val="14"/>
                <w:szCs w:val="14"/>
                <w:color w:val="auto"/>
              </w:rPr>
            </w:pPr>
          </w:p>
        </w:tc>
        <w:tc>
          <w:tcPr>
            <w:tcW w:w="598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FF"/>
              </w:rPr>
              <w:t>100</w:t>
            </w:r>
          </w:p>
        </w:tc>
        <w:tc>
          <w:tcPr>
            <w:tcW w:w="20" w:type="dxa"/>
            <w:vAlign w:val="bottom"/>
            <w:shd w:val="clear" w:color="auto" w:fill="CCEEFF"/>
          </w:tcPr>
          <w:p>
            <w:pPr>
              <w:spacing w:after="0"/>
              <w:rPr>
                <w:sz w:val="14"/>
                <w:szCs w:val="14"/>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5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5260" w:type="dxa"/>
            <w:vAlign w:val="bottom"/>
            <w:gridSpan w:val="9"/>
          </w:tcPr>
          <w:p>
            <w:pPr>
              <w:spacing w:after="0" w:line="170" w:lineRule="exact"/>
              <w:rPr>
                <w:sz w:val="20"/>
                <w:szCs w:val="20"/>
                <w:color w:val="auto"/>
              </w:rPr>
            </w:pPr>
            <w:r>
              <w:rPr>
                <w:rFonts w:ascii="Times New Roman" w:cs="Times New Roman" w:eastAsia="Times New Roman" w:hAnsi="Times New Roman"/>
                <w:sz w:val="16"/>
                <w:szCs w:val="16"/>
                <w:color w:val="0000FF"/>
              </w:rPr>
              <w:t>Consolidated Statements of Partners' Capital</w:t>
            </w:r>
          </w:p>
        </w:tc>
        <w:tc>
          <w:tcPr>
            <w:tcW w:w="598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6"/>
                <w:szCs w:val="16"/>
                <w:color w:val="0000FF"/>
              </w:rPr>
              <w:t>101</w:t>
            </w:r>
          </w:p>
        </w:tc>
        <w:tc>
          <w:tcPr>
            <w:tcW w:w="2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70"/>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FF"/>
                <w:w w:val="96"/>
              </w:rPr>
              <w:t>Consolidated Statements of Cash Flows</w:t>
            </w:r>
          </w:p>
        </w:tc>
        <w:tc>
          <w:tcPr>
            <w:tcW w:w="2780" w:type="dxa"/>
            <w:vAlign w:val="bottom"/>
            <w:gridSpan w:val="4"/>
            <w:shd w:val="clear" w:color="auto" w:fill="CCEEFF"/>
          </w:tcPr>
          <w:p>
            <w:pPr>
              <w:spacing w:after="0"/>
              <w:rPr>
                <w:sz w:val="14"/>
                <w:szCs w:val="14"/>
                <w:color w:val="auto"/>
              </w:rPr>
            </w:pPr>
          </w:p>
        </w:tc>
        <w:tc>
          <w:tcPr>
            <w:tcW w:w="598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FF"/>
              </w:rPr>
              <w:t>102</w:t>
            </w:r>
          </w:p>
        </w:tc>
        <w:tc>
          <w:tcPr>
            <w:tcW w:w="20" w:type="dxa"/>
            <w:vAlign w:val="bottom"/>
            <w:shd w:val="clear" w:color="auto" w:fill="CCEEFF"/>
          </w:tcPr>
          <w:p>
            <w:pPr>
              <w:spacing w:after="0"/>
              <w:rPr>
                <w:sz w:val="14"/>
                <w:szCs w:val="14"/>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5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5260" w:type="dxa"/>
            <w:vAlign w:val="bottom"/>
            <w:gridSpan w:val="9"/>
          </w:tcPr>
          <w:p>
            <w:pPr>
              <w:spacing w:after="0" w:line="170"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598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6"/>
                <w:szCs w:val="16"/>
                <w:color w:val="0000FF"/>
              </w:rPr>
              <w:t>103</w:t>
            </w:r>
          </w:p>
        </w:tc>
        <w:tc>
          <w:tcPr>
            <w:tcW w:w="20" w:type="dxa"/>
            <w:vAlign w:val="bottom"/>
          </w:tcPr>
          <w:p>
            <w:pPr>
              <w:spacing w:after="0"/>
              <w:rPr>
                <w:sz w:val="14"/>
                <w:szCs w:val="14"/>
                <w:color w:val="auto"/>
              </w:rPr>
            </w:pPr>
          </w:p>
        </w:tc>
      </w:tr>
      <w:tr>
        <w:trPr>
          <w:trHeight w:val="934"/>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760" w:type="dxa"/>
            <w:vAlign w:val="bottom"/>
          </w:tcPr>
          <w:p>
            <w:pPr>
              <w:jc w:val="right"/>
              <w:ind w:right="5243"/>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5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of Summit Midstream, GP, LLC and the unitholders of Summit Midstream Partners, 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Summit Midstream Partners, LP and subsidiaries (the "Partnership") as of December 31, 2023 and 2022, the related consolidated statements of operations, partners' capital, and cash flows, for each of the two years in the period ended December 31, 2023, and the related notes (collectively referred to as the "financial statements"). In our opinion, the financial statements present fairly, in all material respects, the financial position of the Partnership as of December 31, 2023 and 2022, and the results of its operations and its cash flows for each of the two years in the period ended December 31, 2023, in conformity with accounting principles generally accepted in the United States of America.</w:t>
      </w:r>
    </w:p>
    <w:p>
      <w:pPr>
        <w:spacing w:after="0" w:line="5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March 15, 2024, expressed an unqualified opinion on the Partnership's internal control over financial reporting.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 on the critical audit matter or on the accounts or disclosures to which it relates.</w:t>
      </w:r>
    </w:p>
    <w:p>
      <w:pPr>
        <w:spacing w:after="0" w:line="54" w:lineRule="exact"/>
        <w:rPr>
          <w:sz w:val="20"/>
          <w:szCs w:val="20"/>
          <w:color w:val="auto"/>
        </w:rPr>
      </w:pPr>
    </w:p>
    <w:p>
      <w:pPr>
        <w:ind w:right="3700"/>
        <w:spacing w:after="0" w:line="38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Plant and Equipment, Net - Determination of Impairment Indicators– Refer to Notes 2 and 5 to the financial statements </w:t>
      </w:r>
      <w:r>
        <w:rPr>
          <w:rFonts w:ascii="Times New Roman" w:cs="Times New Roman" w:eastAsia="Times New Roman" w:hAnsi="Times New Roman"/>
          <w:sz w:val="14"/>
          <w:szCs w:val="14"/>
          <w:i w:val="1"/>
          <w:iCs w:val="1"/>
          <w:color w:val="auto"/>
        </w:rPr>
        <w:t>Critical Audit Matter Description</w:t>
      </w:r>
    </w:p>
    <w:p>
      <w:pPr>
        <w:spacing w:after="0" w:line="264" w:lineRule="auto"/>
        <w:rPr>
          <w:sz w:val="20"/>
          <w:szCs w:val="20"/>
          <w:color w:val="auto"/>
        </w:rPr>
      </w:pPr>
      <w:r>
        <w:rPr>
          <w:rFonts w:ascii="Times New Roman" w:cs="Times New Roman" w:eastAsia="Times New Roman" w:hAnsi="Times New Roman"/>
          <w:sz w:val="14"/>
          <w:szCs w:val="14"/>
          <w:color w:val="auto"/>
        </w:rPr>
        <w:t>As described in Notes 2 and 5 to the Partnership's consolidated financial statements, the Partnership recorded approximately $1.7 billion of property, plant and equipment, net as of December 31, 2023. The Partnership tests assets for impairment when events or circumstances indicate the carrying value of a long-lived asset may not be recoverable. The carrying value of a long-lived asset is not recoverable if it exceeds the sum of the undiscounted cash flows expected to result from its use and eventual disposition. If the Partnership concludes that an asset’s carrying value will not be recovered through future cash flows, the Partnership recognizes an impairment loss on the long-lived asset equal to the amount by which the carrying value exceeds its fair value.</w:t>
      </w:r>
    </w:p>
    <w:p>
      <w:pPr>
        <w:spacing w:after="0" w:line="56"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have identified the determination of impairment indicators for long-lived assets as a critical audit matter due to the significant judgments management makes when determining whether events or changes in circumstances have occurred indicating that the carrying amounts of long-lived assets may not be recoverable. Auditing management’s judgements involved especially challenging auditor judgment due to the nature and extent of audit effort required to address these matters, including the degree of auditor judgment and the extent of specialized knowledge needed.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identification of impairment indicators for long-lived assets included the following, among others:</w:t>
      </w:r>
    </w:p>
    <w:p>
      <w:pPr>
        <w:spacing w:after="0" w:line="94" w:lineRule="exact"/>
        <w:rPr>
          <w:sz w:val="20"/>
          <w:szCs w:val="20"/>
          <w:color w:val="auto"/>
        </w:rPr>
      </w:pPr>
    </w:p>
    <w:p>
      <w:pPr>
        <w:ind w:left="520" w:right="20" w:hanging="260"/>
        <w:spacing w:after="0" w:line="287" w:lineRule="auto"/>
        <w:tabs>
          <w:tab w:leader="none" w:pos="51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internal controls over financial reporting related to management’s identification of possible impairment indicators for long-lived assets that may indicate the carrying amount of long-lived assets may not be recoverable.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analysis of impairment indicators by:</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whether long-lived assets having indicators of impairment were appropriately identified.</w:t>
      </w:r>
    </w:p>
    <w:p>
      <w:pPr>
        <w:spacing w:after="0" w:line="93" w:lineRule="exact"/>
        <w:rPr>
          <w:rFonts w:ascii="Times New Roman" w:cs="Times New Roman" w:eastAsia="Times New Roman" w:hAnsi="Times New Roman"/>
          <w:sz w:val="14"/>
          <w:szCs w:val="14"/>
          <w:color w:val="auto"/>
        </w:rPr>
      </w:pPr>
    </w:p>
    <w:p>
      <w:pPr>
        <w:ind w:left="1020" w:right="80" w:hanging="251"/>
        <w:spacing w:after="0" w:line="287" w:lineRule="auto"/>
        <w:tabs>
          <w:tab w:leader="none" w:pos="1017"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industry and analysts reports and the impact of macroeconomic factors, such as adverse changes in the regulatory environment, legislation or other factors that may represent impairment indicators not previously contemplated in management's analysis.</w:t>
      </w:r>
    </w:p>
    <w:p>
      <w:pPr>
        <w:spacing w:after="0" w:line="39"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7"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management’s judgments around historical trends, macroeconomic and industry conditions, and whether projections are consistent with the Partnership’s operating strategy.</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Inquiry of management over whether long-lived assets may be sold or otherwise disposed of significantly before the end of the assets' previously estimated useful life.</w:t>
      </w:r>
    </w:p>
    <w:p>
      <w:pPr>
        <w:spacing w:after="0" w:line="93" w:lineRule="exact"/>
        <w:rPr>
          <w:rFonts w:ascii="Times New Roman" w:cs="Times New Roman" w:eastAsia="Times New Roman" w:hAnsi="Times New Roman"/>
          <w:sz w:val="14"/>
          <w:szCs w:val="14"/>
          <w:color w:val="auto"/>
        </w:rPr>
      </w:pPr>
    </w:p>
    <w:p>
      <w:pPr>
        <w:ind w:left="1020" w:hanging="251"/>
        <w:spacing w:after="0" w:line="287" w:lineRule="auto"/>
        <w:tabs>
          <w:tab w:leader="none" w:pos="1017"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Inspecting minutes of the board of directors and committees of executive management to understand if there were factors that would represent potential impairment indicators for long-lived assets.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Partnership's auditor since 2009.</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210" w:right="51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MIDSTREAM PARTNERS, LP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11"/>
                <w:szCs w:val="11"/>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141"/>
        </w:trPr>
        <w:tc>
          <w:tcPr>
            <w:tcW w:w="8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(In thousands, except unit amounts)</w:t>
            </w:r>
          </w:p>
        </w:tc>
      </w:tr>
      <w:tr>
        <w:trPr>
          <w:trHeight w:val="30"/>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832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75,287</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w:t>
            </w:r>
          </w:p>
        </w:tc>
      </w:tr>
      <w:tr>
        <w:trPr>
          <w:trHeight w:val="181"/>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98,422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97,542</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1,698,585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1,718,754</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198,718</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equity method investees</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506,677</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38,273</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2,494,198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2,559,964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92"/>
        </w:trPr>
        <w:tc>
          <w:tcPr>
            <w:tcW w:w="8320" w:type="dxa"/>
            <w:vAlign w:val="bottom"/>
            <w:tcBorders>
              <w:bottom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4"/>
                <w:szCs w:val="14"/>
                <w:b w:val="1"/>
                <w:bCs w:val="1"/>
                <w:color w:val="auto"/>
              </w:rPr>
              <w:t>LIABILITIES AND CAPITAL</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14,052</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20,601</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9,054</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 valorem taxes payable</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16,319</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17,355</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environmental remediation</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settlement payable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r>
      <w:tr>
        <w:trPr>
          <w:trHeight w:val="212"/>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w:t>
            </w:r>
          </w:p>
        </w:tc>
      </w:tr>
      <w:tr>
        <w:trPr>
          <w:trHeight w:val="21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w:t>
            </w:r>
          </w:p>
        </w:tc>
      </w:tr>
      <w:tr>
        <w:trPr>
          <w:trHeight w:val="181"/>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134,012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117,889</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1,479,855</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deferred revenue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37,694</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accrued environmental remediation</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38,784</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1,650,983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1,676,562</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0"/>
        </w:trPr>
        <w:tc>
          <w:tcPr>
            <w:tcW w:w="8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Capital</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Subsidiary Series A Preferred Units (93,039 units issued and outstanding at December 31, 2023 and December 31, 2022)</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118,584</w:t>
            </w:r>
          </w:p>
        </w:tc>
      </w:tr>
      <w:tr>
        <w:trPr>
          <w:trHeight w:val="170"/>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Units (65,508 units issued and outstanding at December 31, 2023 and December 31, 2022)</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85,327</w:t>
            </w:r>
          </w:p>
        </w:tc>
      </w:tr>
      <w:tr>
        <w:trPr>
          <w:trHeight w:val="22"/>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7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limited partner capital (10,376,189 and 10,182,763 units issued and outstanding at December 31, 2023 and December 31, 2022,</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6"/>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621,670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679,491</w:t>
            </w:r>
          </w:p>
        </w:tc>
      </w:tr>
      <w:tr>
        <w:trPr>
          <w:trHeight w:val="181"/>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partners capital</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718,563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764,818</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CAPITAL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2,494,198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2,559,964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MIDSTREAM PARTNERS, LP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0" w:type="dxa"/>
            <w:vAlign w:val="bottom"/>
          </w:tcPr>
          <w:p>
            <w:pPr>
              <w:spacing w:after="0"/>
              <w:rPr>
                <w:sz w:val="1"/>
                <w:szCs w:val="1"/>
                <w:color w:val="auto"/>
              </w:rPr>
            </w:pPr>
          </w:p>
        </w:tc>
      </w:tr>
      <w:tr>
        <w:trPr>
          <w:trHeight w:val="150"/>
        </w:trPr>
        <w:tc>
          <w:tcPr>
            <w:tcW w:w="8320" w:type="dxa"/>
            <w:vAlign w:val="bottom"/>
          </w:tcPr>
          <w:p>
            <w:pPr>
              <w:spacing w:after="0"/>
              <w:rPr>
                <w:sz w:val="13"/>
                <w:szCs w:val="13"/>
                <w:color w:val="auto"/>
              </w:rPr>
            </w:pPr>
          </w:p>
        </w:tc>
        <w:tc>
          <w:tcPr>
            <w:tcW w:w="2960" w:type="dxa"/>
            <w:vAlign w:val="bottom"/>
            <w:gridSpan w:val="5"/>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(In thousands, except per-unit amount)</w:t>
            </w:r>
          </w:p>
        </w:tc>
        <w:tc>
          <w:tcPr>
            <w:tcW w:w="0" w:type="dxa"/>
            <w:vAlign w:val="bottom"/>
          </w:tcPr>
          <w:p>
            <w:pPr>
              <w:spacing w:after="0"/>
              <w:rPr>
                <w:sz w:val="1"/>
                <w:szCs w:val="1"/>
                <w:color w:val="auto"/>
              </w:rPr>
            </w:pPr>
          </w:p>
        </w:tc>
      </w:tr>
      <w:tr>
        <w:trPr>
          <w:trHeight w:val="197"/>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248,223</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248,358</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86,225</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35,011</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458,903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369,594</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natural gas and NGLs</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112,462</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76,826</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42,135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44,943</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119,055</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integration costs</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Long-lived asset impairment</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382,287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423,081</w:t>
            </w:r>
          </w:p>
        </w:tc>
        <w:tc>
          <w:tcPr>
            <w:tcW w:w="0" w:type="dxa"/>
            <w:vAlign w:val="bottom"/>
          </w:tcPr>
          <w:p>
            <w:pPr>
              <w:spacing w:after="0"/>
              <w:rPr>
                <w:sz w:val="1"/>
                <w:szCs w:val="1"/>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interest rate swaps</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business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(102,459)</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before income taxes and equity method investment income</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(72,454)</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(141,277)</w:t>
            </w: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equity method investees</w:t>
            </w:r>
          </w:p>
        </w:tc>
        <w:tc>
          <w:tcPr>
            <w:tcW w:w="8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0" w:type="dxa"/>
            <w:vAlign w:val="bottom"/>
          </w:tcPr>
          <w:p>
            <w:pPr>
              <w:spacing w:after="0"/>
              <w:rPr>
                <w:sz w:val="1"/>
                <w:szCs w:val="1"/>
                <w:color w:val="auto"/>
              </w:rPr>
            </w:pPr>
          </w:p>
        </w:tc>
      </w:tr>
      <w:tr>
        <w:trPr>
          <w:trHeight w:val="181"/>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(38,947)</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(123,461)</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Net income attributable to Subsidiary Series A Preferred Units</w:t>
            </w:r>
          </w:p>
        </w:tc>
        <w:tc>
          <w:tcPr>
            <w:tcW w:w="8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(17,144)</w:t>
            </w:r>
          </w:p>
        </w:tc>
        <w:tc>
          <w:tcPr>
            <w:tcW w:w="0" w:type="dxa"/>
            <w:vAlign w:val="bottom"/>
          </w:tcPr>
          <w:p>
            <w:pPr>
              <w:spacing w:after="0"/>
              <w:rPr>
                <w:sz w:val="1"/>
                <w:szCs w:val="1"/>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Summit Midstream Partners, LP</w:t>
            </w:r>
          </w:p>
        </w:tc>
        <w:tc>
          <w:tcPr>
            <w:tcW w:w="84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(51,528)</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(140,605)</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income attributable to Series A Preferred Units</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0" w:type="dxa"/>
            <w:vAlign w:val="bottom"/>
          </w:tcPr>
          <w:p>
            <w:pPr>
              <w:spacing w:after="0"/>
              <w:rPr>
                <w:sz w:val="1"/>
                <w:szCs w:val="1"/>
                <w:color w:val="auto"/>
              </w:rPr>
            </w:pPr>
          </w:p>
        </w:tc>
      </w:tr>
      <w:tr>
        <w:trPr>
          <w:trHeight w:val="19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 deemed capital contribution</w:t>
            </w:r>
          </w:p>
        </w:tc>
        <w:tc>
          <w:tcPr>
            <w:tcW w:w="8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limited partners</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(63,094)</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(127,679)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limited partner unit:</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unit – basic</w:t>
            </w:r>
          </w:p>
        </w:tc>
        <w:tc>
          <w:tcPr>
            <w:tcW w:w="84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9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unit – diluted</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limited partner units outstanding:</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units – basic</w:t>
            </w:r>
          </w:p>
        </w:tc>
        <w:tc>
          <w:tcPr>
            <w:tcW w:w="8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0" w:type="dxa"/>
            <w:vAlign w:val="bottom"/>
          </w:tcPr>
          <w:p>
            <w:pPr>
              <w:spacing w:after="0"/>
              <w:rPr>
                <w:sz w:val="1"/>
                <w:szCs w:val="1"/>
                <w:color w:val="auto"/>
              </w:rPr>
            </w:pPr>
          </w:p>
        </w:tc>
      </w:tr>
      <w:tr>
        <w:trPr>
          <w:trHeight w:val="19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units – diluted</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0" w:name="page101"/>
    <w:bookmarkEnd w:id="10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MIDSTREAM PARTNERS, LP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PARTNERS CAPITAL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Partners Capital</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800" w:type="dxa"/>
            <w:vAlign w:val="bottom"/>
          </w:tcPr>
          <w:p>
            <w:pPr>
              <w:spacing w:after="0"/>
              <w:rPr>
                <w:sz w:val="10"/>
                <w:szCs w:val="10"/>
                <w:color w:val="auto"/>
              </w:rPr>
            </w:pPr>
          </w:p>
        </w:tc>
        <w:tc>
          <w:tcPr>
            <w:tcW w:w="15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Series A Preferred Units</w:t>
            </w: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Common Limited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Partner Capital</w:t>
            </w: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Partners capital, December 31, 2021</w:t>
            </w: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169,769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734,594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904,363</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(140,598)</w:t>
            </w: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Unit-based compensation</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withholdings and associated payments on vested SMLP LTIP awards</w:t>
            </w:r>
          </w:p>
        </w:tc>
        <w:tc>
          <w:tcPr>
            <w:tcW w:w="5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withholdings on 2022 Preferred Exchange Offer</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LTIP cash to equity conversion</w:t>
            </w:r>
          </w:p>
        </w:tc>
        <w:tc>
          <w:tcPr>
            <w:tcW w:w="5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9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2022 Preferred Exchange Offer, inclusive of a $20.9 million deemed contribution to common unit holders</w:t>
            </w: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Partners capital, December 31, 2022</w:t>
            </w: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85,327</w:t>
            </w:r>
          </w:p>
        </w:tc>
        <w:tc>
          <w:tcPr>
            <w:tcW w:w="10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679,491</w:t>
            </w:r>
          </w:p>
        </w:tc>
        <w:tc>
          <w:tcPr>
            <w:tcW w:w="100" w:type="dxa"/>
            <w:vAlign w:val="bottom"/>
          </w:tcPr>
          <w:p>
            <w:pPr>
              <w:spacing w:after="0"/>
              <w:rPr>
                <w:sz w:val="16"/>
                <w:szCs w:val="16"/>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764,818</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(51,528)</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Unit-based compensation</w:t>
            </w:r>
          </w:p>
        </w:tc>
        <w:tc>
          <w:tcPr>
            <w:tcW w:w="5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6,566</w:t>
            </w: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withholdings and associated payments on vested SMLP LTIP awards</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0" w:type="dxa"/>
            <w:vAlign w:val="bottom"/>
          </w:tcPr>
          <w:p>
            <w:pPr>
              <w:spacing w:after="0"/>
              <w:rPr>
                <w:sz w:val="1"/>
                <w:szCs w:val="1"/>
                <w:color w:val="auto"/>
              </w:rPr>
            </w:pPr>
          </w:p>
        </w:tc>
      </w:tr>
      <w:tr>
        <w:trPr>
          <w:trHeight w:val="191"/>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Partners capital, December 31, 2023</w:t>
            </w: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96,893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621,670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718,563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1" w:name="page102"/>
    <w:bookmarkEnd w:id="10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MIDSTREAM PARTNERS, LP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90"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8920"/>
        <w:spacing w:after="0"/>
        <w:tabs>
          <w:tab w:leader="none" w:pos="1044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51"/>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(38,947)</w:t>
            </w:r>
          </w:p>
        </w:tc>
        <w:tc>
          <w:tcPr>
            <w:tcW w:w="100" w:type="dxa"/>
            <w:vAlign w:val="bottom"/>
          </w:tcPr>
          <w:p>
            <w:pPr>
              <w:spacing w:after="0"/>
              <w:rPr>
                <w:sz w:val="13"/>
                <w:szCs w:val="13"/>
                <w:color w:val="auto"/>
              </w:rPr>
            </w:pP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(123,461)</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 to reconcile net income (loss) to net cash provided by operating activities:</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123,702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119,993</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Noncash lease expense</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3,773</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12,685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9,326</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Unit-based and noncash compensation</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6,566</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3,778</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from equity method investees</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(33,829)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(18,141)</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Distributions from equity method investees</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57,572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43,040</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Gain on asset sales, net</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currency gain</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 on earn-out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Loss on sale of business</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10,934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Unrealized (gain) loss on interest rate swaps</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3,318</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(16,016)</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Long-lived asset impairment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91,644</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Changes in operating assets and liabilities:</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Trade accounts payable</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4,483</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expenses</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5,586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(2,780)</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(6,467)</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(6,082)</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 valorem taxes payable</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interest</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1,943</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4,618</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environmental remediation, net</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(1,901)</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(19,415)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(9,939)</w:t>
            </w:r>
          </w:p>
        </w:tc>
      </w:tr>
      <w:tr>
        <w:trPr>
          <w:trHeight w:val="141"/>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126,906</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98,744</w:t>
            </w:r>
          </w:p>
        </w:tc>
      </w:tr>
      <w:tr>
        <w:trPr>
          <w:trHeight w:val="30"/>
        </w:trPr>
        <w:tc>
          <w:tcPr>
            <w:tcW w:w="83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5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Capital expenditures</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(68,905)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(30,472)</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consideration paid for the acquisition of Outrigger DJ, net of cash acquired</w:t>
            </w:r>
          </w:p>
        </w:tc>
        <w:tc>
          <w:tcPr>
            <w:tcW w:w="5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(166,631)</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consideration paid for the acquisition of Sterling DJ, net of cash acquired</w:t>
            </w:r>
          </w:p>
        </w:tc>
        <w:tc>
          <w:tcPr>
            <w:tcW w:w="5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(139,896)</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sale of Lane G&amp;P System, net of cash sold in transaction</w:t>
            </w:r>
          </w:p>
        </w:tc>
        <w:tc>
          <w:tcPr>
            <w:tcW w:w="5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75,020</w:t>
            </w:r>
          </w:p>
        </w:tc>
      </w:tr>
      <w:tr>
        <w:trPr>
          <w:trHeight w:val="17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sale of Bison Midstream, net of cash sold in transaction</w:t>
            </w:r>
          </w:p>
        </w:tc>
        <w:tc>
          <w:tcPr>
            <w:tcW w:w="5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38,920</w:t>
            </w:r>
          </w:p>
        </w:tc>
      </w:tr>
      <w:tr>
        <w:trPr>
          <w:trHeight w:val="19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asset sale</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4,945</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 in Double E equity method investee</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(8,444)</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1"/>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(74,756)</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(226,558)</w:t>
            </w:r>
          </w:p>
        </w:tc>
      </w:tr>
      <w:tr>
        <w:trPr>
          <w:trHeight w:val="30"/>
        </w:trPr>
        <w:tc>
          <w:tcPr>
            <w:tcW w:w="83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5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r>
      <w:tr>
        <w:trPr>
          <w:trHeight w:val="17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Borrowings on 2026 Unsecured Notes</w:t>
            </w:r>
          </w:p>
        </w:tc>
        <w:tc>
          <w:tcPr>
            <w:tcW w:w="54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29,480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 of 2025 Senior Notes</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(29,650)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Borrowings on 2026 Secured Notes</w:t>
            </w:r>
          </w:p>
        </w:tc>
        <w:tc>
          <w:tcPr>
            <w:tcW w:w="5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84,371</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Repayments on Permian Transmission Term Loan</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(10,507)</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(4,647)</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Borrowings on ABL Facility</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293,000</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6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Repayments on ABL Facility</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(87,000)</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(230,000)</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issuance costs</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(14,409)</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extinguishment costs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Distributions on Subsidiary Series A Preferred Units</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(3,257)</w:t>
            </w:r>
          </w:p>
        </w:tc>
      </w:tr>
      <w:tr>
        <w:trPr>
          <w:trHeight w:val="30"/>
        </w:trPr>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(3,285)</w:t>
            </w:r>
          </w:p>
        </w:tc>
      </w:tr>
      <w:tr>
        <w:trPr>
          <w:trHeight w:val="141"/>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(49,036)</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121,773</w:t>
            </w:r>
          </w:p>
        </w:tc>
      </w:tr>
      <w:tr>
        <w:trPr>
          <w:trHeight w:val="30"/>
        </w:trPr>
        <w:tc>
          <w:tcPr>
            <w:tcW w:w="83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1"/>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change in cash, cash equivalents and restricted cash</w:t>
            </w:r>
          </w:p>
        </w:tc>
        <w:tc>
          <w:tcPr>
            <w:tcW w:w="5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3,114</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(6,041)</w:t>
            </w:r>
          </w:p>
        </w:tc>
      </w:tr>
      <w:tr>
        <w:trPr>
          <w:trHeight w:val="151"/>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13,531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19,572</w:t>
            </w:r>
          </w:p>
        </w:tc>
      </w:tr>
      <w:tr>
        <w:trPr>
          <w:trHeight w:val="30"/>
        </w:trPr>
        <w:tc>
          <w:tcPr>
            <w:tcW w:w="83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16,645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13,531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SUMMIT MIDSTREAM PARTNERS, LP AND SUBSIDIARIES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BUSINESS OPERATIONS AND PRESENTATION AND CONSOLIDATION</w:t>
      </w:r>
    </w:p>
    <w:p>
      <w:pPr>
        <w:spacing w:after="0" w:line="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Organization. </w:t>
      </w:r>
      <w:r>
        <w:rPr>
          <w:rFonts w:ascii="Times New Roman" w:cs="Times New Roman" w:eastAsia="Times New Roman" w:hAnsi="Times New Roman"/>
          <w:sz w:val="14"/>
          <w:szCs w:val="14"/>
          <w:color w:val="auto"/>
        </w:rPr>
        <w:t>Summit Midstream Partners, LP (including its subsidiaries, collectively “SMLP” or the “Partnership”) is a Delaware limited partnership that was formed in May 2012 and began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 As of December 31, 2023, the Partnership indirectly owns its General Partner, and the General Partner is a wholly owned, indirect subsidiary of the Partnership. The General Partner has no assets or liabilities and holds the non-economic general partner interest in the Partnership.</w:t>
      </w:r>
    </w:p>
    <w:p>
      <w:pPr>
        <w:spacing w:after="0" w:line="4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Operations. </w:t>
      </w:r>
      <w:r>
        <w:rPr>
          <w:rFonts w:ascii="Times New Roman" w:cs="Times New Roman" w:eastAsia="Times New Roman" w:hAnsi="Times New Roman"/>
          <w:sz w:val="14"/>
          <w:szCs w:val="14"/>
          <w:color w:val="auto"/>
        </w:rPr>
        <w:t>The Partnership provides natural gas gathering, compression, treating and processing services as well as crude oil and produced water gathering services pursuant to primarily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long-term, fee-based agreements with its customers. In addition to these services, the Partnership also provides freshwater delivery services pursuant to short-term agreements with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Presentation and Consolidation. </w:t>
      </w:r>
      <w:r>
        <w:rPr>
          <w:rFonts w:ascii="Times New Roman" w:cs="Times New Roman" w:eastAsia="Times New Roman" w:hAnsi="Times New Roman"/>
          <w:sz w:val="14"/>
          <w:szCs w:val="14"/>
          <w:color w:val="auto"/>
        </w:rPr>
        <w:t>The Partnership prepares its consolidated financial statements in accordance with GAAP as established by the FASB. The Partnership makes estimates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5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 AND RECENTLY ISSUED ACCOUNTING STANDARDS APPLICABLE TO THE PARTNERSHIP</w:t>
      </w:r>
    </w:p>
    <w:p>
      <w:pPr>
        <w:spacing w:after="0" w:line="9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Cash Equivalents and Restricted Cash. </w:t>
      </w:r>
      <w:r>
        <w:rPr>
          <w:rFonts w:ascii="Times New Roman" w:cs="Times New Roman" w:eastAsia="Times New Roman" w:hAnsi="Times New Roman"/>
          <w:sz w:val="14"/>
          <w:szCs w:val="14"/>
          <w:color w:val="auto"/>
        </w:rPr>
        <w:t>The Partnership considers all highly liquid investments with an original maturity of three months or less to be cash equivalents. Cash that is held by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major bank and has restrictions on its availability to the Partnership is classified as restricted cash. The restricted cash balance of $2.6 million and $1.7 million at December 31, 2023 and 2022, respectively, is related to proceeds which are available to finance Permian Transmission’s debt service or other general corporate purposes of Permian Transmission. See Note 9 - Debt for additional information.</w:t>
      </w:r>
    </w:p>
    <w:p>
      <w:pPr>
        <w:spacing w:after="0" w:line="5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Accounts Receivable. </w:t>
      </w:r>
      <w:r>
        <w:rPr>
          <w:rFonts w:ascii="Times New Roman" w:cs="Times New Roman" w:eastAsia="Times New Roman" w:hAnsi="Times New Roman"/>
          <w:sz w:val="14"/>
          <w:szCs w:val="14"/>
          <w:color w:val="auto"/>
        </w:rPr>
        <w:t>Accounts receivable relate to gathering and other services provided to the Partnership’s customers and other counterparties. The Partnership evaluates the collectability of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accounts receivable and the need for an allowance for doubtful accounts based on customer-specific facts and circumstances. To the extent the collectability of a specific customer or counterparty receivable is doubtful, the Partnership recognizes an allowance for doubtful accounts. Uncollectible receivables are written off when a settlement is reached for an amount that is less than the outstanding historical balance or a receivable amount is deemed otherwise unrealizable.</w:t>
      </w:r>
    </w:p>
    <w:p>
      <w:pPr>
        <w:spacing w:after="0" w:line="5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Plant and Equipment. </w:t>
      </w:r>
      <w:r>
        <w:rPr>
          <w:rFonts w:ascii="Times New Roman" w:cs="Times New Roman" w:eastAsia="Times New Roman" w:hAnsi="Times New Roman"/>
          <w:sz w:val="14"/>
          <w:szCs w:val="14"/>
          <w:color w:val="auto"/>
        </w:rPr>
        <w:t>The Partnership records property, plant and equipment at historical cost of construction or fair value of the assets at acquisition. The Partnership capitalizes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expenditures that extend the useful life of an asset or enhance its productivity or efficiency from its original design over the expected remaining period of use. For maintenance and repairs that do not add capacity or extend the useful life of an asset, the Partnership recognizes expenditures as an expense as incurred. The Partnership capitalizes project costs incurred during construction, including interest on funds borrowed to finance the construction of facilities and pipelines, as construction in progress. Accrued capital expenditures are reflected in trade accounts payable.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09" w:right="35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Partnership records depreciation on a straight-line basis over an asset’s estimated useful life and bases its estimates for useful life on various factors including age (in the case of acquired assets), manufacturing specifications, technological advances and historical data concerning useful lives of similar assets. Estimates of useful lives follow.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8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Useful lives</w:t>
            </w:r>
          </w:p>
        </w:tc>
      </w:tr>
      <w:tr>
        <w:trPr>
          <w:trHeight w:val="149"/>
        </w:trPr>
        <w:tc>
          <w:tcPr>
            <w:tcW w:w="98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r>
      <w:tr>
        <w:trPr>
          <w:trHeight w:val="40"/>
        </w:trPr>
        <w:tc>
          <w:tcPr>
            <w:tcW w:w="986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3"/>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Gathering and processing systems and related equipment</w:t>
            </w:r>
          </w:p>
        </w:tc>
        <w:tc>
          <w:tcPr>
            <w:tcW w:w="142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12-30</w:t>
            </w:r>
          </w:p>
        </w:tc>
      </w:tr>
      <w:tr>
        <w:trPr>
          <w:trHeight w:val="18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rPr>
              <w:t>3-15</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Construction in progress is depreciated consistent with its applicable asset class once it is placed in service. Land and line fill are not depreciated.</w:t>
      </w:r>
    </w:p>
    <w:p>
      <w:pPr>
        <w:spacing w:after="0" w:line="94" w:lineRule="exact"/>
        <w:rPr>
          <w:sz w:val="20"/>
          <w:szCs w:val="20"/>
          <w:color w:val="auto"/>
        </w:rPr>
      </w:pPr>
    </w:p>
    <w:p>
      <w:pPr>
        <w:jc w:val="both"/>
        <w:ind w:right="480"/>
        <w:spacing w:after="0" w:line="287" w:lineRule="auto"/>
        <w:rPr>
          <w:sz w:val="20"/>
          <w:szCs w:val="20"/>
          <w:color w:val="auto"/>
        </w:rPr>
      </w:pPr>
      <w:r>
        <w:rPr>
          <w:rFonts w:ascii="Times New Roman" w:cs="Times New Roman" w:eastAsia="Times New Roman" w:hAnsi="Times New Roman"/>
          <w:sz w:val="14"/>
          <w:szCs w:val="14"/>
          <w:color w:val="auto"/>
        </w:rPr>
        <w:t>The Partnership bases an asset’s carrying value on estimates, assumptions and judgments for useful life and salvage value. Upon sale, retirement or other disposal, the Partnership removes the carrying value of an asset and its accumulated depreciation from its balance sheet and recognizes the related gain or loss, if any.</w:t>
      </w:r>
    </w:p>
    <w:p>
      <w:pPr>
        <w:spacing w:after="0" w:line="3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 Retirement Obligations. </w:t>
      </w:r>
      <w:r>
        <w:rPr>
          <w:rFonts w:ascii="Times New Roman" w:cs="Times New Roman" w:eastAsia="Times New Roman" w:hAnsi="Times New Roman"/>
          <w:sz w:val="14"/>
          <w:szCs w:val="14"/>
          <w:color w:val="auto"/>
        </w:rPr>
        <w:t>The Partnership records a liability for asset retirement obligations only if and when a future asset retirement obligation with a determinable life is identified.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identified asset retirement obligations, the Partnership evaluates whether the expected retirement date and related costs of retirement can be estimated. The Partnership has concluded that its gathering and processing assets have an indeterminate life because they are owned and will operate for an indeterminate period when properly maintained. Because the Partnership does not have sufficient information to reasonably estimate the amount or timing of such obligations and does not have any current plan to discontinue use of any significant assets, the Partnership did not provide for any asset retirement obligations as of December 31, 2023 or 2022.</w:t>
      </w:r>
    </w:p>
    <w:p>
      <w:pPr>
        <w:spacing w:after="0" w:line="5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Amortizing Intangibles. </w:t>
      </w:r>
      <w:r>
        <w:rPr>
          <w:rFonts w:ascii="Times New Roman" w:cs="Times New Roman" w:eastAsia="Times New Roman" w:hAnsi="Times New Roman"/>
          <w:sz w:val="14"/>
          <w:szCs w:val="14"/>
          <w:color w:val="auto"/>
        </w:rPr>
        <w:t>The Partnership has certain acquired gas gathering contracts that had above-market pricing structures at the acquisition date and the Partnership amortizes these favorable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contracts using a straight-line method over the contract’s estimated useful life. The Partnership defines useful life as the period over which the contract is expected to contribute to the Partnership’s future cash flows. These favorable contracts have original terms ranging from 10 years to 20 years and the Partnership recognizes the amortization expense associated with these contracts in Other revenues.</w:t>
      </w:r>
    </w:p>
    <w:p>
      <w:pPr>
        <w:spacing w:after="0" w:line="5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Partnership amortizes all other gas gathering contracts, or contract intangibles, over the period of economic benefit based upon expected revenues over the life of the contract. The useful life of these contracts ranges from 3 years to 25 years. The Partnership recognizes the amortization expense associated with these contracts in Depreciation and amortization expense.</w:t>
      </w:r>
    </w:p>
    <w:p>
      <w:pPr>
        <w:spacing w:after="0" w:line="3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Partnership also has rights-of-way associated with municipal easements and easements granted within existing rights-of-way. The Partnership amortizes these intangible assets over the shorter of the contractual term of the rights-of-way or the estimated useful life of the gathering system. The contractual terms of the rights-of-way range from 20 years to 30 years and the Partnership recognizes the amortization expense associated with these rights-of-way assets in Depreciation and amortization expense.</w:t>
      </w:r>
    </w:p>
    <w:p>
      <w:pPr>
        <w:spacing w:after="0" w:line="49"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Method Investments. </w:t>
      </w:r>
      <w:r>
        <w:rPr>
          <w:rFonts w:ascii="Times New Roman" w:cs="Times New Roman" w:eastAsia="Times New Roman" w:hAnsi="Times New Roman"/>
          <w:sz w:val="14"/>
          <w:szCs w:val="14"/>
          <w:color w:val="auto"/>
        </w:rPr>
        <w:t>The Partnership accounts for investments in which it exercises significant influence using the equity method so long as it (i) does not control the investee and (ii) is not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primary beneficiary. The Partnership reflects these investments in its consolidated balance sheets under the caption titled “investment in equity method investees.”</w:t>
      </w:r>
    </w:p>
    <w:p>
      <w:pPr>
        <w:spacing w:after="0" w:line="3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Partnership recognizes an other-than-temporary impairment for losses in the value of equity method investees when evidence indicates that the carrying amount is no longer supportable. Evidence of a loss in value might include, but is not limited to, absence of an ability to recover the carrying amount of the investment or an inability of the equity method investee to sustain an earnings capacity that would justify the carrying amount of the investment. A current fair value of an investment that is less than its carrying amount may indicate a loss in value of the investment. The Partnership evaluates its equity method investments for impairment whenever a triggering event exists that would indicate a need to assess the investment for potential impairment.</w:t>
      </w:r>
    </w:p>
    <w:p>
      <w:pPr>
        <w:spacing w:after="0" w:line="5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Impairment of Long-Lived Assets. </w:t>
      </w:r>
      <w:r>
        <w:rPr>
          <w:rFonts w:ascii="Times New Roman" w:cs="Times New Roman" w:eastAsia="Times New Roman" w:hAnsi="Times New Roman"/>
          <w:sz w:val="14"/>
          <w:szCs w:val="14"/>
          <w:color w:val="auto"/>
        </w:rPr>
        <w:t>The Partnership tests assets for impairment when events or circumstances indicate the carrying value of a long-lived asset may not be recoverable. The carrying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value of a long-lived asset is not recoverable if it exceeds the sum of the undiscounted cash flows expected to result from its use and eventual disposition. If the Partnership concludes that an asset’s carrying value will not be recovered through future cash flows, the Partnership recognizes an impairment loss on the long-lived asset equal to the amount by which the carrying value exceeds its fair value. The Partnership determines fair value using a combination of market-based and income-based approaches.</w:t>
      </w:r>
    </w:p>
    <w:p>
      <w:pPr>
        <w:spacing w:after="0" w:line="5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 Matters. </w:t>
      </w:r>
      <w:r>
        <w:rPr>
          <w:rFonts w:ascii="Times New Roman" w:cs="Times New Roman" w:eastAsia="Times New Roman" w:hAnsi="Times New Roman"/>
          <w:sz w:val="14"/>
          <w:szCs w:val="14"/>
          <w:color w:val="auto"/>
        </w:rPr>
        <w:t>The Partnership is subject to various federal, state and local laws and regulations relating to the protection of the environment. Liabilities for loss contingencies,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environmental remediation costs, arising from claims, assessments, litigation, fines and penalties and other sources are charged to expense when it is probable that a liability has been incurred and the amount of the assessment and/or remediation can be reasonably estimated. The Partnership accrues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spacing w:after="0" w:line="3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Commitments and Contingencies. </w:t>
      </w:r>
      <w:r>
        <w:rPr>
          <w:rFonts w:ascii="Times New Roman" w:cs="Times New Roman" w:eastAsia="Times New Roman" w:hAnsi="Times New Roman"/>
          <w:sz w:val="14"/>
          <w:szCs w:val="14"/>
          <w:color w:val="auto"/>
        </w:rPr>
        <w:t>When required, the Partnership records accruals for loss contingencies in accordance with FASB ASC 450,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Such determinations are subject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interpretations of current facts and circumstances, forecasts of future events and estimates of the financial impacts of such events.</w:t>
      </w:r>
    </w:p>
    <w:p>
      <w:pPr>
        <w:spacing w:after="0" w:line="3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Mezzanine Capital</w:t>
      </w:r>
      <w:r>
        <w:rPr>
          <w:rFonts w:ascii="Times New Roman" w:cs="Times New Roman" w:eastAsia="Times New Roman" w:hAnsi="Times New Roman"/>
          <w:sz w:val="14"/>
          <w:szCs w:val="14"/>
          <w:color w:val="auto"/>
        </w:rPr>
        <w:t>. A noncontrolling interest is reported as a component of equity unless the noncontrolling interest is considered redeemable, in which case the noncontrolling interest is recorded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between liabilities and equity (mezzanine or temporary equity) in the Partnership’s consolidated balance sheet.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The Partnership provides gathering and/or processing services principally under contracts that contain one or more of the following arrangements described below:</w:t>
      </w:r>
    </w:p>
    <w:p>
      <w:pPr>
        <w:spacing w:after="0" w:line="94" w:lineRule="exact"/>
        <w:rPr>
          <w:sz w:val="20"/>
          <w:szCs w:val="20"/>
          <w:color w:val="auto"/>
        </w:rPr>
      </w:pPr>
    </w:p>
    <w:p>
      <w:pPr>
        <w:ind w:left="760" w:right="80" w:hanging="246"/>
        <w:spacing w:after="0" w:line="290" w:lineRule="auto"/>
        <w:tabs>
          <w:tab w:leader="none" w:pos="75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Fee-based arrangements. </w:t>
      </w:r>
      <w:r>
        <w:rPr>
          <w:rFonts w:ascii="Times New Roman" w:cs="Times New Roman" w:eastAsia="Times New Roman" w:hAnsi="Times New Roman"/>
          <w:sz w:val="14"/>
          <w:szCs w:val="14"/>
          <w:color w:val="auto"/>
        </w:rPr>
        <w:t>Under fee-based arrangements, the Partnership receives a fee or fees for one or more of the following services (i) natural gas gathering, treating, transporting,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compressing and/or processing and (ii) crude oil and/or produced water gathering and (iii) fresh water delivery services.</w:t>
      </w:r>
    </w:p>
    <w:p>
      <w:pPr>
        <w:spacing w:after="0" w:line="35" w:lineRule="exact"/>
        <w:rPr>
          <w:rFonts w:ascii="Times New Roman" w:cs="Times New Roman" w:eastAsia="Times New Roman" w:hAnsi="Times New Roman"/>
          <w:sz w:val="14"/>
          <w:szCs w:val="14"/>
          <w:color w:val="auto"/>
        </w:rPr>
      </w:pPr>
    </w:p>
    <w:p>
      <w:pPr>
        <w:ind w:left="760" w:right="100" w:hanging="246"/>
        <w:spacing w:after="0" w:line="262" w:lineRule="auto"/>
        <w:tabs>
          <w:tab w:leader="none" w:pos="75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Percent-of-proceeds arrangements. </w:t>
      </w:r>
      <w:r>
        <w:rPr>
          <w:rFonts w:ascii="Times New Roman" w:cs="Times New Roman" w:eastAsia="Times New Roman" w:hAnsi="Times New Roman"/>
          <w:sz w:val="14"/>
          <w:szCs w:val="14"/>
          <w:color w:val="auto"/>
        </w:rPr>
        <w:t>Under percent-of-proceeds arrangements, the Partnership generally purchases natural gas from producers at the wellhead, or other receipt points,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gathers the wellhead natural gas through its gathering system, treats and compresses the natural gas, processes the natural gas and/or sells the natural gas to a third party for processing. The Partnership then remits to its producers an agreed-upon percentage of the actual proceeds received from sales of the residue natural gas and NGLs. Certain of these arrangements may also result in returning all or a portion of the residue natural gas and/or the NGLs to the producer, in lieu of returning sales proceeds. The margins earned are directly related to the volume of natural gas that flows through the system and the price at which the Partnership is able to sell the residue natural gas and NGLs.</w:t>
      </w:r>
    </w:p>
    <w:p>
      <w:pPr>
        <w:spacing w:after="0" w:line="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majority of the Partnership’s contracts have a single performance obligation which is either to provide gathering services (an integrated service) or sell natural gas, NGLs and condensate, which are both satisfied when the related natural gas, crude oil and produced water are received and transferred to an agreed upon delivery point. The Partnership also has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the Partnership allocates the contract’s transaction price to each performance obligation using its best estimate of the standalone selling price of each service in the contract.</w:t>
      </w:r>
    </w:p>
    <w:p>
      <w:pPr>
        <w:spacing w:after="0" w:line="5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Performance obligations for gathering services are generally satisfied over time. The Partnership utilizes either an output method (i.e., measure of progress) for guaranteed, stand-ready service contracts or an asset/system delivery time estimate for non-guaranteed, as-available service contracts.</w:t>
      </w:r>
    </w:p>
    <w:p>
      <w:pPr>
        <w:spacing w:after="0" w:line="3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are typically billed on a monthly basis and the Partnership does not offer extended payment terms. The Partnership does not have contracts with financing components.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contracts described above, the Partnership reflects its revenues in the financial statement captions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Financial statement caption:</w:t>
            </w:r>
          </w:p>
        </w:tc>
        <w:tc>
          <w:tcPr>
            <w:tcW w:w="500" w:type="dxa"/>
            <w:vAlign w:val="bottom"/>
          </w:tcPr>
          <w:p>
            <w:pPr>
              <w:spacing w:after="0"/>
              <w:rPr>
                <w:sz w:val="16"/>
                <w:szCs w:val="16"/>
                <w:color w:val="auto"/>
              </w:rPr>
            </w:pPr>
          </w:p>
        </w:tc>
        <w:tc>
          <w:tcPr>
            <w:tcW w:w="50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Revenue description:</w:t>
            </w:r>
          </w:p>
        </w:tc>
      </w:tr>
      <w:tr>
        <w:trPr>
          <w:trHeight w:val="22"/>
        </w:trPr>
        <w:tc>
          <w:tcPr>
            <w:tcW w:w="5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CCEEFF"/>
            </w:tcBorders>
            <w:shd w:val="clear" w:color="auto" w:fill="CCEEFF"/>
          </w:tcPr>
          <w:p>
            <w:pPr>
              <w:spacing w:after="0"/>
              <w:rPr>
                <w:sz w:val="15"/>
                <w:szCs w:val="15"/>
                <w:color w:val="auto"/>
              </w:rPr>
            </w:pPr>
          </w:p>
        </w:tc>
      </w:tr>
      <w:tr>
        <w:trPr>
          <w:trHeight w:val="17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Revenue earned from fee-based gathering, compression, treating and processing</w:t>
            </w:r>
          </w:p>
        </w:tc>
      </w:tr>
      <w:tr>
        <w:trPr>
          <w:trHeight w:val="184"/>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r>
      <w:tr>
        <w:trPr>
          <w:trHeight w:val="22"/>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7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NGLs and condensate sales</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Revenue from the sale of physical natural gas purchased from customers percent-of-</w:t>
            </w:r>
          </w:p>
        </w:tc>
      </w:tr>
      <w:tr>
        <w:trPr>
          <w:trHeight w:val="170"/>
        </w:trPr>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arrangements (Costs are presented within cost of natural gas and NGLs);</w:t>
            </w:r>
          </w:p>
        </w:tc>
      </w:tr>
      <w:tr>
        <w:trPr>
          <w:trHeight w:val="170"/>
        </w:trPr>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Revenue from sale of condensate and NGLs retained from gathering services (Costs</w:t>
            </w:r>
          </w:p>
        </w:tc>
      </w:tr>
      <w:tr>
        <w:trPr>
          <w:trHeight w:val="186"/>
        </w:trPr>
        <w:tc>
          <w:tcPr>
            <w:tcW w:w="5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are presented within operation and maintenance expense);</w:t>
            </w:r>
          </w:p>
        </w:tc>
      </w:tr>
      <w:tr>
        <w:trPr>
          <w:trHeight w:val="17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Reimbursements to the Partnership for costs incurred by the Partnership on customer’s</w:t>
            </w:r>
          </w:p>
        </w:tc>
      </w:tr>
      <w:tr>
        <w:trPr>
          <w:trHeight w:val="170"/>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behalf (Recorded on a gross basis with corresponding costs included in operations and</w:t>
            </w:r>
          </w:p>
        </w:tc>
      </w:tr>
      <w:tr>
        <w:trPr>
          <w:trHeight w:val="170"/>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maintenance expense);</w:t>
            </w:r>
          </w:p>
        </w:tc>
      </w:tr>
      <w:tr>
        <w:trPr>
          <w:trHeight w:val="170"/>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Revenue for freshwater deliveries;</w:t>
            </w:r>
          </w:p>
        </w:tc>
      </w:tr>
      <w:tr>
        <w:trPr>
          <w:trHeight w:val="170"/>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Contract amortization; and</w:t>
            </w:r>
          </w:p>
        </w:tc>
      </w:tr>
      <w:tr>
        <w:trPr>
          <w:trHeight w:val="184"/>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Revenue for management fees related to Double E.</w:t>
            </w:r>
          </w:p>
        </w:tc>
      </w:tr>
    </w:tbl>
    <w:p>
      <w:pPr>
        <w:spacing w:after="0" w:line="15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Certain of the Partnership’s gathering and/or processing agreements provide for monthly MVCs. Under these MVCs, customers agree to ship and/or process a minimum volume of production on its gathering systems or to pay a minimum monetary amount over certain periods during the term of the MVC. A customer must make a shortfall payment to the Partnership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6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 These provisions include the following:</w:t>
      </w:r>
    </w:p>
    <w:p>
      <w:pPr>
        <w:spacing w:after="0" w:line="39" w:lineRule="exact"/>
        <w:rPr>
          <w:sz w:val="20"/>
          <w:szCs w:val="20"/>
          <w:color w:val="auto"/>
        </w:rPr>
      </w:pPr>
    </w:p>
    <w:p>
      <w:pPr>
        <w:ind w:left="1020" w:right="40" w:hanging="506"/>
        <w:spacing w:after="0" w:line="264" w:lineRule="auto"/>
        <w:tabs>
          <w:tab w:leader="none" w:pos="10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the Partnership would not receive gathering fees on throughput in excess of that customer's MVC (depending on the terms of the specific gas gathering agreement) to the extent that the customer had made a shortfall payment with respect to one or more preceding measurement periods (as applicable).</w:t>
      </w:r>
    </w:p>
    <w:p>
      <w:pPr>
        <w:spacing w:after="0" w:line="55" w:lineRule="exact"/>
        <w:rPr>
          <w:rFonts w:ascii="Times New Roman" w:cs="Times New Roman" w:eastAsia="Times New Roman" w:hAnsi="Times New Roman"/>
          <w:sz w:val="14"/>
          <w:szCs w:val="14"/>
          <w:color w:val="auto"/>
        </w:rPr>
      </w:pPr>
    </w:p>
    <w:p>
      <w:pPr>
        <w:ind w:left="1020" w:right="160" w:hanging="506"/>
        <w:spacing w:after="0" w:line="270" w:lineRule="auto"/>
        <w:tabs>
          <w:tab w:leader="none" w:pos="10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the Partnership’s MVCs apply will be less than the weighted-average of the originally stated MVC contractual terms.</w:t>
      </w:r>
    </w:p>
    <w:p>
      <w:pPr>
        <w:spacing w:after="0" w:line="50" w:lineRule="exact"/>
        <w:rPr>
          <w:rFonts w:ascii="Times New Roman" w:cs="Times New Roman" w:eastAsia="Times New Roman" w:hAnsi="Times New Roman"/>
          <w:sz w:val="14"/>
          <w:szCs w:val="14"/>
          <w:color w:val="auto"/>
        </w:rPr>
      </w:pPr>
    </w:p>
    <w:p>
      <w:pPr>
        <w:ind w:left="1020" w:right="20" w:hanging="506"/>
        <w:spacing w:after="0" w:line="270" w:lineRule="auto"/>
        <w:tabs>
          <w:tab w:leader="none" w:pos="10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certain of the Partnership’s customers' throughput volumes exceed its MVC for the applicable period, there is a crediting mechanism that allows the customer to build a bank of credits that it can utilize in the future to reduce shortfall payments owed in subsequent periods, subject to expiration if there is no shortfall in subsequent periods. The period over which this credit bank can be applied to future shortfall payments varies, depending on the particular gas gathering agreement.</w:t>
      </w:r>
    </w:p>
    <w:p>
      <w:pPr>
        <w:spacing w:after="0" w:line="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Partnership recognizes customer obligations under their MVCs as revenue and contract assets when (i) it considers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6" w:name="page107"/>
    <w:bookmarkEnd w:id="10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this determination, the Partnership considers both quantitative and qualitative facts and circumstances, including, but not limited to, contract terms, capacity of the associated pipeline or receipt point and/or expectations regarding future investment, drilling and production.</w:t>
      </w:r>
    </w:p>
    <w:p>
      <w:pPr>
        <w:spacing w:after="0" w:line="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majority of the Partnership’s revenue is derived from long-term, fee-based contracts with its customers, which include original terms of up to 25 years. The Partnership recognizes revenue earned from fee-based gathering, compression, treating and processing services in gathering services and related fees. The Partnership also earns revenue in the Rockies and Piceance reporting segments from the sale of physical natural gas purchased from its customers under certain percent-of-proceeds arrangements. Under ASC Topic 606, these gathering contracts are presented net within cost of natural gas and NGLs. The Partnership sells natural gas that it retains from certain customers in the Barnett reporting segment to offset the power expenses, included in operations and maintenance expense, of the electric-driven compression on the gathering system. The Partnership also sells condensate and NGLs retained from certain of its gathering services in the Piceance and Rockies reporting segments. Revenues from the sale of natural gas and condensate are recognized in Natural gas, NGLs and condensate sales; the associated expense is included in Operation and maintenance expense. Certain customers reimburse the Partnership for costs incurred on their behalf. The Partnership records costs incurred and reimbursed by its customers on a gross basis, with the revenue component recognized in Other revenues and the associated expense included in operations and maintenance expense.</w:t>
      </w:r>
    </w:p>
    <w:p>
      <w:pPr>
        <w:spacing w:after="0" w:line="6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transaction price in the Partnership’s contracts is primarily based on the volume of natural gas, crude oil or produced water transferred by its gathering systems to the customer’s agreed upon delivery point multiplied by the contractual rate. For contracts that include MVCs, variable consideration up to the MVC will be included in the transaction price. For contracts that do not include MVCs, the Partnership does not estimate variable consideration because the performance obligations are completed and settled on a daily basis. For contracts containing noncash consideration such as fuel received in-kind, the Partnership measures the transaction price at the point of sale when the volume, mix and market price of the commodities are known.</w:t>
      </w:r>
    </w:p>
    <w:p>
      <w:pPr>
        <w:spacing w:after="0" w:line="5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Partnership has contracts with MVCs that are variable and constrained. Contracts with longer than monthly MVCs are reviewed on a quarterly basis and adjustments to those estimates are made during each respective reporting period, if necessary.</w:t>
      </w:r>
    </w:p>
    <w:p>
      <w:pPr>
        <w:spacing w:after="0" w:line="3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3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Unit-Based Compensation. </w:t>
      </w:r>
      <w:r>
        <w:rPr>
          <w:rFonts w:ascii="Times New Roman" w:cs="Times New Roman" w:eastAsia="Times New Roman" w:hAnsi="Times New Roman"/>
          <w:sz w:val="14"/>
          <w:szCs w:val="14"/>
          <w:color w:val="auto"/>
        </w:rPr>
        <w:t>For awards of unit-based compensation, the Partnership determines a grant date fair value and recognizes the related compensation expense in the statements of operations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over the vesting period for each respective award.</w:t>
      </w:r>
    </w:p>
    <w:p>
      <w:pPr>
        <w:spacing w:after="0" w:line="3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The Partnership is generally not subject to federal and state income taxes, except as noted below. However, its unitholders are individually responsible for paying federal and state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taxes on their share of its taxable income. Net income or loss for GAAP purposes may differ significantly from taxable income reportable to its unitholders as a result of differences between the tax basis and the GAAP basis of assets and liabilities and the taxable income allocation requirements of the Partnership’s governing documents. The aggregate difference in the basis of the Partnership’s net assets for financial and income tax purposes cannot be readily determined as the Partnership does not have access to the information about each partner’s tax attributes related to the Partnership.</w:t>
      </w:r>
    </w:p>
    <w:p>
      <w:pPr>
        <w:spacing w:after="0" w:line="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general, legal entities that are chartered, organized or conducting business in the state of Texas are subject to a franchise tax (the “Texas Margin Tax”). The Texas Margin Tax has the characteristics of an income tax because it is determined by applying a tax rate to a tax base that considers both revenues and expenses. The Partnership’s financial statements reflect provisions for these tax obligations.</w:t>
      </w:r>
    </w:p>
    <w:p>
      <w:pPr>
        <w:spacing w:after="0" w:line="49"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color w:val="auto"/>
        </w:rPr>
        <w:t>Interest rate swap agreements are reported as either assets or liabilities on the consolidated balance sheet at fair value. Interest rate swap agreements are not designated as cash-flow hedges, and accordingly, the changes in the fair value are recorded in earnings. The Partnership does not use interest rate swap agreements for speculative purposes.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recently implemented. </w:t>
      </w:r>
      <w:r>
        <w:rPr>
          <w:rFonts w:ascii="Times New Roman" w:cs="Times New Roman" w:eastAsia="Times New Roman" w:hAnsi="Times New Roman"/>
          <w:sz w:val="14"/>
          <w:szCs w:val="14"/>
          <w:color w:val="auto"/>
        </w:rPr>
        <w:t>ASU No. 2020-4 Reference Rate Reform (“ASU 2020-4”). ASU 2020-4 provides optional expedients and exceptions for applying GAAP to contracts,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hedging relationships and other transactions affected by reference rate reform on financial reporting. Contract terms that are modified due to the replacement of a reference rate are not required to be remeasured or reassessed under relevant accounting standards. During the quarter ended June 30, 2023, the Partnership amended the terms of its Permian Transmission Credit Facility and Term Loan and interest rate swaps, which replaced its existing LIBOR based terms with SOFR rate terms. The amendments in ASU 2020-4 are effective as of March 12, 2020 through December 31, 2022. In December 2022, the FASB issued ASU 2022-06, which amended Topic 848 to defer the sunset date to apply the practical expedients until December 31, 2024. The impact of the change in reference rate did not have a material impact on the Partnership’s consolidated financial statements. See Note 9 - Debt, for additional information.</w:t>
      </w:r>
    </w:p>
    <w:p>
      <w:pPr>
        <w:spacing w:after="0" w:line="5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accounting standards not yet implemented in this Annual Report. </w:t>
      </w:r>
      <w:r>
        <w:rPr>
          <w:rFonts w:ascii="Times New Roman" w:cs="Times New Roman" w:eastAsia="Times New Roman" w:hAnsi="Times New Roman"/>
          <w:sz w:val="14"/>
          <w:szCs w:val="14"/>
          <w:color w:val="auto"/>
        </w:rPr>
        <w:t>ASU No. 2020-06 Debt – Debt with Conversion and Other Options (Subtopic 470-20) and Derivatives and Hedging –</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Contracts in Entity’s Own Equity (Subtopic 815 – 40) (“ASU 2020-06”). ASU 2020-06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does not expect the provisions of ASU 2020-06 will have a material impact on its consolidated financial statements and disclosures.</w:t>
      </w:r>
    </w:p>
    <w:p>
      <w:pPr>
        <w:spacing w:after="0" w:line="5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ASU No. 2023-07, Segment Reporting (Topic 280): Improvements to Reportable Segment Disclosures (“ASU 2023-07”). ASU 2023-07 enhances disclosures on reportable segments and provides additional detailed information about significant segment expenses. The guidance in ASU 2023-07 is effective for fiscal years beginning after December 15, 2023 and interim periods within fiscal years beginning after December 15, 2024. The Partnership continues to assess the impact of the new guidance, but does not expect the provisions of ASU 2023-07 will have a material impact on its consolidated financial statements and disclosures.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ACQUISTIONS AND DIVESTITURES</w:t>
      </w:r>
    </w:p>
    <w:p>
      <w:pPr>
        <w:spacing w:after="0" w:line="9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Outrigger DJ. </w:t>
      </w:r>
      <w:r>
        <w:rPr>
          <w:rFonts w:ascii="Times New Roman" w:cs="Times New Roman" w:eastAsia="Times New Roman" w:hAnsi="Times New Roman"/>
          <w:sz w:val="14"/>
          <w:szCs w:val="14"/>
          <w:color w:val="auto"/>
        </w:rPr>
        <w:t>On December 1, 2022, the Partnership completed the acquisition of 100% of the equity interests of Outrigger DJ Midstream LLC (“Outrigger DJ”) from Outrigger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Energy II LLC for cash consideration of $165.0 million, subject to customary working capital adjustments. The acquisition of Outrigger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spacing w:after="0" w:line="5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preliminary fair value of the assets acquired and liabilities assumed as of the acquisition date. There were no material changes made during 2023 to the provisional purchase accounting measurements initially recorded in December 2022 for the Outrigger DJ Acquisition. The purchase price allocation was complete as of the fourth quarter of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 paid for Outrigger DJ</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167,631</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w:t>
            </w: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7,529</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144,514</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21,447</w:t>
            </w:r>
          </w:p>
        </w:tc>
      </w:tr>
      <w:tr>
        <w:trPr>
          <w:trHeight w:val="180"/>
        </w:trPr>
        <w:tc>
          <w:tcPr>
            <w:tcW w:w="9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Trade accounts payable, accrued expenses and other</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(7,049)</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 and liabilities assumed</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167,631</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The assets acquired and liabilities assumed were recorded at their estimated fair values at the date of the acquisition. Acquired working capital amounts are expected to approximate fair value due to their short-term nature. The valuation of certain assets, including property, are based on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acquired consist of rights-of-way of $21.4 million with a weighted average amortization period of 30 years.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Sterling DJ. </w:t>
      </w:r>
      <w:r>
        <w:rPr>
          <w:rFonts w:ascii="Times New Roman" w:cs="Times New Roman" w:eastAsia="Times New Roman" w:hAnsi="Times New Roman"/>
          <w:sz w:val="14"/>
          <w:szCs w:val="14"/>
          <w:color w:val="auto"/>
        </w:rPr>
        <w:t>On December 1, 2022, the Partnership completed the acquisition of 100% of the equity interests in each of Sterling Energy Investments LLC, Grasslands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Marketing LLC and Centennial Water Pipelines LLC (collectively, “Sterling DJ”) from Sterling Investment Holdings LLC for cash consideration of $140.0 million, subject to customary working capital adjustments.. The acquisition of Sterling DJ constituted a business combination and was accounted for using the acquisition method of accounting. For tax purposes, the acquisition was accounted for as an acquisition of assets. The acquisition significantly increased the Partnership’s gas processing capacity and footprint in the DJ Basin and diversified its customer base.</w:t>
      </w:r>
    </w:p>
    <w:p>
      <w:pPr>
        <w:spacing w:after="0" w:line="5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preliminary fair value of the assets acquired and liabilities assumed as of the acquisition date. There were no material changes made during 2023 to the provisional purchase accounting measurements initially recorded in December 2022 for the Sterling DJ acquisition. The purchase price allocation was complete as of the fourth quarter of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 paid for Sterling DJ</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140,396</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amounts of identifiable assets acquired and liabilities assumed:</w:t>
            </w: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16,224</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108,720</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38,678</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9,865</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accounts payable, accrued expenses and other</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(38,148)</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140,396</w:t>
            </w:r>
          </w:p>
        </w:tc>
      </w:tr>
      <w:tr>
        <w:trPr>
          <w:trHeight w:val="20"/>
        </w:trPr>
        <w:tc>
          <w:tcPr>
            <w:tcW w:w="9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The assets acquired and liabilities assumed were recorded at their estimated fair values at the date of the acquisition. Acquired working capital amounts are expected to approximate fair value due to their short-term nature. The valuation of certain assets, including property, are based on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acquired consist of rights-of-way of $30.2 million with a weighted average amortization period of 30 years and indefinite-lived intangible assets of $8.4 million.</w:t>
      </w:r>
    </w:p>
    <w:p>
      <w:pPr>
        <w:spacing w:after="0" w:line="9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Lane G&amp;P System. </w:t>
      </w:r>
      <w:r>
        <w:rPr>
          <w:rFonts w:ascii="Times New Roman" w:cs="Times New Roman" w:eastAsia="Times New Roman" w:hAnsi="Times New Roman"/>
          <w:sz w:val="14"/>
          <w:szCs w:val="14"/>
          <w:color w:val="auto"/>
        </w:rPr>
        <w:t>On June 30, 2022, the Partnership completed the sale of Summit Permian, which owns the Lane Gathering and Processing System (“Lane G&amp;P System”),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Permian Finance to Longwood Gathering and Disposal Systems, LP (“Longwood”), a wholly owned subsidiary of Matador ͏Resources Company (“Matador”). In connection with the transaction, the Partnership released, to a subsidiary of Matador, and Matador agreed to assume, take or-pay firm capacity on the Double E Pipeline.</w:t>
      </w:r>
    </w:p>
    <w:p>
      <w:pPr>
        <w:spacing w:after="0" w:line="5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During 2022, the Partnership recognized an impairment of $84.5 million related to the disposition of the Lane G&amp;P System based on total cash proceeds received of $75.0 million, including $2.0 million of cash sold in the transaction, net assets of $158.3 million, and other costs to sell of $1.2 million.</w:t>
      </w:r>
    </w:p>
    <w:p>
      <w:pPr>
        <w:spacing w:after="0" w:line="3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Bison Midstream. </w:t>
      </w:r>
      <w:r>
        <w:rPr>
          <w:rFonts w:ascii="Times New Roman" w:cs="Times New Roman" w:eastAsia="Times New Roman" w:hAnsi="Times New Roman"/>
          <w:sz w:val="14"/>
          <w:szCs w:val="14"/>
          <w:color w:val="auto"/>
        </w:rPr>
        <w:t>On September 19, 2022, the Partnership completed the sale of Bison Midstream, LLC (“Bison Midstream”), its gas gathering system in Burke and Mountrail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Counties, North Dakota to a subsidiary of Steel Reef Infrastructure Corp. (“Steel Reef”), an integrated owner and operator of associated gas capture, gathering and processing assets in North Dakota and Saskatchewan.</w:t>
      </w:r>
    </w:p>
    <w:p>
      <w:pPr>
        <w:spacing w:after="0" w:line="5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During 2022, the Partnership recognized an impairment of $6.9 million related to the disposition of Bison Midstream based on total cash proceeds received of $38.9 million and net assets of $45.8 million. The cash proceeds were used to reduce amounts outstanding under the ABL Facility.</w:t>
      </w:r>
    </w:p>
    <w:p>
      <w:pPr>
        <w:spacing w:after="0" w:line="3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 Forma Information (Unaudited). </w:t>
      </w:r>
      <w:r>
        <w:rPr>
          <w:rFonts w:ascii="Times New Roman" w:cs="Times New Roman" w:eastAsia="Times New Roman" w:hAnsi="Times New Roman"/>
          <w:sz w:val="14"/>
          <w:szCs w:val="14"/>
          <w:color w:val="auto"/>
        </w:rPr>
        <w:t>The following table summarizes the unaudited pro forma condensed financial information of SMLP as if the acquisitions of Outrigger DJ and Sterling DJ,</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along with the dispositions of Bison Midstream and the Lane G&amp;P System, had occurred on January 1,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860" w:type="dxa"/>
            <w:vAlign w:val="bottom"/>
          </w:tcPr>
          <w:p>
            <w:pPr>
              <w:jc w:val="center"/>
              <w:ind w:right="316"/>
              <w:spacing w:after="0"/>
              <w:rPr>
                <w:sz w:val="20"/>
                <w:szCs w:val="20"/>
                <w:color w:val="auto"/>
              </w:rPr>
            </w:pPr>
            <w:r>
              <w:rPr>
                <w:rFonts w:ascii="Times New Roman" w:cs="Times New Roman" w:eastAsia="Times New Roman" w:hAnsi="Times New Roman"/>
                <w:sz w:val="11"/>
                <w:szCs w:val="11"/>
                <w:b w:val="1"/>
                <w:bCs w:val="1"/>
                <w:color w:val="auto"/>
                <w:w w:val="98"/>
              </w:rPr>
              <w:t>Year Ended</w:t>
            </w:r>
          </w:p>
        </w:tc>
      </w:tr>
      <w:tr>
        <w:trPr>
          <w:trHeight w:val="153"/>
        </w:trPr>
        <w:tc>
          <w:tcPr>
            <w:tcW w:w="48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60" w:type="dxa"/>
            <w:vAlign w:val="bottom"/>
          </w:tcPr>
          <w:p>
            <w:pPr>
              <w:jc w:val="center"/>
              <w:ind w:right="316"/>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6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543,024</w:t>
            </w:r>
          </w:p>
        </w:tc>
      </w:tr>
      <w:tr>
        <w:trPr>
          <w:trHeight w:val="184"/>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6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(36,945)</w:t>
            </w:r>
          </w:p>
        </w:tc>
      </w:tr>
    </w:tbl>
    <w:p>
      <w:pPr>
        <w:spacing w:after="0" w:line="141"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The unaudited pro forma information is for informational purposes only and is not necessarily indicative of the operating results that would have occurred had the transactions been completed at January 1, 2021, nor is it necessarily indicative of future operating results. The financial data was adjusted to give effect to pro forma events that are i) directly attributable to the transactions, ii) factually supportable, and iii) expected to have a continuing impact on the consolidated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adjustments to the pro forma information above include adjustments to interest expense and depreciation based on the purchase price allocated to property, plant, and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w:t>
      </w:r>
    </w:p>
    <w:p>
      <w:pPr>
        <w:spacing w:after="0" w:line="9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following table presents estimated revenue expected to be recognized over the remaining contract period related to performance obligations that are unsatisfied and are comprised of estimated MVC shortfall payments.</w:t>
      </w:r>
    </w:p>
    <w:p>
      <w:pPr>
        <w:spacing w:after="0" w:line="3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Partnership applies the practical expedient in paragraph 606-10-50-14 of Topic 606 for certain arrangements that are considered optional purchases (i.e., there is no enforceable obligation for the customer to make purchases) and those amounts are therefore excluded from the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2027</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2028</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Thereafter</w:t>
            </w:r>
          </w:p>
        </w:tc>
      </w:tr>
      <w:tr>
        <w:trPr>
          <w:trHeight w:val="154"/>
        </w:trPr>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Gathering services and related fees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65,472</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45,594</w:t>
            </w:r>
          </w:p>
        </w:tc>
        <w:tc>
          <w:tcPr>
            <w:tcW w:w="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29,292</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7,685</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5,137</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Revenue by Category</w:t>
      </w:r>
      <w:r>
        <w:rPr>
          <w:rFonts w:ascii="Times New Roman" w:cs="Times New Roman" w:eastAsia="Times New Roman" w:hAnsi="Times New Roman"/>
          <w:sz w:val="14"/>
          <w:szCs w:val="14"/>
          <w:color w:val="auto"/>
        </w:rPr>
        <w:t>. In the following table, revenue is disaggregated by geographic area and major products and services. For more detailed information about reportable segments, see Note 17 -</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Segment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Gathering services and</w:t>
            </w:r>
          </w:p>
        </w:tc>
        <w:tc>
          <w:tcPr>
            <w:tcW w:w="120" w:type="dxa"/>
            <w:vAlign w:val="bottom"/>
          </w:tcPr>
          <w:p>
            <w:pPr>
              <w:spacing w:after="0"/>
              <w:rPr>
                <w:sz w:val="9"/>
                <w:szCs w:val="9"/>
                <w:color w:val="auto"/>
              </w:rPr>
            </w:pPr>
          </w:p>
        </w:tc>
        <w:tc>
          <w:tcPr>
            <w:tcW w:w="14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Natural gas, NGLs and</w:t>
            </w:r>
          </w:p>
        </w:tc>
        <w:tc>
          <w:tcPr>
            <w:tcW w:w="32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Other revenues</w:t>
            </w:r>
          </w:p>
        </w:tc>
        <w:tc>
          <w:tcPr>
            <w:tcW w:w="320" w:type="dxa"/>
            <w:vAlign w:val="bottom"/>
          </w:tcPr>
          <w:p>
            <w:pPr>
              <w:spacing w:after="0"/>
              <w:rPr>
                <w:sz w:val="9"/>
                <w:szCs w:val="9"/>
                <w:color w:val="auto"/>
              </w:rPr>
            </w:pPr>
          </w:p>
        </w:tc>
        <w:tc>
          <w:tcPr>
            <w:tcW w:w="1100" w:type="dxa"/>
            <w:vAlign w:val="bottom"/>
            <w:vMerge w:val="restart"/>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related fees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condensate sales</w:t>
            </w: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center"/>
              <w:ind w:left="9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Northeast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63,805</w:t>
            </w:r>
          </w:p>
        </w:tc>
        <w:tc>
          <w:tcPr>
            <w:tcW w:w="0" w:type="dxa"/>
            <w:vAlign w:val="bottom"/>
          </w:tcPr>
          <w:p>
            <w:pPr>
              <w:spacing w:after="0"/>
              <w:rPr>
                <w:sz w:val="1"/>
                <w:szCs w:val="1"/>
                <w:color w:val="auto"/>
              </w:rPr>
            </w:pPr>
          </w:p>
        </w:tc>
      </w:tr>
      <w:tr>
        <w:trPr>
          <w:trHeight w:val="180"/>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Rockies</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65,869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173,688</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15,474</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255,031</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Permian</w:t>
            </w:r>
          </w:p>
        </w:tc>
        <w:tc>
          <w:tcPr>
            <w:tcW w:w="12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Piceance</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91,417</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Barnett</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45,117</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458,940</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Gathering services and</w:t>
            </w:r>
          </w:p>
        </w:tc>
        <w:tc>
          <w:tcPr>
            <w:tcW w:w="120" w:type="dxa"/>
            <w:vAlign w:val="bottom"/>
          </w:tcPr>
          <w:p>
            <w:pPr>
              <w:spacing w:after="0"/>
              <w:rPr>
                <w:sz w:val="9"/>
                <w:szCs w:val="9"/>
                <w:color w:val="auto"/>
              </w:rPr>
            </w:pPr>
          </w:p>
        </w:tc>
        <w:tc>
          <w:tcPr>
            <w:tcW w:w="14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Natural gas, NGLs and</w:t>
            </w:r>
          </w:p>
        </w:tc>
        <w:tc>
          <w:tcPr>
            <w:tcW w:w="32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Other revenues</w:t>
            </w:r>
          </w:p>
        </w:tc>
        <w:tc>
          <w:tcPr>
            <w:tcW w:w="320" w:type="dxa"/>
            <w:vAlign w:val="bottom"/>
          </w:tcPr>
          <w:p>
            <w:pPr>
              <w:spacing w:after="0"/>
              <w:rPr>
                <w:sz w:val="9"/>
                <w:szCs w:val="9"/>
                <w:color w:val="auto"/>
              </w:rPr>
            </w:pPr>
          </w:p>
        </w:tc>
        <w:tc>
          <w:tcPr>
            <w:tcW w:w="1100" w:type="dxa"/>
            <w:vAlign w:val="bottom"/>
            <w:vMerge w:val="restart"/>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related fees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condensate sales</w:t>
            </w: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left="9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Northeast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Rockies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143,603</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Permian</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25,151</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Piceance</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93,349</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Barnett</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52,096</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368,591</w:t>
            </w:r>
          </w:p>
        </w:tc>
        <w:tc>
          <w:tcPr>
            <w:tcW w:w="0" w:type="dxa"/>
            <w:vAlign w:val="bottom"/>
          </w:tcPr>
          <w:p>
            <w:pPr>
              <w:spacing w:after="0"/>
              <w:rPr>
                <w:sz w:val="1"/>
                <w:szCs w:val="1"/>
                <w:color w:val="auto"/>
              </w:rPr>
            </w:pPr>
          </w:p>
        </w:tc>
      </w:tr>
      <w:tr>
        <w:trPr>
          <w:trHeight w:val="212"/>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369,594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PROPERTY, PLANT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on the Partnership’s property, plant and equipment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61530" cy="134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Gathering and processing systems and related equipment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Land and line fill</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1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54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49"/>
        </w:trPr>
        <w:tc>
          <w:tcPr>
            <w:tcW w:w="180" w:type="dxa"/>
            <w:vAlign w:val="bottom"/>
          </w:tcPr>
          <w:p>
            <w:pPr>
              <w:spacing w:after="0"/>
              <w:rPr>
                <w:sz w:val="12"/>
                <w:szCs w:val="12"/>
                <w:color w:val="auto"/>
              </w:rPr>
            </w:pPr>
          </w:p>
        </w:tc>
        <w:tc>
          <w:tcPr>
            <w:tcW w:w="2780" w:type="dxa"/>
            <w:vAlign w:val="bottom"/>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1"/>
        </w:trPr>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2,335,980</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2,262,330</w:t>
            </w:r>
          </w:p>
        </w:tc>
      </w:tr>
      <w:tr>
        <w:trPr>
          <w:trHeight w:val="212"/>
        </w:trPr>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59,036</w:t>
            </w:r>
          </w:p>
        </w:tc>
      </w:tr>
      <w:tr>
        <w:trPr>
          <w:trHeight w:val="212"/>
        </w:trPr>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11,756</w:t>
            </w:r>
          </w:p>
        </w:tc>
      </w:tr>
      <w:tr>
        <w:trPr>
          <w:trHeight w:val="234"/>
        </w:trPr>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65,029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62,222</w:t>
            </w:r>
          </w:p>
        </w:tc>
      </w:tr>
      <w:tr>
        <w:trPr>
          <w:trHeight w:val="181"/>
        </w:trPr>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2,468,607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2,395,344</w:t>
            </w:r>
          </w:p>
        </w:tc>
      </w:tr>
      <w:tr>
        <w:trPr>
          <w:trHeight w:val="212"/>
        </w:trPr>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(676,590)</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1,698,585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1,718,754</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2">
            <w:col w:w="7600" w:space="720"/>
            <w:col w:w="2960"/>
          </w:cols>
          <w:pgMar w:left="300" w:top="210" w:right="319" w:bottom="1440" w:gutter="0" w:footer="0" w:header="0"/>
        </w:sect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When the carrying amount of a long-lived asset is not recoverable, an impairment is recognized equal to the excess of the asset’s carrying value over its fair value, which is based on inputs that are not observable in the market, and thus represent Level 3 inputs under GAAP’s fair value hierarchy. The Partnership recognized $0.5 million and $91.6 million of impairments during the fiscal years ended December 31, 2023 and 2022, respectively. The Partnership cannot predict the likelihood of future impairments, if any.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and capitalized interest for the Partnership follow.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95,307</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93,457</w:t>
            </w: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84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1,284</w:t>
            </w: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r>
    </w:tbl>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regarding the Partnership’s intangible assets follow.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gas gathering contracts</w:t>
            </w:r>
          </w:p>
        </w:tc>
        <w:tc>
          <w:tcPr>
            <w:tcW w:w="3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intangibles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23,388</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Rights-of-way</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138,452</w:t>
            </w:r>
          </w:p>
        </w:tc>
        <w:tc>
          <w:tcPr>
            <w:tcW w:w="0" w:type="dxa"/>
            <w:vAlign w:val="bottom"/>
          </w:tcPr>
          <w:p>
            <w:pPr>
              <w:spacing w:after="0"/>
              <w:rPr>
                <w:sz w:val="1"/>
                <w:szCs w:val="1"/>
                <w:color w:val="auto"/>
              </w:rPr>
            </w:pPr>
          </w:p>
        </w:tc>
      </w:tr>
      <w:tr>
        <w:trPr>
          <w:trHeight w:val="212"/>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Indefinite-lived intangibles</w:t>
            </w:r>
          </w:p>
        </w:tc>
        <w:tc>
          <w:tcPr>
            <w:tcW w:w="3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intangible assets</w:t>
            </w:r>
          </w:p>
        </w:tc>
        <w:tc>
          <w:tcPr>
            <w:tcW w:w="3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gas gathering contracts</w:t>
            </w:r>
          </w:p>
        </w:tc>
        <w:tc>
          <w:tcPr>
            <w:tcW w:w="3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intangibles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42,269</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Rights-of-way</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141,759</w:t>
            </w:r>
          </w:p>
        </w:tc>
        <w:tc>
          <w:tcPr>
            <w:tcW w:w="0" w:type="dxa"/>
            <w:vAlign w:val="bottom"/>
          </w:tcPr>
          <w:p>
            <w:pPr>
              <w:spacing w:after="0"/>
              <w:rPr>
                <w:sz w:val="1"/>
                <w:szCs w:val="1"/>
                <w:color w:val="auto"/>
              </w:rPr>
            </w:pPr>
          </w:p>
        </w:tc>
      </w:tr>
      <w:tr>
        <w:trPr>
          <w:trHeight w:val="212"/>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Indefinite-lived intangibles</w:t>
            </w:r>
          </w:p>
        </w:tc>
        <w:tc>
          <w:tcPr>
            <w:tcW w:w="3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intangible assets</w:t>
            </w:r>
          </w:p>
        </w:tc>
        <w:tc>
          <w:tcPr>
            <w:tcW w:w="3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198,718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989"/>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7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11" w:name="page112"/>
    <w:bookmarkEnd w:id="11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 recognized amortization expense of its favorable gas gathering contracts in Other revenues as follows:</w:t>
      </w:r>
    </w:p>
    <w:p>
      <w:pPr>
        <w:spacing w:after="0" w:line="11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21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 – favorable gas gathering contracts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938</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318"/>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The Partnership recognized amortization expense of its contract and right of way intangibles in costs and expenses as follows:</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6"/>
        </w:trPr>
        <w:tc>
          <w:tcPr>
            <w:tcW w:w="83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 – contract intangibles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18,881</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18,935</w:t>
            </w: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expense – rights-of-way</w:t>
            </w:r>
          </w:p>
        </w:tc>
        <w:tc>
          <w:tcPr>
            <w:tcW w:w="840" w:type="dxa"/>
            <w:vAlign w:val="bottom"/>
          </w:tcPr>
          <w:p>
            <w:pPr>
              <w:spacing w:after="0"/>
              <w:rPr>
                <w:sz w:val="16"/>
                <w:szCs w:val="16"/>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8,576</w:t>
            </w: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6,527</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Partnership’s estimated aggregate annual amortization expected to be recognized for each of the five succeeding fiscal years and thereafter, as of December 31, 2023,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9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18,076</w:t>
            </w: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17,892</w:t>
            </w: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w:t>
            </w: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8,878</w:t>
            </w: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98,732</w:t>
            </w:r>
          </w:p>
        </w:tc>
      </w:tr>
      <w:tr>
        <w:trPr>
          <w:trHeight w:val="196"/>
        </w:trPr>
        <w:tc>
          <w:tcPr>
            <w:tcW w:w="9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167,156</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EQUITY METHOD INVESTMENTS</w:t>
      </w:r>
    </w:p>
    <w:p>
      <w:pPr>
        <w:spacing w:after="0" w:line="96"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The Partnership has equity method investments in Double E and Ohio Gathering, the balances of which are included in the Investment in equity method investees caption on the consolidated balance sheets. Details of the Partnership’s equity method investments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3"/>
        </w:trPr>
        <w:tc>
          <w:tcPr>
            <w:tcW w:w="8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1240" w:type="dxa"/>
            <w:vAlign w:val="bottom"/>
          </w:tcPr>
          <w:p>
            <w:pPr>
              <w:spacing w:after="0"/>
              <w:rPr>
                <w:sz w:val="13"/>
                <w:szCs w:val="13"/>
                <w:color w:val="auto"/>
              </w:rPr>
            </w:pPr>
          </w:p>
        </w:tc>
      </w:tr>
      <w:tr>
        <w:trPr>
          <w:trHeight w:val="187"/>
        </w:trPr>
        <w:tc>
          <w:tcPr>
            <w:tcW w:w="814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4"/>
                <w:szCs w:val="14"/>
                <w:color w:val="auto"/>
              </w:rPr>
              <w:t xml:space="preserve">Double E </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281,640</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Ohio Gathering</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225,037</w:t>
            </w: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486,434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120" w:hanging="115"/>
        <w:spacing w:after="0"/>
        <w:tabs>
          <w:tab w:leader="none" w:pos="120" w:val="left"/>
        </w:tabs>
        <w:numPr>
          <w:ilvl w:val="0"/>
          <w:numId w:val="7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Partnership’s investment balance in Double E includes capitalized interest costs.</w:t>
      </w:r>
    </w:p>
    <w:p>
      <w:pPr>
        <w:spacing w:after="0" w:line="5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Double E. </w:t>
      </w:r>
      <w:r>
        <w:rPr>
          <w:rFonts w:ascii="Times New Roman" w:cs="Times New Roman" w:eastAsia="Times New Roman" w:hAnsi="Times New Roman"/>
          <w:sz w:val="14"/>
          <w:szCs w:val="14"/>
          <w:color w:val="auto"/>
        </w:rPr>
        <w:t>The Partnership, through its wholly owned subsidiary Summit Permian Transmission, LLC, has a 70% ownership in Double E Pipeline, LLC (“Double E”). Double E owns a long-haul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natural gas pipeline (the “Double E Pipeline”) that provides transportation service for residue natural gas from multiple receipt points in the Delaware Basin to various delivery points in and around the Waha hub in Texas. The Double E Pipeline commenced operations in November 2021 and during the years ended December 31, 2023 and 2022, the Partnership made cash investments of $3.5 million and $8.4 million, respectively, in Double E. During the year ended December 31, 2023, Double E made distributions to its investors totaling $28.3 million of which the Partnership received $19.8 million, of which all amounts were utilized for payment of interest and principal on the Permian Transmission Term Loan and distributions to the holders of the Subsidiary Series A Preferred Units.</w:t>
      </w:r>
    </w:p>
    <w:p>
      <w:pPr>
        <w:spacing w:after="0" w:line="7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Double E is deemed to be a variable interest entity as defined in GAAP. Summit Permian Transmission was not deemed to be the primary beneficiary of Double E due to the voting rights of Double E’s other owner regarding significant matters. The Partnership accounts for its ownership interest in Double E as an equity method investment because it has significant influence over Double 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balance sheet information for Double E follows (amounts represent 100% of investee financial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2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951"/>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4"/>
        </w:trPr>
        <w:tc>
          <w:tcPr>
            <w:tcW w:w="52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80" w:type="dxa"/>
            <w:vAlign w:val="bottom"/>
            <w:tcBorders>
              <w:bottom w:val="single" w:sz="8" w:color="auto"/>
            </w:tcBorders>
          </w:tcPr>
          <w:p>
            <w:pPr>
              <w:spacing w:after="0"/>
              <w:rPr>
                <w:sz w:val="13"/>
                <w:szCs w:val="13"/>
                <w:color w:val="auto"/>
              </w:rPr>
            </w:pPr>
          </w:p>
        </w:tc>
      </w:tr>
      <w:tr>
        <w:trPr>
          <w:trHeight w:val="17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0" w:type="dxa"/>
            <w:vAlign w:val="bottom"/>
            <w:shd w:val="clear" w:color="auto" w:fill="CCEEFF"/>
          </w:tcPr>
          <w:p>
            <w:pPr>
              <w:jc w:val="right"/>
              <w:ind w:right="20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18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391,777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403,594</w:t>
            </w: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0" w:type="dxa"/>
            <w:vAlign w:val="bottom"/>
            <w:tcBorders>
              <w:bottom w:val="single" w:sz="8" w:color="auto"/>
            </w:tcBorders>
            <w:shd w:val="clear" w:color="auto" w:fill="CCEEFF"/>
          </w:tcPr>
          <w:p>
            <w:pPr>
              <w:jc w:val="right"/>
              <w:ind w:right="20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403,187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408,715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0" w:type="dxa"/>
            <w:vAlign w:val="bottom"/>
            <w:shd w:val="clear" w:color="auto" w:fill="CCEEFF"/>
          </w:tcPr>
          <w:p>
            <w:pPr>
              <w:jc w:val="right"/>
              <w:ind w:right="20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w:t>
            </w:r>
          </w:p>
        </w:tc>
      </w:tr>
      <w:tr>
        <w:trPr>
          <w:trHeight w:val="18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13,727</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9,137</w:t>
            </w: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0" w:type="dxa"/>
            <w:vAlign w:val="bottom"/>
            <w:tcBorders>
              <w:bottom w:val="single" w:sz="8" w:color="auto"/>
            </w:tcBorders>
            <w:shd w:val="clear" w:color="auto" w:fill="CCEEFF"/>
          </w:tcPr>
          <w:p>
            <w:pPr>
              <w:jc w:val="right"/>
              <w:ind w:right="20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statements of operations information for Double E follows (amounts represent 100% of investee financial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238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30"/>
        </w:trPr>
        <w:tc>
          <w:tcPr>
            <w:tcW w:w="52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145"/>
        </w:trPr>
        <w:tc>
          <w:tcPr>
            <w:tcW w:w="5280" w:type="dxa"/>
            <w:vAlign w:val="bottom"/>
            <w:tcBorders>
              <w:bottom w:val="single" w:sz="8" w:color="CCEEFF"/>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40" w:type="dxa"/>
            <w:vAlign w:val="bottom"/>
            <w:tcBorders>
              <w:bottom w:val="single" w:sz="8" w:color="auto"/>
            </w:tcBorders>
          </w:tcPr>
          <w:p>
            <w:pPr>
              <w:spacing w:after="0"/>
              <w:rPr>
                <w:sz w:val="12"/>
                <w:szCs w:val="12"/>
                <w:color w:val="auto"/>
              </w:rPr>
            </w:pPr>
          </w:p>
        </w:tc>
      </w:tr>
      <w:tr>
        <w:trPr>
          <w:trHeight w:val="20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380" w:type="dxa"/>
            <w:vAlign w:val="bottom"/>
            <w:shd w:val="clear" w:color="auto" w:fill="CCEEFF"/>
          </w:tcPr>
          <w:p>
            <w:pPr>
              <w:jc w:val="right"/>
              <w:ind w:right="221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42,335</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32,418</w:t>
            </w: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3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26,868</w:t>
            </w:r>
          </w:p>
        </w:tc>
        <w:tc>
          <w:tcPr>
            <w:tcW w:w="5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380" w:type="dxa"/>
            <w:vAlign w:val="bottom"/>
            <w:shd w:val="clear" w:color="auto" w:fill="CCEEFF"/>
          </w:tcPr>
          <w:p>
            <w:pPr>
              <w:jc w:val="right"/>
              <w:ind w:right="221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15,467</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and 2022, the Partnership’s carrying amount of its interest in Double E approximated its underlying investment.</w:t>
      </w:r>
    </w:p>
    <w:p>
      <w:pPr>
        <w:spacing w:after="0" w:line="92"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Ohio Gathering. </w:t>
      </w:r>
      <w:r>
        <w:rPr>
          <w:rFonts w:ascii="Times New Roman" w:cs="Times New Roman" w:eastAsia="Times New Roman" w:hAnsi="Times New Roman"/>
          <w:sz w:val="14"/>
          <w:szCs w:val="14"/>
          <w:color w:val="auto"/>
        </w:rPr>
        <w:t>The Partnership has investments in OGC and OCC that are collectively referred to as Ohio Gathering. Ohio Gathering owns, operates and is currently developing midstream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 The Partnership made its initial investment in Ohio Gathering in 2014 and owned approximately 36.5% of OGC and approximately 38.2% of OCC at December 31, 2023 and approximately 37.2% of OGC and approximately 38.2% of OCC at December 31, 2022.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Ohio Gathering is accounted for as an equity method investment because it has joint control with non-affiliated owners, which gives the Partnership significant influence.</w:t>
      </w:r>
    </w:p>
    <w:p>
      <w:pPr>
        <w:spacing w:after="0" w:line="9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 reconciliation of the difference between the carrying amount of the Partnership’s interest in Ohio Gathering and the Partnership’s underlying investment in Ohio Gathering, per Ohio Gathering’s books and records, is shown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4"/>
        </w:trPr>
        <w:tc>
          <w:tcPr>
            <w:tcW w:w="8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Ohio Gathering, December 31</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210,213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225,037</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cash distributions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180"/>
        </w:trPr>
        <w:tc>
          <w:tcPr>
            <w:tcW w:w="83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Basis difference </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199,263</w:t>
            </w:r>
          </w:p>
        </w:tc>
      </w:tr>
      <w:tr>
        <w:trPr>
          <w:trHeight w:val="17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Ohio Gathering (Books and records), November 30,</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404,763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426,973</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120" w:hanging="115"/>
        <w:spacing w:after="0"/>
        <w:tabs>
          <w:tab w:leader="none" w:pos="120" w:val="left"/>
        </w:tabs>
        <w:numPr>
          <w:ilvl w:val="0"/>
          <w:numId w:val="7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Amount consists of differences created as a result of equity method impairment charges previously recognized which are being amortized over the remaining average life of the underlying assets.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balance sheet information for OGC and OCC follows (amounts represent 100% of investee financial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November 30, 2023</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November 30, 2022</w:t>
            </w:r>
          </w:p>
        </w:tc>
        <w:tc>
          <w:tcPr>
            <w:tcW w:w="920" w:type="dxa"/>
            <w:vAlign w:val="bottom"/>
            <w:tcBorders>
              <w:bottom w:val="single" w:sz="8" w:color="auto"/>
            </w:tcBorders>
          </w:tcPr>
          <w:p>
            <w:pPr>
              <w:spacing w:after="0"/>
              <w:rPr>
                <w:sz w:val="13"/>
                <w:szCs w:val="13"/>
                <w:color w:val="auto"/>
              </w:rPr>
            </w:pPr>
          </w:p>
        </w:tc>
      </w:tr>
      <w:tr>
        <w:trPr>
          <w:trHeight w:val="154"/>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OGC</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OCC</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OGC</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OCC</w:t>
            </w:r>
          </w:p>
        </w:tc>
      </w:tr>
      <w:tr>
        <w:trPr>
          <w:trHeight w:val="15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1,131,503</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1,157,530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1,174,219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1,193,592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20,262</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statements of operations information for OGC and OCC follows (amounts represent 100% of investee financial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60" w:type="dxa"/>
            <w:vAlign w:val="bottom"/>
            <w:gridSpan w:val="2"/>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Twelve Months Ended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gridSpan w:val="2"/>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Twelve Months Ended</w:t>
            </w:r>
          </w:p>
        </w:tc>
        <w:tc>
          <w:tcPr>
            <w:tcW w:w="880" w:type="dxa"/>
            <w:vAlign w:val="bottom"/>
          </w:tcPr>
          <w:p>
            <w:pPr>
              <w:spacing w:after="0"/>
              <w:rPr>
                <w:sz w:val="11"/>
                <w:szCs w:val="11"/>
                <w:color w:val="auto"/>
              </w:rPr>
            </w:pPr>
          </w:p>
        </w:tc>
      </w:tr>
      <w:tr>
        <w:trPr>
          <w:trHeight w:val="149"/>
        </w:trPr>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gridSpan w:val="2"/>
          </w:tcPr>
          <w:p>
            <w:pPr>
              <w:jc w:val="center"/>
              <w:ind w:right="276"/>
              <w:spacing w:after="0"/>
              <w:rPr>
                <w:sz w:val="20"/>
                <w:szCs w:val="20"/>
                <w:color w:val="auto"/>
              </w:rPr>
            </w:pPr>
            <w:r>
              <w:rPr>
                <w:rFonts w:ascii="Times New Roman" w:cs="Times New Roman" w:eastAsia="Times New Roman" w:hAnsi="Times New Roman"/>
                <w:sz w:val="11"/>
                <w:szCs w:val="11"/>
                <w:b w:val="1"/>
                <w:bCs w:val="1"/>
                <w:color w:val="auto"/>
              </w:rPr>
              <w:t>November 30, 2023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November 30, 2022</w:t>
            </w:r>
          </w:p>
        </w:tc>
        <w:tc>
          <w:tcPr>
            <w:tcW w:w="880" w:type="dxa"/>
            <w:vAlign w:val="bottom"/>
          </w:tcPr>
          <w:p>
            <w:pPr>
              <w:spacing w:after="0"/>
              <w:rPr>
                <w:sz w:val="12"/>
                <w:szCs w:val="12"/>
                <w:color w:val="auto"/>
              </w:rPr>
            </w:pPr>
          </w:p>
        </w:tc>
      </w:tr>
      <w:tr>
        <w:trPr>
          <w:trHeight w:val="30"/>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5"/>
        </w:trPr>
        <w:tc>
          <w:tcPr>
            <w:tcW w:w="526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OGC</w:t>
            </w: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OCC</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OGC</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OCC</w:t>
            </w:r>
          </w:p>
        </w:tc>
      </w:tr>
      <w:tr>
        <w:trPr>
          <w:trHeight w:val="150"/>
        </w:trPr>
        <w:tc>
          <w:tcPr>
            <w:tcW w:w="5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138,707</w:t>
            </w:r>
          </w:p>
        </w:tc>
        <w:tc>
          <w:tcPr>
            <w:tcW w:w="98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113,317</w:t>
            </w:r>
          </w:p>
        </w:tc>
        <w:tc>
          <w:tcPr>
            <w:tcW w:w="6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w:t>
            </w: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99,770</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106,369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38,937</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6,948</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DEFERRED REVENUE</w:t>
      </w:r>
    </w:p>
    <w:p>
      <w:pPr>
        <w:spacing w:after="0" w:line="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balances in deferred revenue as of December 31, 2023 and 2022 are primarily related to contributions in aid of construction which will be recognized as revenue over the life of the contract. An update of current deferred revenue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deferred revenue, January 1, 2023</w:t>
            </w:r>
          </w:p>
        </w:tc>
        <w:tc>
          <w:tcPr>
            <w:tcW w:w="55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w:t>
            </w:r>
          </w:p>
        </w:tc>
        <w:tc>
          <w:tcPr>
            <w:tcW w:w="0" w:type="dxa"/>
            <w:vAlign w:val="bottom"/>
          </w:tcPr>
          <w:p>
            <w:pPr>
              <w:spacing w:after="0"/>
              <w:rPr>
                <w:sz w:val="1"/>
                <w:szCs w:val="1"/>
                <w:color w:val="auto"/>
              </w:rPr>
            </w:pPr>
          </w:p>
        </w:tc>
      </w:tr>
      <w:tr>
        <w:trPr>
          <w:trHeight w:val="18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revenue recognized and other</w:t>
            </w:r>
          </w:p>
        </w:tc>
        <w:tc>
          <w:tcPr>
            <w:tcW w:w="53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deferred revenue, December 31, 2023</w:t>
            </w:r>
          </w:p>
        </w:tc>
        <w:tc>
          <w:tcPr>
            <w:tcW w:w="53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 update of noncurrent deferred revenue follows.</w:t>
            </w: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00" w:type="dxa"/>
            <w:vAlign w:val="bottom"/>
            <w:vMerge w:val="continue"/>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50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9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deferred revenue, January 1, 2023</w:t>
            </w:r>
          </w:p>
        </w:tc>
        <w:tc>
          <w:tcPr>
            <w:tcW w:w="55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37,694</w:t>
            </w:r>
          </w:p>
        </w:tc>
        <w:tc>
          <w:tcPr>
            <w:tcW w:w="0" w:type="dxa"/>
            <w:vAlign w:val="bottom"/>
          </w:tcPr>
          <w:p>
            <w:pPr>
              <w:spacing w:after="0"/>
              <w:rPr>
                <w:sz w:val="1"/>
                <w:szCs w:val="1"/>
                <w:color w:val="auto"/>
              </w:rPr>
            </w:pPr>
          </w:p>
        </w:tc>
      </w:tr>
      <w:tr>
        <w:trPr>
          <w:trHeight w:val="18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reclassification to current deferred revenue and other</w:t>
            </w:r>
          </w:p>
        </w:tc>
        <w:tc>
          <w:tcPr>
            <w:tcW w:w="53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(10,560)</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deferred revenue, December 31, 2023</w:t>
            </w:r>
          </w:p>
        </w:tc>
        <w:tc>
          <w:tcPr>
            <w:tcW w:w="53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30,085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360" w:type="dxa"/>
            <w:vAlign w:val="bottom"/>
            <w:vMerge w:val="restart"/>
          </w:tcPr>
          <w:p>
            <w:pPr>
              <w:jc w:val="right"/>
              <w:ind w:right="4049"/>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5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5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Debt for the Partnership at December 31, 2023 and 2022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2"/>
                <w:szCs w:val="12"/>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4"/>
          </w:tcPr>
          <w:p>
            <w:pPr>
              <w:jc w:val="right"/>
              <w:ind w:right="105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ABL Facility</w:t>
            </w:r>
            <w:r>
              <w:rPr>
                <w:rFonts w:ascii="Times New Roman" w:cs="Times New Roman" w:eastAsia="Times New Roman" w:hAnsi="Times New Roman"/>
                <w:sz w:val="14"/>
                <w:szCs w:val="14"/>
                <w:color w:val="auto"/>
              </w:rPr>
              <w:t>: Summit Holdings’ asset based credit facility due May 1, 2026</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Permian Transmission Term Loan</w:t>
            </w:r>
            <w:r>
              <w:rPr>
                <w:rFonts w:ascii="Times New Roman" w:cs="Times New Roman" w:eastAsia="Times New Roman" w:hAnsi="Times New Roman"/>
                <w:sz w:val="14"/>
                <w:szCs w:val="14"/>
                <w:color w:val="auto"/>
              </w:rPr>
              <w:t>: Permian Transmission’ variable rate senior</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secured term loan due January 2028</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0" w:type="dxa"/>
            <w:vAlign w:val="bottom"/>
            <w:gridSpan w:val="2"/>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Notes</w:t>
            </w:r>
            <w:r>
              <w:rPr>
                <w:rFonts w:ascii="Times New Roman" w:cs="Times New Roman" w:eastAsia="Times New Roman" w:hAnsi="Times New Roman"/>
                <w:sz w:val="14"/>
                <w:szCs w:val="14"/>
                <w:color w:val="auto"/>
              </w:rPr>
              <w:t>: 12.00% senior unsecured notes due October 15, 2026</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Senior Notes</w:t>
            </w:r>
            <w:r>
              <w:rPr>
                <w:rFonts w:ascii="Times New Roman" w:cs="Times New Roman" w:eastAsia="Times New Roman" w:hAnsi="Times New Roman"/>
                <w:sz w:val="14"/>
                <w:szCs w:val="14"/>
                <w:color w:val="auto"/>
              </w:rPr>
              <w:t>: 5.75% senior unsecured notes due April 15, 2025</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259,463</w:t>
            </w:r>
          </w:p>
        </w:tc>
        <w:tc>
          <w:tcPr>
            <w:tcW w:w="0" w:type="dxa"/>
            <w:vAlign w:val="bottom"/>
          </w:tcPr>
          <w:p>
            <w:pPr>
              <w:spacing w:after="0"/>
              <w:rPr>
                <w:sz w:val="1"/>
                <w:szCs w:val="1"/>
                <w:color w:val="auto"/>
              </w:rPr>
            </w:pPr>
          </w:p>
        </w:tc>
      </w:tr>
      <w:tr>
        <w:trPr>
          <w:trHeight w:val="22"/>
        </w:trPr>
        <w:tc>
          <w:tcPr>
            <w:tcW w:w="320" w:type="dxa"/>
            <w:vAlign w:val="bottom"/>
            <w:gridSpan w:val="2"/>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Secured Notes</w:t>
            </w:r>
            <w:r>
              <w:rPr>
                <w:rFonts w:ascii="Times New Roman" w:cs="Times New Roman" w:eastAsia="Times New Roman" w:hAnsi="Times New Roman"/>
                <w:sz w:val="14"/>
                <w:szCs w:val="14"/>
                <w:color w:val="auto"/>
              </w:rPr>
              <w:t>: 8.50% senior second lien notes due October 15, 2026</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unamortized debt discount and debt issuance costs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300" w:type="dxa"/>
            <w:vAlign w:val="bottom"/>
            <w:tcBorders>
              <w:bottom w:val="single" w:sz="8" w:color="CCEEFF"/>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net of unamortized debt discount and debt issuance costs</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1,470,690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1,490,362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portion of Permian Transmission Term Loan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300" w:type="dxa"/>
            <w:vAlign w:val="bottom"/>
            <w:tcBorders>
              <w:bottom w:val="single" w:sz="8" w:color="CCEEFF"/>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The aggregate amount of Partnership’s debt maturing during each of the years after December 31, 2023 are as follows (in thousands):</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3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2024</w:t>
            </w:r>
          </w:p>
        </w:tc>
        <w:tc>
          <w:tcPr>
            <w:tcW w:w="8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2026</w:t>
            </w:r>
          </w:p>
        </w:tc>
        <w:tc>
          <w:tcPr>
            <w:tcW w:w="8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1,324,477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2027</w:t>
            </w:r>
          </w:p>
        </w:tc>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2028</w:t>
            </w:r>
          </w:p>
        </w:tc>
        <w:tc>
          <w:tcPr>
            <w:tcW w:w="8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debt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ABL Facility. </w:t>
      </w:r>
      <w:r>
        <w:rPr>
          <w:rFonts w:ascii="Times New Roman" w:cs="Times New Roman" w:eastAsia="Times New Roman" w:hAnsi="Times New Roman"/>
          <w:sz w:val="14"/>
          <w:szCs w:val="14"/>
          <w:color w:val="auto"/>
        </w:rPr>
        <w:t>On November 2, 2021, the Partnership, the Partnership’s subsidiary, Summit Holdings, and the subsidiaries of</w:t>
      </w:r>
    </w:p>
    <w:p>
      <w:pPr>
        <w:spacing w:after="0" w:line="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Summit Holdings party 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December 31, 2023, the most recent borrowing base determination of eligible assets totaled $723.2 million, an amount greater than the $400.0 million of aggregate lending commitments.</w:t>
      </w:r>
    </w:p>
    <w:p>
      <w:pPr>
        <w:spacing w:after="0" w:line="6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As of December 31, 2023, the applicable margin under the adjusted term SOFR borrowings was 3.25%, the interest rate was 8.71% and the unused portion of the ABL Facility totaled $82.7 million after giving effect to the issuance of $4.3 million in outstanding but undrawn irrevocable standby letters of credit.</w:t>
      </w:r>
    </w:p>
    <w:p>
      <w:pPr>
        <w:spacing w:after="0" w:line="3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On November 16, 2023, the Partnership amended the ABL Facility to, among other things, permit the 2023 Exchange Transactions, address springing borrowing base reserves in relation to the outstanding principal amount of the 2025 Senior Notes and amend the Interest Coverage Ratio (as defined in the ABL Agreement) covenant to 1.75x through the end of 2024 and 1.90x thereafter.</w:t>
      </w:r>
    </w:p>
    <w:p>
      <w:pPr>
        <w:spacing w:after="0" w:line="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Summit Holdings entered into that certain Loan and Security Agreement governing the ABL Facility (the “ABL Agreement”), dated as of November 2, 2021, by and among Summit Holdings, as borrower, the Partnership, the ABL Facility Subsidiary Guarantors, Bank of America, N.A., as agent, ING Capital LLC, Royal Bank of Canada and Regions Bank, as co-syndication agents, and Bank of America, N.A., ING Capital LLC, RBC Capital Markets and Regions Capital Markets, as joint lead arrangers and joint bookrunners.</w:t>
      </w:r>
    </w:p>
    <w:p>
      <w:pPr>
        <w:spacing w:after="0" w:line="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ABL Facility will mature on May 1, 2026; provided that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As of December 31, 2023, the outstanding balance of the 2025 Senior Notes was $49.8 million.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ABL Facility (together with certain Secured Bank Product Obligations (as defined in the ABL Agreement)) will be jointly and severally guaranteed, on a senior first-priority secured basis (subject to permitted liens), by the Partnership, Summit Holdings and each of the ABL Facility Subsidiary Guarantors.</w:t>
      </w:r>
    </w:p>
    <w:p>
      <w:pPr>
        <w:spacing w:after="0" w:line="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spacing w:after="0" w:line="45" w:lineRule="exact"/>
        <w:rPr>
          <w:sz w:val="20"/>
          <w:szCs w:val="20"/>
          <w:color w:val="auto"/>
        </w:rPr>
      </w:pPr>
    </w:p>
    <w:p>
      <w:pPr>
        <w:jc w:val="both"/>
        <w:ind w:right="480"/>
        <w:spacing w:after="0" w:line="248" w:lineRule="auto"/>
        <w:rPr>
          <w:sz w:val="20"/>
          <w:szCs w:val="20"/>
          <w:color w:val="auto"/>
        </w:rPr>
      </w:pPr>
      <w:r>
        <w:rPr>
          <w:rFonts w:ascii="Times New Roman" w:cs="Times New Roman" w:eastAsia="Times New Roman" w:hAnsi="Times New Roman"/>
          <w:sz w:val="14"/>
          <w:szCs w:val="14"/>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1.75:1.00 through the end of 2024 or less than 1.90:1.00 thereafter. As of December 31, 2023, the First Lien Net Leverage Ratio was 1.22:1.00 and the Interest Coverage Ratio was 1.93:1.00 and the Partnership was in compliance with the financial covenants of the ABL Facility.</w:t>
      </w:r>
    </w:p>
    <w:p>
      <w:pPr>
        <w:spacing w:after="0" w:line="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ABL Facility contains certain events of default customary for instruments of this type. In the case of an event of default arising from certain events of bankruptcy, insolvency or reorganization with respect to Summit Holdings, all outstanding Obligations (as defined in the ABL Agreement) will become due and payable immediately without further action or notice and all commitments under the ABL Facility will terminate.</w:t>
      </w:r>
    </w:p>
    <w:p>
      <w:pPr>
        <w:spacing w:after="0" w:line="5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Pursuant to the ABL Agreement, the Obligations (as defined in the ABL Agreement) are (or, subject to post-closing periods for certain types of collateral, will be) generally secured by a first priority lien on and security interest in (subject to permitted liens), subject to certain exclusions and limitations set forth in the ABL Agreement, (i) substantially all of the personal property of Summit Holdings and the ABL Facility Subsidiary Guarantors, (ii) all equity interests in Summit Holdings and certain other entities, all debt securities and certain rights related to the foregoing, in each case, owned by the Partnership, (iii) Closing Date Material Gathering Station Real Property and Closing Date Pipeline Material Gathering Station Real Property (each, as defined in the ABL Agreement) and certain other material real property interests (including improvements thereon) of Summit Holdings and the ABL Facility Subsidiary Guarantors as provided in the ABL Agreement and (iv) all proceeds of the foregoing collateral</w:t>
      </w:r>
      <w:r>
        <w:rPr>
          <w:rFonts w:ascii="Times New Roman" w:cs="Times New Roman" w:eastAsia="Times New Roman" w:hAnsi="Times New Roman"/>
          <w:sz w:val="14"/>
          <w:szCs w:val="14"/>
          <w:i w:val="1"/>
          <w:i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Intercreditor Agreement.</w:t>
      </w:r>
    </w:p>
    <w:p>
      <w:pPr>
        <w:spacing w:after="0" w:line="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November 2, 2021, in connection with the entry into the ABL Facility and issuance of the 2026 Secured Notes, Summit Holdings and the other guarantors party thereto entered into an Intercreditor Agreement (the “Intercreditor Agreement”) with Bank of America, N.A., as first lien representative and collateral agent for the initial first lien claimholders, Regions Bank, as second lien representative for the initial second lien claimholders and collateral agent for the initial second lien claimholders, establishing (i) a first-priority lien (subject to permitted liens) status for the liens on the collateral securing the ABL Facility and any additional first-lien indebtedness and (ii) a junior priority lien (subject to permitted liens) status for the liens on the collateral securing the 2026 Secured Notes and any additional second-lien indebtedness.</w:t>
      </w:r>
    </w:p>
    <w:p>
      <w:pPr>
        <w:spacing w:after="0" w:line="5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Permian Transmission Credit Facilities. </w:t>
      </w:r>
      <w:r>
        <w:rPr>
          <w:rFonts w:ascii="Times New Roman" w:cs="Times New Roman" w:eastAsia="Times New Roman" w:hAnsi="Times New Roman"/>
          <w:sz w:val="14"/>
          <w:szCs w:val="14"/>
          <w:color w:val="auto"/>
        </w:rPr>
        <w:t>On March 8, 2021 (the “Permian Closing Date”), the Partnership’s unrestricted subsidiary, Permian Transmission, entered into a Credit Agreement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allows for $175.0 million of senior secured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spacing w:after="0" w:line="5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On June 27, 2023, we amended the Permian Transmission Credit Facilities to, among other things, transition the LIBOR based interest rates under the Permian Transmission Credit Facilities to term SOFR.</w:t>
      </w:r>
    </w:p>
    <w:p>
      <w:pPr>
        <w:spacing w:after="0" w:line="2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As of December 31, 2023, the applicable margin under adjusted term SOFR borrowings was 2.475%, the interest rate was 7.79% and the unused portion of the Permian Transmission Credit Facilities totaled $4.5 million, subject to a commitment fee of 0.7% after giving effect to the issuance of $10.5 million in outstanding but undrawn irrevocable standby letters of credit. Summit Permian Transmission, LLC entered into interest rate hedges with notional amounts representing approximately 90% of the Permian Term Loan facility at a fixed SOFR rate of 1.23%. As of December 31, 2023, the Partnership was in compliance with the financial covenants of the Permian Transmission Credit Facilities.</w:t>
      </w:r>
    </w:p>
    <w:p>
      <w:pPr>
        <w:spacing w:after="0" w:line="5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Permian Transmission Term Loan. </w:t>
      </w:r>
      <w:r>
        <w:rPr>
          <w:rFonts w:ascii="Times New Roman" w:cs="Times New Roman" w:eastAsia="Times New Roman" w:hAnsi="Times New Roman"/>
          <w:sz w:val="14"/>
          <w:szCs w:val="14"/>
          <w:color w:val="auto"/>
        </w:rPr>
        <w:t>As described above, in January 2022, the Permian Term Loan Facility was converted into a Term Loan (the “Permian Transmission Term Loan”). The Permian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Transmission Term Loan is due January 2028. As of December 31, 2023, the applicable margin under adjusted term SOFR borrowings was 2.475% and the interest rate was 7.79%. As of December 31, 2023, the Partnership was in compliance with the financial covenants governing the Permian Transmission Term Loan.</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4"/>
          <w:szCs w:val="14"/>
          <w:color w:val="auto"/>
        </w:rPr>
        <w:t>In accordance with the terms of the Permian Transmission Term Loan, Permian Transmission is required to make mandatory principal repayments. Below is a summary of the remaining mandatory principal repayments as of December 31, 2023:</w:t>
      </w:r>
    </w:p>
    <w:tbl>
      <w:tblPr>
        <w:tblLayout w:type="fixed"/>
        <w:tblInd w:w="0" w:type="dxa"/>
        <w:tblCellMar>
          <w:top w:w="0" w:type="dxa"/>
          <w:left w:w="0" w:type="dxa"/>
          <w:bottom w:w="0" w:type="dxa"/>
          <w:right w:w="0" w:type="dxa"/>
        </w:tblCellMar>
      </w:tblPr>
      <w:tr>
        <w:trPr>
          <w:trHeight w:val="170"/>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2028</w:t>
            </w:r>
          </w:p>
        </w:tc>
      </w:tr>
      <w:tr>
        <w:trPr>
          <w:trHeight w:val="16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Amortizing principal repayments</w:t>
            </w: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144,846</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15,524</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16,580</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16,967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78,006</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2026 Secured Notes. </w:t>
      </w:r>
      <w:r>
        <w:rPr>
          <w:rFonts w:ascii="Times New Roman" w:cs="Times New Roman" w:eastAsia="Times New Roman" w:hAnsi="Times New Roman"/>
          <w:sz w:val="14"/>
          <w:szCs w:val="14"/>
          <w:color w:val="auto"/>
        </w:rPr>
        <w:t>In 2021, the Co-Issuers issued $700.0 million of 8.500% Senior Secured Second Lien Notes due 2026 (the “2026 Secured Notes”) to eligible purchasers pursuant to Rule 144A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Regulation S of the Securities Act, at a price of 98.5% of their face value. Additionally, in November 2022, in connection with the 2022 DJ Acquisitions, the Co-Issuers issued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$85.0 million of 2026 Secured Notes at a price of 99.26% of their face value. The 2026 Secured Notes will pay interest semi-annually on April 15 and October 15 of each year, commencing on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 2022, and are jointly and severally guaranteed, on a senior second-priority secured basis (subject to permitted liens), by the Partnership and each restricted subsidiary of the Partnership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Co-Issuers) that is an obligor under the ABL Agreement, or under the Co-Issuers’ 2025 Senior Notes on the issue date of the 2026 Secured Notes.</w:t>
      </w:r>
    </w:p>
    <w:p>
      <w:pPr>
        <w:spacing w:after="0" w:line="7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spacing w:after="0" w:line="5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Partnership used the net proceeds from the offering of the 2026 Secured Notes, together with cash on hand and borrowings under the ABL Facility, to repay in full all of Summit Holdings’ obligations under the Revolving Credit Facility.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2026 Secured Notes Indenture.</w:t>
      </w:r>
    </w:p>
    <w:p>
      <w:pPr>
        <w:spacing w:after="0" w:line="9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Co-Issuers issued the 2026 Secured Notes pursuant to an indenture (the “2026 Secured Notes Indenture”), dated as of November 2, 2021, by and among the Co-Issuers, the Partnership, any other Restricted Subsidiary (as defined in the 2026 Secured Notes Indenture) of the Partnership that provides a Notes Guarantee (as defined in the 2026 Secured Notes Indenture) and Regions Bank, as trustee (the “2026 Secured Notes Trustee”) and collateral agent, setting forth specific terms applicable to the 2026 Secured Notes.</w:t>
      </w:r>
    </w:p>
    <w:p>
      <w:pPr>
        <w:spacing w:after="0" w:line="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At any time prior to October 15, 2023, the Co-Issuers could have on any one or more occasions redeemed up to 35% of the aggregate principal amount of the 2026 Secured Notes (including any additional notes) issued under the 2026 Secured Notes Indenture at a redemption price of 108.5% of the principal amount of the 2026 Secured Notes, plus accrued and unpaid interest, if any, to, but not including, the redemption date, in an amount not greater than the net cash proceeds of certain equity offerings by the Partnership, provided that: (i) at least 65% of the initial aggregate principal amount of the 2026 Secured Notes (including any additional notes) remains outstanding immediately after the occurrence of such redemption (excluding notes held by the Partnership and its subsidiaries); and (ii) the redemption occurs within 180 days of the date of the closing of each such equity offering by the Partnership.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In certain circumstances, the Co-Issuers will be required to offer to purchase the 2026 Secured Notes with excess proceeds from asset sales, excess cash flow and upon the occurrence of certain change of control events.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2026 Secured Notes Indenture restricts the Partnership’s and its Restricted Subsidiaries’ ability and the ability of certain of their subsidiaries to: (i) incur additional debt or issue preferred stock;</w:t>
      </w:r>
    </w:p>
    <w:p>
      <w:pPr>
        <w:spacing w:after="0" w:line="14" w:lineRule="exact"/>
        <w:rPr>
          <w:sz w:val="20"/>
          <w:szCs w:val="20"/>
          <w:color w:val="auto"/>
        </w:rPr>
      </w:pPr>
    </w:p>
    <w:p>
      <w:pPr>
        <w:ind w:right="120" w:firstLine="5"/>
        <w:spacing w:after="0" w:line="236" w:lineRule="auto"/>
        <w:tabs>
          <w:tab w:leader="none" w:pos="20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distributions, repurchase equity or redeem junior lien, unsecured or subordinated debt; (iii) make payments on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 At any time when the 2026 Secured Notes are rated investment grade by at least two of Moody’s Investors Service, Inc., Standard &amp; Poor’s Ratings Services or Fitch Ratings, Inc., many of these covenants will terminate. As of December 31, 2023, the Partnership was in compliance with the financial covenants of the 2026 Secured Notes.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2026 Secured Notes Indenture contains certain events of default customary for instruments of this type.</w:t>
      </w:r>
    </w:p>
    <w:p>
      <w:pPr>
        <w:spacing w:after="0" w:line="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the case of an event of default arising from certain events of bankruptcy, insolvency or reorganization with respect to either Co-Issuer, the Partnership, and certain significant subsidiaries of the Partnership, all outstanding Notes will become due and payable immediately without further action or notice. If any other event of default occurs and is continuing, the 2026 Secured Notes Trustee or the holders of at least 25% in principal amount of the then outstanding Notes may declare all the 2026 Secured Notes to be due and payable immediately.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Collateral Agreement.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November 2, 2021, the Co-Issuers, as pledgors and grantors, entered into, in connection with the 2026 Secured Notes Indenture, a Collateral Agreement (Second Lien), with the Partnership, as a pledgor, each subsidiary guarantor listed therein and Regions Bank, as collateral agent (the “Collateral Agreement”). Pursuant to the Collateral Agreement and the 2026 Secured Notes Indenture, the obligations under the 2026 Secured Notes Indenture are (or, subject to post-closing periods for certain types of collateral, will be) generally secured by a second priority lien on and security interest in (subject to permitted liens) the assets of the Partnership, the Co-Issuers and the subsidiary guarantors securing their obligations under the ABL Facility (as described above under “ABL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Excess Cash Flow Offers to Purchase.</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Starting in the first quarter of 2023 with respect to the fiscal year ended 2022, and continuing annually through the fiscal year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spacing w:after="0" w:line="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The Partnership does not anticipate making offers to purchase in the designated amount for the fiscal year ended 2023, and, as a result, the interest rate on the 2026 Secured Notes will increase an incremental 50 basis points to 9.50% effective April 1, 2024, resulting in an incremental increase in annual interest expense of approximately $3.9 million.</w:t>
      </w:r>
    </w:p>
    <w:p>
      <w:pPr>
        <w:spacing w:after="0" w:line="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spacing w:after="0" w:line="3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2026 Unsecured Notes. </w:t>
      </w:r>
      <w:r>
        <w:rPr>
          <w:rFonts w:ascii="Times New Roman" w:cs="Times New Roman" w:eastAsia="Times New Roman" w:hAnsi="Times New Roman"/>
          <w:sz w:val="14"/>
          <w:szCs w:val="14"/>
          <w:color w:val="auto"/>
        </w:rPr>
        <w:t>In November 2023, the Co-Issuers issued a total of $209.5 million aggregate principal amount of 2026 Unsecured Notes in exchange for $180.0 million aggregate principal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 of the 2025 Senior Notes and $29.5 million in cash. The cash raised was used to repurchase $29.7 million aggregate principal amount of the remaining 2025 Senior Notes that were not exchanged. The Partnership pays interest on the 2026 Unsecured Notes semi-annually in cash in arrears on April 15 and October 15 of each year. The 2026 Unsecured Notes are senior, unsecured obligations and rank equally in right of payment with all of the Partnership’s existing and future senior obligations. The 2026 Unsecured Notes are effectively subordinated in right of payment to all of the Partnership’s secured indebtedness, to the extent of the collateral securing such indebtedness.</w:t>
      </w:r>
    </w:p>
    <w:p>
      <w:pPr>
        <w:spacing w:after="0" w:line="5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Co-Issuers have the right to redeem all or part of the 2026 Unsecured Notes at a redemption price of (a) on or before April 15, 2025, 101.000%, and (b) after April 15, 2025, 102.000%, plus accrued and unpaid interest, if any, to, but not including, the redemption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December 31, 2023, the Partnership was in compliance with the financial covenants of the 2026 Unsecured Notes. The 2026 Unsecured Notes will mature on October 15,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2026 Unsecured Notes Indenture.</w:t>
      </w:r>
    </w:p>
    <w:p>
      <w:pPr>
        <w:spacing w:after="0" w:line="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Co-Issuers issued the 2026 Secured Notes pursuant to an indenture (the “2026 Unsecured Notes Indenture”), dated as of November 21, 2023, by and among the Co-Issuers, the guarantors party thereto and Regions Bank, as trustee (the “2026 Unsecured Notes Trustee”), setting forth specific terms applicable to the 2026 Unsecured Notes.</w:t>
      </w:r>
    </w:p>
    <w:p>
      <w:pPr>
        <w:spacing w:after="0" w:line="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indenture governing the 2026 Unsecured Notes restricts the Partnership’s and the Co-Issuers’ ability and the ability of certain of their subsidiaries to: (i) incur additional debt or issue preferred stock; (ii) make distributions, repurchase equity or redeem subordinated debt; (iii) make payments on subordinated indebtedness; (iv) create liens or other encumbrances; (v) make investments, loans or other guarantees; (vi) sell or otherwise dispose of a portion of their assets; (vii) engage in transactions with affiliates; and (viii) make acquisitions or merge or consolidate with another entity. These covenants are subject both to a number of important exceptions and qualifications. At any time when the 2026 Unsecured Notes are rated investment grade by Moody’s Investors Service, Inc. and Standard &amp; Poor’s Ratings Services and no Default or Event of Default (each as defined in the indenture governing the 2026 Unsecured Notes) has occurred and is continuing, many of these covenants will terminate.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09" w:right="33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indenture governing the 2026 Unsecured Notes provides that each of the following is an Event of Default: (i) default for 30 days in the payment when due of interest on the 2026 Unsecured Notes; (ii) default in payment when due of the principal of, or premium, if any, on the 2026 Unsecured Notes; (iii) failure by the Co-Issuers or the Partnership to comply with certain covenants relating to merger, consolidation, sale of assets, change of control or asset sales; (iv) failure by the Partnership for 180 days after notice to comply with certain covenants relating to the filing of annual, quarterly and current reports with the SEC; (v) failure by the Co-Issuers or the Partnership for 30 days after notice to comply with any of the other agreements in the indenture governing the 2026 Unsecured Notes; (vi) default under any mortgage, indenture or instrument under which there may be issued or by which there may be secured or evidenced any indebtedness for money borrowed by the Partnership or any of its restricted subsidiaries (or the payment of which is guaranteed by the Partnership or any of its restricted subsidiaries) if that default: (a) is caused by a failure to pay principal of, or interest or premium, if any, on such indebtedness prior to the expiration of the grace period provided in such indebtedness (a “Payment Default”); or (b) results in the acceleration of such indebtedness prior to its stated maturity, and, in each case, the principal amount of any such indebtedness, together with the principal amount of any other such indebtedness under which there has been a Payment Default or the maturity of which has been so accelerated, aggregates $75.0 million or more; (vii) failure by the Partnership or any of its restricted subsidiaries to pay final judgments aggregating in excess of $75.0 million, which judgments are not paid, discharged or stayed for a period of 60 days; (viii) except as permitted by the indenture governing the 2026 Unsecured Notes, any guarantee shall be held in any judicial proceeding to be unenforceable or invalid or shall cease for any reason to be in full force and effect or any Guarantor, or any person acting on behalf of any Guarantor, shall deny or disaffirm its obligations under its guarantee of the 2026 Unsecured Notes; and (ix) certain events of bankruptcy, insolvency or reorganization described in the indenture governing the 2026 Unsecured Notes with respect to the Co-Issuers, the Partnership or any of the Partnership’s restricted subsidiaries that is a significant subsidiary or any group of the Partnership’s restricted subsidiaries that, taken as a whole, would constitute a significant subsidiary of the Partnership.</w:t>
      </w:r>
    </w:p>
    <w:p>
      <w:pPr>
        <w:spacing w:after="0" w:line="6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the case of an Event of Default arising from certain events of bankruptcy, insolvency or reorganization with respect to either Co-Issuer, the Partnership, any of the Partnership’s restricted subsidiaries that is a significant subsidiary or any group of the Partnership’s restricted subsidiaries that, taken as a whole, would constitute a significant subsidiary, all outstanding 2026 Unsecured Notes will become due and payable immediately without further action or notice. If any other Event of Default occurs and is continuing, the 2026 Unsecured Notes Trustee or the holders of at least 25% in principal amount of the then outstanding 2026 Unsecured Notes may declare all the 2026 Unsecured Notes to be due and payable immediately.</w:t>
      </w:r>
    </w:p>
    <w:p>
      <w:pPr>
        <w:spacing w:after="0" w:line="5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2025 Senior Notes. </w:t>
      </w:r>
      <w:r>
        <w:rPr>
          <w:rFonts w:ascii="Times New Roman" w:cs="Times New Roman" w:eastAsia="Times New Roman" w:hAnsi="Times New Roman"/>
          <w:sz w:val="14"/>
          <w:szCs w:val="14"/>
          <w:color w:val="auto"/>
        </w:rPr>
        <w:t>In February 2017, the Co-Issuers co-issued the 2025 Senior Notes. The Partnership pays interest on the 2025 Senior Notes semi-annually in cash in arrears on April 15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Co-Issuers have the right to redeem all or part of the 2025 Senior Notes at a redemption price of 100.00%, plus accrued and unpaid interest, if any, to, but not including, the redemption date.</w:t>
      </w:r>
    </w:p>
    <w:p>
      <w:pPr>
        <w:spacing w:after="0" w:line="8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As discussed above, in November, 2023, the Partnership exchanged $180.0 million aggregate principal amount of the 2025 Senior Notes and repurchased $29.7 million aggregate principal amount of the remaining 2025 Senior Notes that were not exchanged. As of December 31, 2023, the outstanding balance of the 2025 Senior Notes was $49.8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Partnership was in compliance with the financial covenants of the 2025 Senior Notes. The 2025 Senior Notes will mature on April 15,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9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 Matters. </w:t>
      </w:r>
      <w:r>
        <w:rPr>
          <w:rFonts w:ascii="Times New Roman" w:cs="Times New Roman" w:eastAsia="Times New Roman" w:hAnsi="Times New Roman"/>
          <w:sz w:val="14"/>
          <w:szCs w:val="14"/>
          <w:color w:val="auto"/>
        </w:rPr>
        <w:t>Although the Partnership believes that it is in material compliance with applicable environmental regulations, the risk of environmental remediation costs and liabilities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December 31, 2023, the Partnership has recognized (i) a current liability for remediation effort expenditures expected to be incurred within the next 12 months and (ii) a noncurrent liability for estimated remediation expenditures expected to be incurred subsequent to December 31, 2024. Each of these amounts represent the Partnership’s best estimate for costs expected to be incurred. Neither of these amounts have been discounted to their present value.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9" w:name="page120"/>
    <w:bookmarkEnd w:id="11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An update of the Partnership’s undiscounted accrued environmental remediation is as follows and is primarily related to the 2015 Blacktail Release and other environmental remediation activities, as described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2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Accrued environmental remediation, December 31, 2021</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w:t>
            </w:r>
          </w:p>
        </w:tc>
      </w:tr>
      <w:tr>
        <w:trPr>
          <w:trHeight w:val="212"/>
        </w:trPr>
        <w:tc>
          <w:tcPr>
            <w:tcW w:w="9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made</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accruals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203"/>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Accrued environmental remediation, December 31, 2022</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made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12"/>
        </w:trPr>
        <w:tc>
          <w:tcPr>
            <w:tcW w:w="9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Changes in estimates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2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Accrued environmental remediation, December 31, 2023</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December 31, 2023 and 2022, the accrued loss liability for the 2015 Blacktail Release was $21.7 million and $28.3 million, respectively, and are recorded within Other noncurrent liabilities and Accrued settlements payable within the consolidated balance sheets.</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Key terms of the Global Settlement included (i) payment of penalties and fines totaling $36.3 million, consisting of $1.25 million in natural resource damages payable to federal and state governments, a $25.0 million payable to the federal government over five years, and a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subsidiary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did not materially affect the Partnership’s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we have responded, and in which proceeding no further developments have occurred.</w:t>
      </w:r>
    </w:p>
    <w:p>
      <w:pPr>
        <w:spacing w:after="0" w:line="62"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Legal Proceedings. </w:t>
      </w:r>
      <w:r>
        <w:rPr>
          <w:rFonts w:ascii="Times New Roman" w:cs="Times New Roman" w:eastAsia="Times New Roman" w:hAnsi="Times New Roman"/>
          <w:sz w:val="14"/>
          <w:szCs w:val="14"/>
          <w:color w:val="auto"/>
        </w:rPr>
        <w:t>The Partnership is involved in various litigation and administrative proceedings arising in the ordinary course of business. In the opinion of management, any liabilities,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 insured claims, would not individually or in the aggregate have a material adverse effect on the Partnership's financial position or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FINANCIAL INSTRUMENTS</w:t>
      </w:r>
    </w:p>
    <w:p>
      <w:pPr>
        <w:spacing w:after="0" w:line="94"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Concentrations of Credit Risk. </w:t>
      </w:r>
      <w:r>
        <w:rPr>
          <w:rFonts w:ascii="Times New Roman" w:cs="Times New Roman" w:eastAsia="Times New Roman" w:hAnsi="Times New Roman"/>
          <w:sz w:val="14"/>
          <w:szCs w:val="14"/>
          <w:color w:val="auto"/>
        </w:rPr>
        <w:t>Financial instruments that potentially subject the Partnership to concentrations of credit risk consist of cash and cash equivalents, restricted cash and accounts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receivable. The Partnership maintains its cash and cash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equivalents and restricted cash in bank deposit accounts that frequently exceed federally insured limits. The Partnership has not experienced any losses in such accounts and does not believe it is exposed to any significant risk.</w:t>
      </w:r>
    </w:p>
    <w:p>
      <w:pPr>
        <w:spacing w:after="0" w:line="39"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Accounts receivable primarily comprise amounts due for the gathering, compression, treating and processing services the Partnership provides to its customers and also the sale of natural gas liquids resulting from its processing services. This industry concentration has the potential to impact its overall exposure to credit risk, either positively or negatively, in that the Partnership’s customers may be similarly affected by changes in economic, industry or other conditions. The Partnership monitors the creditworthiness of its counterparties and can require letters of credit or other forms of credit assurance for receivables from counterparties that are judged to have substandard credit, unless the credit risk can otherwise be mitigated.</w:t>
      </w:r>
    </w:p>
    <w:p>
      <w:pPr>
        <w:spacing w:after="0" w:line="54"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w:t>
      </w:r>
      <w:r>
        <w:rPr>
          <w:rFonts w:ascii="Times New Roman" w:cs="Times New Roman" w:eastAsia="Times New Roman" w:hAnsi="Times New Roman"/>
          <w:sz w:val="14"/>
          <w:szCs w:val="14"/>
          <w:color w:val="auto"/>
        </w:rPr>
        <w:t>The carrying amount of cash and cash equivalents, restricted cash, accounts receivable and trade accounts payable reported on the consolidated balance sheet approximates fair value due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their short-term maturities.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estimated fair value of the Partnership’s debt financial instruments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520" w:type="dxa"/>
            <w:vAlign w:val="bottom"/>
          </w:tcPr>
          <w:p>
            <w:pPr>
              <w:spacing w:after="0"/>
              <w:rPr>
                <w:sz w:val="12"/>
                <w:szCs w:val="12"/>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400" w:type="dxa"/>
            <w:vAlign w:val="bottom"/>
          </w:tcPr>
          <w:p>
            <w:pPr>
              <w:spacing w:after="0"/>
              <w:rPr>
                <w:sz w:val="12"/>
                <w:szCs w:val="12"/>
                <w:color w:val="auto"/>
              </w:rPr>
            </w:pPr>
          </w:p>
        </w:tc>
        <w:tc>
          <w:tcPr>
            <w:tcW w:w="10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520" w:type="dxa"/>
            <w:vAlign w:val="bottom"/>
          </w:tcPr>
          <w:p>
            <w:pPr>
              <w:spacing w:after="0"/>
              <w:rPr>
                <w:sz w:val="12"/>
                <w:szCs w:val="12"/>
                <w:color w:val="auto"/>
              </w:rPr>
            </w:pPr>
          </w:p>
        </w:tc>
        <w:tc>
          <w:tcPr>
            <w:tcW w:w="980" w:type="dxa"/>
            <w:vAlign w:val="bottom"/>
          </w:tcPr>
          <w:p>
            <w:pPr>
              <w:jc w:val="center"/>
              <w:ind w:right="376"/>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jc w:val="center"/>
              <w:ind w:right="37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(1)</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xml:space="preserve">Value </w:t>
            </w:r>
            <w:r>
              <w:rPr>
                <w:rFonts w:ascii="Times New Roman" w:cs="Times New Roman" w:eastAsia="Times New Roman" w:hAnsi="Times New Roman"/>
                <w:sz w:val="14"/>
                <w:szCs w:val="14"/>
                <w:b w:val="1"/>
                <w:bCs w:val="1"/>
                <w:color w:val="auto"/>
                <w:vertAlign w:val="superscript"/>
              </w:rPr>
              <w:t>(1)</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49,783</w:t>
            </w:r>
          </w:p>
        </w:tc>
        <w:tc>
          <w:tcPr>
            <w:tcW w:w="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259,463</w:t>
            </w:r>
          </w:p>
        </w:tc>
        <w:tc>
          <w:tcPr>
            <w:tcW w:w="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221,733</w:t>
            </w:r>
          </w:p>
        </w:tc>
        <w:tc>
          <w:tcPr>
            <w:tcW w:w="0" w:type="dxa"/>
            <w:vAlign w:val="bottom"/>
          </w:tcPr>
          <w:p>
            <w:pPr>
              <w:spacing w:after="0"/>
              <w:rPr>
                <w:sz w:val="1"/>
                <w:szCs w:val="1"/>
                <w:color w:val="auto"/>
              </w:rPr>
            </w:pP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Secured Notes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785,000</w:t>
            </w:r>
          </w:p>
        </w:tc>
        <w:tc>
          <w:tcPr>
            <w:tcW w:w="5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778,131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785,000</w:t>
            </w:r>
          </w:p>
        </w:tc>
        <w:tc>
          <w:tcPr>
            <w:tcW w:w="5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750,983</w:t>
            </w:r>
          </w:p>
        </w:tc>
        <w:tc>
          <w:tcPr>
            <w:tcW w:w="0" w:type="dxa"/>
            <w:vAlign w:val="bottom"/>
          </w:tcPr>
          <w:p>
            <w:pPr>
              <w:spacing w:after="0"/>
              <w:rPr>
                <w:sz w:val="1"/>
                <w:szCs w:val="1"/>
                <w:color w:val="auto"/>
              </w:rPr>
            </w:pPr>
          </w:p>
        </w:tc>
      </w:tr>
      <w:tr>
        <w:trPr>
          <w:trHeight w:val="18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Unsecured Notes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209,510</w:t>
            </w:r>
          </w:p>
        </w:tc>
        <w:tc>
          <w:tcPr>
            <w:tcW w:w="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203,225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0" w:hanging="95"/>
        <w:spacing w:after="0"/>
        <w:tabs>
          <w:tab w:leader="none" w:pos="100" w:val="left"/>
        </w:tabs>
        <w:numPr>
          <w:ilvl w:val="0"/>
          <w:numId w:val="7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Excludes applicable unamortized debt issuance costs and debt discounts.</w:t>
      </w:r>
    </w:p>
    <w:p>
      <w:pPr>
        <w:spacing w:after="0" w:line="7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carrying value on the balance sheets of the ABL Facility and Permian Transmission Term Loan represent their fair value due to its floating interest rate. The fair value for the 2026 Unsecured Notes, 2026 Secured Notes and 2025 Senior Notes is based on an average of nonbinding broker quotes as of December 31, 2023 and 2022. The use of different market assumptions or valuation methodologies may have a material effect on the estimated fair value of the Senior Notes.</w:t>
      </w:r>
    </w:p>
    <w:p>
      <w:pPr>
        <w:spacing w:after="0" w:line="4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Deferred earn-out. </w:t>
      </w:r>
      <w:r>
        <w:rPr>
          <w:rFonts w:ascii="Times New Roman" w:cs="Times New Roman" w:eastAsia="Times New Roman" w:hAnsi="Times New Roman"/>
          <w:sz w:val="14"/>
          <w:szCs w:val="14"/>
          <w:color w:val="auto"/>
        </w:rPr>
        <w:t>As a result of the acquisition of Sterling DJ, the Partnership assumed a deferred earn-out liability, which is remeasured each reporting period. As of December 31, 2023 and 2022,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estimated fair value of the deferred earn-out liability was $5.1 million and $5.2 million and was estimated using a discounted cash flow technique based on estimated future fresh water deliveries and appropriate discount rates, and the balances are recorded within other noncurrent liabilities on the consolidated balance sheets. Given the unobservable nature of the inputs, the fair value measurement of the deferred earn-out is deemed to use Level 3 inputs. The deferred earn-out sits within Centennial Water Pipelines LLC, one of the Partnership’s unrestricted subsidiaries.</w:t>
      </w:r>
    </w:p>
    <w:p>
      <w:pPr>
        <w:spacing w:after="0" w:line="5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color w:val="auto"/>
        </w:rPr>
        <w:t>In connection with the Permian Transmission Term Loan, formerly the Permian Transmission Credit Facilities, the Partnership entered into amortizing interest rate swap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agreements. As of December 31, 2023 and 2022, the outstanding notional amount of interest rate swaps was $130.4 million and $139.8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 During 2023, the Partnership amended its interest rate swap agreements to, among other things, replace its LIBOR based terms with a SOFR rate terms.</w:t>
      </w:r>
    </w:p>
    <w:p>
      <w:pPr>
        <w:spacing w:after="0" w:line="5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Partnership’s interest rate swap agreements had a fair value of $11.9 million and $15.2 million, respectively, and are recorded within other noncurrent assets within the consolidated balance sheets. The derivative instruments’ fair value are determined using level 2 inputs from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PARTNERS' CAPITAL AND MEZZANINE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Common Units. </w:t>
      </w:r>
      <w:r>
        <w:rPr>
          <w:rFonts w:ascii="Times New Roman" w:cs="Times New Roman" w:eastAsia="Times New Roman" w:hAnsi="Times New Roman"/>
          <w:sz w:val="14"/>
          <w:szCs w:val="14"/>
          <w:color w:val="auto"/>
        </w:rPr>
        <w:t>An update on the number of common units is as follows for the period from December 31, 2021 to December 31,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60" w:type="dxa"/>
            <w:vAlign w:val="bottom"/>
          </w:tcPr>
          <w:p>
            <w:pPr>
              <w:spacing w:after="0"/>
              <w:rPr>
                <w:sz w:val="12"/>
                <w:szCs w:val="12"/>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Common Units</w:t>
            </w:r>
          </w:p>
        </w:tc>
        <w:tc>
          <w:tcPr>
            <w:tcW w:w="0" w:type="dxa"/>
            <w:vAlign w:val="bottom"/>
          </w:tcPr>
          <w:p>
            <w:pPr>
              <w:spacing w:after="0"/>
              <w:rPr>
                <w:sz w:val="1"/>
                <w:szCs w:val="1"/>
                <w:color w:val="auto"/>
              </w:rPr>
            </w:pPr>
          </w:p>
        </w:tc>
      </w:tr>
      <w:tr>
        <w:trPr>
          <w:trHeight w:val="30"/>
        </w:trPr>
        <w:tc>
          <w:tcPr>
            <w:tcW w:w="9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86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7,169,834</w:t>
            </w:r>
          </w:p>
        </w:tc>
        <w:tc>
          <w:tcPr>
            <w:tcW w:w="0" w:type="dxa"/>
            <w:vAlign w:val="bottom"/>
          </w:tcPr>
          <w:p>
            <w:pPr>
              <w:spacing w:after="0"/>
              <w:rPr>
                <w:sz w:val="1"/>
                <w:szCs w:val="1"/>
                <w:color w:val="auto"/>
              </w:rPr>
            </w:pPr>
          </w:p>
        </w:tc>
      </w:tr>
      <w:tr>
        <w:trPr>
          <w:trHeight w:val="277"/>
        </w:trPr>
        <w:tc>
          <w:tcPr>
            <w:tcW w:w="9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 Preferred Exchange Offer, net of units withheld for taxes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2,853,875</w:t>
            </w:r>
          </w:p>
        </w:tc>
        <w:tc>
          <w:tcPr>
            <w:tcW w:w="0" w:type="dxa"/>
            <w:vAlign w:val="bottom"/>
          </w:tcPr>
          <w:p>
            <w:pPr>
              <w:spacing w:after="0"/>
              <w:rPr>
                <w:sz w:val="1"/>
                <w:szCs w:val="1"/>
                <w:color w:val="auto"/>
              </w:rPr>
            </w:pPr>
          </w:p>
        </w:tc>
      </w:tr>
      <w:tr>
        <w:trPr>
          <w:trHeight w:val="180"/>
        </w:trPr>
        <w:tc>
          <w:tcPr>
            <w:tcW w:w="9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Common units issued for SMLP LTIP, net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159,054</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10,182,763</w:t>
            </w:r>
          </w:p>
        </w:tc>
        <w:tc>
          <w:tcPr>
            <w:tcW w:w="0" w:type="dxa"/>
            <w:vAlign w:val="bottom"/>
          </w:tcPr>
          <w:p>
            <w:pPr>
              <w:spacing w:after="0"/>
              <w:rPr>
                <w:sz w:val="1"/>
                <w:szCs w:val="1"/>
                <w:color w:val="auto"/>
              </w:rPr>
            </w:pPr>
          </w:p>
        </w:tc>
      </w:tr>
      <w:tr>
        <w:trPr>
          <w:trHeight w:val="180"/>
        </w:trPr>
        <w:tc>
          <w:tcPr>
            <w:tcW w:w="9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Common units issued for SMLP LTIP, net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193,426</w:t>
            </w:r>
          </w:p>
        </w:tc>
        <w:tc>
          <w:tcPr>
            <w:tcW w:w="0" w:type="dxa"/>
            <w:vAlign w:val="bottom"/>
          </w:tcPr>
          <w:p>
            <w:pPr>
              <w:spacing w:after="0"/>
              <w:rPr>
                <w:sz w:val="1"/>
                <w:szCs w:val="1"/>
                <w:color w:val="auto"/>
              </w:rPr>
            </w:pP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10,376,189</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Series A Preferred Units. </w:t>
      </w:r>
      <w:r>
        <w:rPr>
          <w:rFonts w:ascii="Times New Roman" w:cs="Times New Roman" w:eastAsia="Times New Roman" w:hAnsi="Times New Roman"/>
          <w:sz w:val="14"/>
          <w:szCs w:val="14"/>
          <w:color w:val="auto"/>
        </w:rPr>
        <w:t>In November 2017, the Partnership issued 300,000 Series A Fixed-to-Floating Rate Cumulative Redeemable Perpetual Preferred Units (the “Series A Preferred Units”)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representing limited partner interests in the Partnership at a price to the public of $1,000 per unit.</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Series A Preferred Units rank senior to (i) common units representing limited partner interests in the Partnership and (ii) each other class or series of limited partner interests or other equity securities in the Partnership that may be established in the future that expressly ranks junior to the Series A Preferred Units as to the payment of distributions and amounts payable upon a liquidation event. The Series A Preferred Units rank equal in all respects with each class or series of limited partner interests or other equity securities in the Partnership that may be established in the future that is not expressly made senior or subordinated to the Series A Preferred Units as to the payment of distributions and amounts payable on a liquidation event. The Series A Preferred Units rank junior to</w:t>
      </w:r>
    </w:p>
    <w:p>
      <w:pPr>
        <w:spacing w:after="0" w:line="1" w:lineRule="exact"/>
        <w:rPr>
          <w:sz w:val="20"/>
          <w:szCs w:val="20"/>
          <w:color w:val="auto"/>
        </w:rPr>
      </w:pPr>
    </w:p>
    <w:p>
      <w:pPr>
        <w:ind w:right="80" w:firstLine="5"/>
        <w:spacing w:after="0" w:line="257" w:lineRule="auto"/>
        <w:tabs>
          <w:tab w:leader="none" w:pos="169"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Partnership’s existing and future indebtedness and other liabilities with respect to assets available to satisfy claims against the Partnership and (ii) each other class or series of limited partner interests or other equity securities in the Partnership established in the future that is expressly made senior to the Series A Preferred Units as to the payment of distributions and amounts payable upon a liquidation event. Income is allocated to the Series A Preferred Units in an amount equal to the earned distributions (whether these distributions are declared by the General Partner to be paid or not) for the respective reporting period.</w:t>
      </w:r>
    </w:p>
    <w:p>
      <w:pPr>
        <w:spacing w:after="0" w:line="6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5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 During the fourth quarter of 2023, distributions on the Series A Preferred Units began to accumulate at a rate equal to the three-month SOFR plus a spread of 7.69%. The floating rate established on December 15, 2023 for the period ending March 31, 2024 was 13.1%.</w:t>
      </w:r>
    </w:p>
    <w:p>
      <w:pPr>
        <w:spacing w:after="0" w:line="5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Partnership suspended its distributions to be paid to holders of its Series A Preferred Units, commencing with respect to the quarter ending March 31, 2020. As of December 31, 2023, the amount of accrued and unpaid distributions on the Series A Preferred Units was $33.0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rollforward of the number of outstanding Series A Preferred Units follows for the period from December 31, 2021 to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860" w:type="dxa"/>
            <w:vAlign w:val="bottom"/>
          </w:tcPr>
          <w:p>
            <w:pPr>
              <w:spacing w:after="0"/>
              <w:rPr>
                <w:sz w:val="11"/>
                <w:szCs w:val="11"/>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Series A</w:t>
            </w:r>
          </w:p>
        </w:tc>
      </w:tr>
      <w:tr>
        <w:trPr>
          <w:trHeight w:val="149"/>
        </w:trPr>
        <w:tc>
          <w:tcPr>
            <w:tcW w:w="9860" w:type="dxa"/>
            <w:vAlign w:val="bottom"/>
          </w:tcPr>
          <w:p>
            <w:pPr>
              <w:spacing w:after="0"/>
              <w:rPr>
                <w:sz w:val="12"/>
                <w:szCs w:val="12"/>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Preferred Units</w:t>
            </w:r>
          </w:p>
        </w:tc>
      </w:tr>
      <w:tr>
        <w:trPr>
          <w:trHeight w:val="40"/>
        </w:trPr>
        <w:tc>
          <w:tcPr>
            <w:tcW w:w="98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3"/>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143,447</w:t>
            </w:r>
          </w:p>
        </w:tc>
      </w:tr>
      <w:tr>
        <w:trPr>
          <w:trHeight w:val="212"/>
        </w:trPr>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2022 Preferred Exchange Offer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(77,939)</w:t>
            </w:r>
          </w:p>
        </w:tc>
      </w:tr>
      <w:tr>
        <w:trPr>
          <w:trHeight w:val="203"/>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65,508</w:t>
            </w:r>
          </w:p>
        </w:tc>
      </w:tr>
      <w:tr>
        <w:trPr>
          <w:trHeight w:val="212"/>
        </w:trPr>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2023 activity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65,508</w:t>
            </w:r>
          </w:p>
        </w:tc>
      </w:tr>
      <w:tr>
        <w:trPr>
          <w:trHeight w:val="20"/>
        </w:trPr>
        <w:tc>
          <w:tcPr>
            <w:tcW w:w="9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2022 Preferred Exchange Offer</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January 2022, the Partnership completed an offer to exchange its Series A Preferred Units for newly issued common units (the “2022 Preferred Exchange Offer”),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whereby it issued 2,853,875 SMLP common units, net of units withheld for withholding taxes, in exchange for 77,939 Series A Preferred Units. Upon the settlement of the 2022 Preferred Exchange Offer, the Partnership eliminated $92.6 million of the Series A Preferred Unit liquidation preference amount, inclusive of accrued distributions due as of the settlement date.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2" w:name="page123"/>
    <w:bookmarkEnd w:id="12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Subsidiary Series A Preferred Units. </w:t>
      </w:r>
      <w:r>
        <w:rPr>
          <w:rFonts w:ascii="Times New Roman" w:cs="Times New Roman" w:eastAsia="Times New Roman" w:hAnsi="Times New Roman"/>
          <w:sz w:val="14"/>
          <w:szCs w:val="14"/>
          <w:color w:val="auto"/>
        </w:rPr>
        <w:t>The Partnership has Subsidiary Series A Preferred Units that ranks senior to each other class or series of limited partner interests or other equity securities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partner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partner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spacing w:after="0" w:line="6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Distributions on the Subsidiary Series A Preferred Units are cumulative and compounding and are payable 21 days following the quarterly period ended March, June, September and December of each year (each, a “Series A Distribution Payment Date”) to holders of record as of the close of business on the first business day of the month of the applicable Series A Distribution Payment Date, in each case, when, as, and if declared by Permian Holdco out of legally available funds for such purpose.</w:t>
      </w:r>
    </w:p>
    <w:p>
      <w:pPr>
        <w:spacing w:after="0" w:line="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distribution rate for the Subsidiary Series A Preferred Units is 7.00% per annum of the $1,000 liquidation preference per Subsidiary Series A Preferred Unit. A pro-rated initial distribution on the Subsidiary Series A Preferred Units was Paid-in-kind (“PIK”) on January 21, 2020 in an amount equal to 7.00% per Subsidiary Series A Preferred Unit plus 1.00% per annum of the undrawn commitment units.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Subsidiary Series A Preferred Units are considered redeemable securities under GAAP due to the existence of certain redemption provisions that are outside of the Partnership’s control.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Therefore, the securities are classified as temporary equity in the mezzanine section of the consolidated balance sheets.</w:t>
      </w:r>
    </w:p>
    <w:p>
      <w:pPr>
        <w:spacing w:after="0" w:line="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Partnership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The Partnership also elected to make PIK distributions to holders of the Subsidiary Series A Preferred Units during portions of the year ended December 31, 2022, which increase the liquidation preference on each Subsidiary Series A Preferred Unit. Ultimately, Net Income (Loss) Attributable to common limited partners includes adjustments for PIK distributions and redemption accretion. During the year ended December 31, 2022, the Partnership issued 1,600 Subsidiary Series A Preferred Units, through PIK transactions. The Partnership did not make any PIK distributions during the year ended December 31, 2023. As of December 31, 2023 and 2022, the Partnership had 93,039 Subsidiary Series A Preferred Units outstanding.</w:t>
      </w:r>
    </w:p>
    <w:p>
      <w:pPr>
        <w:spacing w:after="0" w:line="6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If the Subsidiary Series A Preferred Units were redeemed on December 31, 2023, the redemption amount would be $125.5 million, when considering the applicable multiple of invested capital metric and make-whole amount provisions contained in the Amended and Restated Limited Liability Company Agreement of Permian Holdco.</w:t>
      </w:r>
    </w:p>
    <w:p>
      <w:pPr>
        <w:spacing w:after="0" w:line="3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following table shows the change in the Partnership’s Subsidiary Series A Preferred Unit balance from January 1, 2022 through December 31, 2023, net of $1.7 million and $2.2 million of unamortized issuance costs at December 31, 2023 and December 31, 2022,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22"/>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106,325</w:t>
            </w:r>
          </w:p>
        </w:tc>
      </w:tr>
      <w:tr>
        <w:trPr>
          <w:trHeight w:val="180"/>
        </w:trPr>
        <w:tc>
          <w:tcPr>
            <w:tcW w:w="9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PIK distributions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r>
      <w:tr>
        <w:trPr>
          <w:trHeight w:val="180"/>
        </w:trPr>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accretion, net of issuance cost amortization</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15,544</w:t>
            </w:r>
          </w:p>
        </w:tc>
      </w:tr>
      <w:tr>
        <w:trPr>
          <w:trHeight w:val="180"/>
        </w:trPr>
        <w:tc>
          <w:tcPr>
            <w:tcW w:w="9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Cash distribution (includes $1.6 million distributions payable as of December 31, 2022)</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w:t>
            </w:r>
          </w:p>
        </w:tc>
      </w:tr>
      <w:tr>
        <w:trPr>
          <w:trHeight w:val="192"/>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118,584</w:t>
            </w:r>
          </w:p>
        </w:tc>
      </w:tr>
      <w:tr>
        <w:trPr>
          <w:trHeight w:val="180"/>
        </w:trPr>
        <w:tc>
          <w:tcPr>
            <w:tcW w:w="9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accretion, net of issuance cost amortization</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12,581</w:t>
            </w:r>
          </w:p>
        </w:tc>
      </w:tr>
      <w:tr>
        <w:trPr>
          <w:trHeight w:val="180"/>
        </w:trPr>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distribution (includes $1.6 million distributions payable as of December 31, 2023)</w:t>
            </w: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171"/>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124,652</w:t>
            </w:r>
          </w:p>
        </w:tc>
      </w:tr>
      <w:tr>
        <w:trPr>
          <w:trHeight w:val="20"/>
        </w:trPr>
        <w:tc>
          <w:tcPr>
            <w:tcW w:w="9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Distribution Policy. </w:t>
      </w:r>
      <w:r>
        <w:rPr>
          <w:rFonts w:ascii="Times New Roman" w:cs="Times New Roman" w:eastAsia="Times New Roman" w:hAnsi="Times New Roman"/>
          <w:sz w:val="14"/>
          <w:szCs w:val="14"/>
          <w:color w:val="auto"/>
        </w:rPr>
        <w:t>The Partnership suspended its cash distributions to holders of its common units and Series A Preferred Units, commencing with respect to the quarter ending March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decision to make any distribution is determined by the General Partner, taking into consideration the terms of the Partnership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EARNINGS PER UNIT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components of EPU.</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 except per-unit amounts)</w:t>
            </w: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for basic and diluted EPU:</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Allocation of net loss among limited partner interests:</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2"/>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(123,461)</w:t>
            </w:r>
          </w:p>
        </w:tc>
      </w:tr>
      <w:tr>
        <w:trPr>
          <w:trHeight w:val="212"/>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attributable to Subsidiary Series A Preferred Units</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(17,144)</w:t>
            </w: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Summit Midstream Partners, LP</w:t>
            </w: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(140,605)</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Series A Preferred Unit</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Deemed capital contribution</w:t>
            </w:r>
          </w:p>
        </w:tc>
        <w:tc>
          <w:tcPr>
            <w:tcW w:w="8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20,974</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limited partners</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(127,679)</w:t>
            </w:r>
          </w:p>
        </w:tc>
      </w:tr>
      <w:tr>
        <w:trPr>
          <w:trHeight w:val="202"/>
        </w:trPr>
        <w:tc>
          <w:tcPr>
            <w:tcW w:w="8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for basic and diluted EPU:</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7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units outstanding – basic</w:t>
            </w:r>
          </w:p>
        </w:tc>
        <w:tc>
          <w:tcPr>
            <w:tcW w:w="8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10,048</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nonvested phantom units</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Weighted-average common units outstanding – diluted</w:t>
            </w:r>
          </w:p>
        </w:tc>
        <w:tc>
          <w:tcPr>
            <w:tcW w:w="8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8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limited partner unit:</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2"/>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unit – basic</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12"/>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unit – diluted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8"/>
                <w:szCs w:val="18"/>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02"/>
        </w:trPr>
        <w:tc>
          <w:tcPr>
            <w:tcW w:w="8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7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anti-dilutive phantom units excluded from the calculation of diluted EPU</w:t>
            </w:r>
          </w:p>
        </w:tc>
        <w:tc>
          <w:tcPr>
            <w:tcW w:w="8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530"/>
        </w:trPr>
        <w:tc>
          <w:tcPr>
            <w:tcW w:w="8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SUPPLEMENTAL CASH FLOW INFORMATION</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6"/>
        </w:trPr>
        <w:tc>
          <w:tcPr>
            <w:tcW w:w="83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interest paid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127,022</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89,472</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2"/>
        </w:trPr>
        <w:tc>
          <w:tcPr>
            <w:tcW w:w="8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 in trade accounts payable (period-end accruals)</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11,612</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Senior Notes Exchange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180,030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Subsidiary Series A Preferred Units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15,544</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acquired in connection with Sterling DJ acquisition</w:t>
            </w: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9,865</w:t>
            </w: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Preferred Exchange Offer</w:t>
            </w:r>
          </w:p>
        </w:tc>
        <w:tc>
          <w:tcPr>
            <w:tcW w:w="8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92,587</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UNIT-BASED AND NONCASH COMPENSATION</w:t>
      </w:r>
    </w:p>
    <w:p>
      <w:pPr>
        <w:spacing w:after="0" w:line="9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SMLP Long-Term Incentive Plan. </w:t>
      </w:r>
      <w:r>
        <w:rPr>
          <w:rFonts w:ascii="Times New Roman" w:cs="Times New Roman" w:eastAsia="Times New Roman" w:hAnsi="Times New Roman"/>
          <w:sz w:val="14"/>
          <w:szCs w:val="14"/>
          <w:color w:val="auto"/>
        </w:rPr>
        <w:t>The Partnership’s Long-Term Incentive Plan (“SMLP LTIP”) provides for equity awards to eligible officers, employees, consultants and directors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thereby linking the recipients' compensation directly to SMLP’s performance. The SMLP LTIP provides for the granting, from time to time, of unit-based awards, including common units, restricted units, phantom units, unit options, unit appreciation rights, distribution equivalent rights, profits interest units and other unit-based awards. Grants are made at the discretion of the Board of Directors or Compensation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Committee. Initially, a total of 1.0 million common units was reserved for issuance pursuant to and in accordance with the SMLP LTIP. On June 24, 2022 unitholders of the Partnership approved the Summit Midstream Partners, LP 2022 Long-Term Incentive Plan, which increased the number of common units available for issuance to the Partnership’s employees, consultants and directors. As of December 31, 2023, approximately 0.5 million common units remained available for future issuance under the SMLP LTIP, which includes the impact of 0.7 million granted but unvested phantom units.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items for the year ended December 31, 2023:</w:t>
      </w:r>
    </w:p>
    <w:p>
      <w:pPr>
        <w:spacing w:after="0" w:line="94" w:lineRule="exact"/>
        <w:rPr>
          <w:sz w:val="20"/>
          <w:szCs w:val="20"/>
          <w:color w:val="auto"/>
        </w:rPr>
      </w:pPr>
    </w:p>
    <w:p>
      <w:pPr>
        <w:ind w:left="520" w:right="340" w:hanging="260"/>
        <w:spacing w:after="0" w:line="287" w:lineRule="auto"/>
        <w:tabs>
          <w:tab w:leader="none" w:pos="516" w:val="left"/>
        </w:tabs>
        <w:numPr>
          <w:ilvl w:val="0"/>
          <w:numId w:val="7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For the year ended December 31, 2023, the Partnership granted 212,893 phantom units and associated distribution equivalent rights to employees. These awards granted during the year ended December 31, 2023 had a fair values of $16.00 per common unit and vest ratably over a three-year period.</w:t>
      </w:r>
    </w:p>
    <w:p>
      <w:pPr>
        <w:spacing w:after="0" w:line="39" w:lineRule="exact"/>
        <w:rPr>
          <w:rFonts w:ascii="Times New Roman" w:cs="Times New Roman" w:eastAsia="Times New Roman" w:hAnsi="Times New Roman"/>
          <w:sz w:val="14"/>
          <w:szCs w:val="14"/>
          <w:b w:val="1"/>
          <w:bCs w:val="1"/>
          <w:i w:val="1"/>
          <w:iCs w:val="1"/>
          <w:color w:val="auto"/>
        </w:rPr>
      </w:pPr>
    </w:p>
    <w:p>
      <w:pPr>
        <w:ind w:left="520" w:right="40" w:hanging="260"/>
        <w:spacing w:after="0" w:line="287" w:lineRule="auto"/>
        <w:tabs>
          <w:tab w:leader="none" w:pos="516" w:val="left"/>
        </w:tabs>
        <w:numPr>
          <w:ilvl w:val="0"/>
          <w:numId w:val="7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For the year ended December 31, 2023, the Partnership granted 110,478 performance-based phantom units and associated distribution equivalent rights to certain members of management in connection with the Partnership’s annual incentive compensation award cycle. The grant date fair value of these awards total $2.2 million.</w:t>
      </w:r>
    </w:p>
    <w:p>
      <w:pPr>
        <w:spacing w:after="0" w:line="39" w:lineRule="exact"/>
        <w:rPr>
          <w:rFonts w:ascii="Times New Roman" w:cs="Times New Roman" w:eastAsia="Times New Roman" w:hAnsi="Times New Roman"/>
          <w:sz w:val="14"/>
          <w:szCs w:val="14"/>
          <w:b w:val="1"/>
          <w:bCs w:val="1"/>
          <w:i w:val="1"/>
          <w:iCs w:val="1"/>
          <w:color w:val="auto"/>
        </w:rPr>
      </w:pPr>
    </w:p>
    <w:p>
      <w:pPr>
        <w:ind w:left="520" w:right="100" w:hanging="260"/>
        <w:spacing w:after="0" w:line="287" w:lineRule="auto"/>
        <w:tabs>
          <w:tab w:leader="none" w:pos="516" w:val="left"/>
        </w:tabs>
        <w:numPr>
          <w:ilvl w:val="0"/>
          <w:numId w:val="7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For the year ended December 31, 2023, the Partnership issued 38,100 common units to the Partnership’s six independent directors in connection with their annual compensation plan. These awards had a grant date fair value of $16.00 per common unit and vested immediately.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phantom unit activity for the periods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1"/>
                <w:szCs w:val="11"/>
                <w:color w:val="auto"/>
              </w:rPr>
            </w:pP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w w:val="95"/>
              </w:rPr>
              <w:t>Units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Weighted-average grant date</w:t>
            </w:r>
          </w:p>
        </w:tc>
        <w:tc>
          <w:tcPr>
            <w:tcW w:w="0" w:type="dxa"/>
            <w:vAlign w:val="bottom"/>
          </w:tcPr>
          <w:p>
            <w:pPr>
              <w:spacing w:after="0"/>
              <w:rPr>
                <w:sz w:val="1"/>
                <w:szCs w:val="1"/>
                <w:color w:val="auto"/>
              </w:rPr>
            </w:pPr>
          </w:p>
        </w:tc>
      </w:tr>
      <w:tr>
        <w:trPr>
          <w:trHeight w:val="154"/>
        </w:trPr>
        <w:tc>
          <w:tcPr>
            <w:tcW w:w="83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phantom units, December 31, 2021</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212"/>
        </w:trPr>
        <w:tc>
          <w:tcPr>
            <w:tcW w:w="9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Phantom units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Phantom units vested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(229,551)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0" w:type="dxa"/>
            <w:vAlign w:val="bottom"/>
          </w:tcPr>
          <w:p>
            <w:pPr>
              <w:spacing w:after="0"/>
              <w:rPr>
                <w:sz w:val="1"/>
                <w:szCs w:val="1"/>
                <w:color w:val="auto"/>
              </w:rPr>
            </w:pPr>
          </w:p>
        </w:tc>
      </w:tr>
      <w:tr>
        <w:trPr>
          <w:trHeight w:val="212"/>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Phantom units forfeited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20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phantom units, 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212"/>
        </w:trPr>
        <w:tc>
          <w:tcPr>
            <w:tcW w:w="9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Phantom units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0" w:type="dxa"/>
            <w:vAlign w:val="bottom"/>
          </w:tcPr>
          <w:p>
            <w:pPr>
              <w:spacing w:after="0"/>
              <w:rPr>
                <w:sz w:val="1"/>
                <w:szCs w:val="1"/>
                <w:color w:val="auto"/>
              </w:rPr>
            </w:pPr>
          </w:p>
        </w:tc>
      </w:tr>
      <w:tr>
        <w:trPr>
          <w:trHeight w:val="212"/>
        </w:trPr>
        <w:tc>
          <w:tcPr>
            <w:tcW w:w="9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Phantom units vested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(236,154)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212"/>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Phantom units forfeited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22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phantom units, December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688,467</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 phantom unit is a notional unit that entitles the grantee to receive a common unit upon the vesting of the phantom unit or on a deferred basis upon specified future dates or events or, in the discretion of the administrator, cash equal to the fair market value of a common unit. Distribution equivalent rights for each phantom unit provide for a lump sum cash amount equal to the accrued distributions from the grant date to be paid in cash upon the vesting date.</w:t>
      </w:r>
    </w:p>
    <w:p>
      <w:pPr>
        <w:spacing w:after="0" w:line="5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Phantom units granted to date generally vest ratably over a three-year period. Grant date fair value is determined based on the closing price of SMLP’s common units on the date of grant multiplied by the number of phantom units awarded to the grantee. Forfeitures are recorded as incurred. Holders of all phantom units granted to date are entitled to receive distribution equivalent rights for each phantom unit, providing for a lump sum cash amount equal to the accrued distributions from the grant date of the phantom units to be paid in cash upon the vesting date. Upon vesting, phantom unit awards may be settled, at the Partnership’s discretion, in cash and/or common units, but the current intention is to settle all phantom unit awards with common units.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intrinsic value of phantom units that vested during the years ended December 31, follows.</w:t>
      </w:r>
    </w:p>
    <w:p>
      <w:pPr>
        <w:spacing w:after="0" w:line="110"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8920"/>
        <w:spacing w:after="0"/>
        <w:tabs>
          <w:tab w:leader="none" w:pos="1044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37" w:lineRule="exact"/>
        <w:rPr>
          <w:sz w:val="20"/>
          <w:szCs w:val="20"/>
          <w:color w:val="auto"/>
        </w:rPr>
      </w:pPr>
    </w:p>
    <w:p>
      <w:pPr>
        <w:ind w:left="20"/>
        <w:spacing w:after="0"/>
        <w:tabs>
          <w:tab w:leader="none" w:pos="8320" w:val="left"/>
          <w:tab w:leader="none" w:pos="9360" w:val="left"/>
          <w:tab w:leader="none" w:pos="9840" w:val="left"/>
          <w:tab w:leader="none" w:pos="10880" w:val="left"/>
        </w:tabs>
        <w:rPr>
          <w:sz w:val="20"/>
          <w:szCs w:val="20"/>
          <w:color w:val="auto"/>
        </w:rPr>
      </w:pPr>
      <w:r>
        <w:rPr>
          <w:rFonts w:ascii="Times New Roman" w:cs="Times New Roman" w:eastAsia="Times New Roman" w:hAnsi="Times New Roman"/>
          <w:sz w:val="14"/>
          <w:szCs w:val="14"/>
          <w:color w:val="auto"/>
        </w:rPr>
        <w:t>Intrinsic value of vested LTIP awards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3,758</w:t>
        <w:tab/>
        <w:t>$</w:t>
      </w:r>
      <w:r>
        <w:rPr>
          <w:sz w:val="20"/>
          <w:szCs w:val="20"/>
          <w:color w:val="auto"/>
        </w:rPr>
        <w:tab/>
      </w:r>
      <w:r>
        <w:rPr>
          <w:rFonts w:ascii="Times New Roman" w:cs="Times New Roman" w:eastAsia="Times New Roman" w:hAnsi="Times New Roman"/>
          <w:sz w:val="14"/>
          <w:szCs w:val="14"/>
          <w:color w:val="auto"/>
        </w:rPr>
        <w:t>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unrecognized unit-based compensation related to the SMLP LTIP was $5.9 million. Incremental unit-based compensation will be recorded over the remaining weighted-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vesting period of approximately 0.98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Unit-based compensation recognized in general and administrative expense related to awards under the SMLP LTIP follows.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8920"/>
        <w:spacing w:after="0"/>
        <w:tabs>
          <w:tab w:leader="none" w:pos="1044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37" w:lineRule="exact"/>
        <w:rPr>
          <w:sz w:val="20"/>
          <w:szCs w:val="20"/>
          <w:color w:val="auto"/>
        </w:rPr>
      </w:pPr>
    </w:p>
    <w:p>
      <w:pPr>
        <w:ind w:left="20"/>
        <w:spacing w:after="0"/>
        <w:tabs>
          <w:tab w:leader="none" w:pos="8320" w:val="left"/>
          <w:tab w:leader="none" w:pos="9360" w:val="left"/>
          <w:tab w:leader="none" w:pos="9840" w:val="left"/>
          <w:tab w:leader="none" w:pos="10880" w:val="left"/>
        </w:tabs>
        <w:rPr>
          <w:sz w:val="20"/>
          <w:szCs w:val="20"/>
          <w:color w:val="auto"/>
        </w:rPr>
      </w:pPr>
      <w:r>
        <w:rPr>
          <w:rFonts w:ascii="Times New Roman" w:cs="Times New Roman" w:eastAsia="Times New Roman" w:hAnsi="Times New Roman"/>
          <w:sz w:val="14"/>
          <w:szCs w:val="14"/>
          <w:color w:val="auto"/>
        </w:rPr>
        <w:t>SMLP LTIP unit-based compensation</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6,566</w:t>
        <w:tab/>
        <w:t>$</w:t>
      </w:r>
      <w:r>
        <w:rPr>
          <w:sz w:val="20"/>
          <w:szCs w:val="20"/>
          <w:color w:val="auto"/>
        </w:rPr>
        <w:tab/>
      </w:r>
      <w:r>
        <w:rPr>
          <w:rFonts w:ascii="Times New Roman" w:cs="Times New Roman" w:eastAsia="Times New Roman" w:hAnsi="Times New Roman"/>
          <w:sz w:val="14"/>
          <w:szCs w:val="14"/>
          <w:color w:val="auto"/>
        </w:rPr>
        <w:t>3,778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LEASES</w:t>
      </w:r>
    </w:p>
    <w:p>
      <w:pPr>
        <w:spacing w:after="0" w:line="94"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Leases. </w:t>
      </w:r>
      <w:r>
        <w:rPr>
          <w:rFonts w:ascii="Times New Roman" w:cs="Times New Roman" w:eastAsia="Times New Roman" w:hAnsi="Times New Roman"/>
          <w:sz w:val="14"/>
          <w:szCs w:val="14"/>
          <w:color w:val="auto"/>
        </w:rPr>
        <w:t>The Partnership leases certain office space and equipment under operating leases. The Partnership leases office space for terms of between 3 and 10 years. Office space leases limit exposure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risks related to ownership, such as fluctuations in real estate prices. The Partnership leases equipment primarily to support its operations in response to the needs of its gathering systems for terms of between 3 and 4 years. The Partnership also leases vehicles under finance leases to support its operations in response to the needs of its gathering systems for a term of 3 years.</w:t>
      </w:r>
    </w:p>
    <w:p>
      <w:pPr>
        <w:spacing w:after="0" w:line="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Some of the Partnership’s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assumptions or judgments include the determination of whether a contract contains a lease and the discount rate used in the lease liabilities.</w:t>
      </w:r>
    </w:p>
    <w:p>
      <w:pPr>
        <w:spacing w:after="0" w:line="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rate implicit in the lease contracts are not readily determinable. In determining the discount rate used for lease liabilities, the Partnership analyzed certain factors in its incremental borrowing rate, including collateral assumptions and the term used. The Partnership’s incremental borrowing rate was 6.43% at December 31, 2023, which reflects the rate at which the Partnership could borrow a similar amount, for a similar term and with similar collateral as in the lease contracts at the commencement date.</w:t>
      </w:r>
    </w:p>
    <w:p>
      <w:pPr>
        <w:spacing w:after="0" w:line="5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ROU assets (included in the other noncurrent assets caption on the Partnership’s consolidated balance sheet) and lease liabilities (included in the Other current liabilities and Other noncurrent liabilities captions on the Partnership’s consolidated balance sheet) follow: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49"/>
        </w:trPr>
        <w:tc>
          <w:tcPr>
            <w:tcW w:w="36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12"/>
        </w:trPr>
        <w:tc>
          <w:tcPr>
            <w:tcW w:w="36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4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w:t>
            </w:r>
          </w:p>
        </w:tc>
        <w:tc>
          <w:tcPr>
            <w:tcW w:w="48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11,633</w:t>
            </w:r>
          </w:p>
        </w:tc>
      </w:tr>
      <w:tr>
        <w:trPr>
          <w:trHeight w:val="18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w:t>
            </w:r>
          </w:p>
        </w:tc>
        <w:tc>
          <w:tcPr>
            <w:tcW w:w="4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r>
      <w:tr>
        <w:trPr>
          <w:trHeight w:val="171"/>
        </w:trPr>
        <w:tc>
          <w:tcPr>
            <w:tcW w:w="3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w:t>
            </w: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liabilities, current</w:t>
            </w:r>
          </w:p>
        </w:tc>
        <w:tc>
          <w:tcPr>
            <w:tcW w:w="4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w:t>
            </w:r>
          </w:p>
        </w:tc>
        <w:tc>
          <w:tcPr>
            <w:tcW w:w="48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r>
      <w:tr>
        <w:trPr>
          <w:trHeight w:val="18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w:t>
            </w:r>
          </w:p>
        </w:tc>
        <w:tc>
          <w:tcPr>
            <w:tcW w:w="4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71"/>
        </w:trPr>
        <w:tc>
          <w:tcPr>
            <w:tcW w:w="3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w:t>
            </w: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liabilities, noncurrent</w:t>
            </w:r>
          </w:p>
        </w:tc>
        <w:tc>
          <w:tcPr>
            <w:tcW w:w="4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w:t>
            </w:r>
          </w:p>
        </w:tc>
        <w:tc>
          <w:tcPr>
            <w:tcW w:w="48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9,672</w:t>
            </w:r>
          </w:p>
        </w:tc>
      </w:tr>
      <w:tr>
        <w:trPr>
          <w:trHeight w:val="18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w:t>
            </w:r>
          </w:p>
        </w:tc>
        <w:tc>
          <w:tcPr>
            <w:tcW w:w="4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r>
      <w:tr>
        <w:trPr>
          <w:trHeight w:val="175"/>
        </w:trPr>
        <w:tc>
          <w:tcPr>
            <w:tcW w:w="36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w:t>
            </w:r>
          </w:p>
        </w:tc>
      </w:tr>
      <w:tr>
        <w:trPr>
          <w:trHeight w:val="707"/>
        </w:trPr>
        <w:tc>
          <w:tcPr>
            <w:tcW w:w="3620" w:type="dxa"/>
            <w:vAlign w:val="bottom"/>
          </w:tcPr>
          <w:p>
            <w:pPr>
              <w:spacing w:after="0"/>
              <w:rPr>
                <w:sz w:val="24"/>
                <w:szCs w:val="24"/>
                <w:color w:val="auto"/>
              </w:rPr>
            </w:pPr>
          </w:p>
        </w:tc>
        <w:tc>
          <w:tcPr>
            <w:tcW w:w="4700" w:type="dxa"/>
            <w:vAlign w:val="bottom"/>
          </w:tcPr>
          <w:p>
            <w:pPr>
              <w:jc w:val="right"/>
              <w:ind w:right="2489"/>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362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cost and Other information follow: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ROU assets (included in depreciation and amortization)</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 (included in interest expense)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 (included in general and administrative expense)</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r>
      <w:tr>
        <w:trPr>
          <w:trHeight w:val="175"/>
        </w:trPr>
        <w:tc>
          <w:tcPr>
            <w:tcW w:w="8320" w:type="dxa"/>
            <w:vAlign w:val="bottom"/>
          </w:tcPr>
          <w:p>
            <w:pPr>
              <w:spacing w:after="0"/>
              <w:rPr>
                <w:sz w:val="15"/>
                <w:szCs w:val="15"/>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w:t>
            </w:r>
          </w:p>
        </w:tc>
      </w:tr>
    </w:tbl>
    <w:p>
      <w:pPr>
        <w:spacing w:after="0" w:line="73" w:lineRule="exact"/>
        <w:rPr>
          <w:sz w:val="20"/>
          <w:szCs w:val="20"/>
          <w:color w:val="auto"/>
        </w:rPr>
      </w:pPr>
    </w:p>
    <w:tbl>
      <w:tblPr>
        <w:tblLayout w:type="fixed"/>
        <w:tblInd w:w="8140" w:type="dxa"/>
        <w:tblCellMar>
          <w:top w:w="0" w:type="dxa"/>
          <w:left w:w="0" w:type="dxa"/>
          <w:bottom w:w="0" w:type="dxa"/>
          <w:right w:w="0" w:type="dxa"/>
        </w:tblCellMar>
      </w:tblPr>
      <w:tr>
        <w:trPr>
          <w:trHeight w:val="158"/>
        </w:trPr>
        <w:tc>
          <w:tcPr>
            <w:tcW w:w="9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center"/>
              <w:ind w:right="8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920" w:type="dxa"/>
            <w:vAlign w:val="bottom"/>
          </w:tcPr>
          <w:p>
            <w:pPr>
              <w:spacing w:after="0"/>
              <w:rPr>
                <w:sz w:val="12"/>
                <w:szCs w:val="12"/>
                <w:color w:val="auto"/>
              </w:rPr>
            </w:pPr>
          </w:p>
        </w:tc>
        <w:tc>
          <w:tcPr>
            <w:tcW w:w="2220" w:type="dxa"/>
            <w:vAlign w:val="bottom"/>
          </w:tcPr>
          <w:p>
            <w:pPr>
              <w:jc w:val="center"/>
              <w:ind w:right="863"/>
              <w:spacing w:after="0"/>
              <w:rPr>
                <w:sz w:val="20"/>
                <w:szCs w:val="20"/>
                <w:color w:val="auto"/>
              </w:rPr>
            </w:pPr>
            <w:r>
              <w:rPr>
                <w:rFonts w:ascii="Times New Roman" w:cs="Times New Roman" w:eastAsia="Times New Roman" w:hAnsi="Times New Roman"/>
                <w:sz w:val="11"/>
                <w:szCs w:val="11"/>
                <w:b w:val="1"/>
                <w:bCs w:val="1"/>
                <w:color w:val="auto"/>
              </w:rPr>
              <w:t>(In thousands)</w:t>
            </w:r>
          </w:p>
        </w:tc>
      </w:tr>
    </w:tbl>
    <w:p>
      <w:pPr>
        <w:spacing w:after="0" w:line="4" w:lineRule="exact"/>
        <w:rPr>
          <w:sz w:val="20"/>
          <w:szCs w:val="20"/>
          <w:color w:val="auto"/>
        </w:rPr>
      </w:pPr>
    </w:p>
    <w:p>
      <w:pPr>
        <w:sectPr>
          <w:pgSz w:w="11900" w:h="16838" w:orient="portrait"/>
          <w:cols w:equalWidth="0" w:num="1">
            <w:col w:w="11280"/>
          </w:cols>
          <w:pgMar w:left="300" w:top="209"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34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Operating cash outflows from finance leases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Financing cash outflows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ROU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ROU assets obtained in exchange for new finance lease liabilities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 - operating leases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3,975</w:t>
            </w:r>
          </w:p>
        </w:tc>
        <w:tc>
          <w:tcPr>
            <w:tcW w:w="7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r>
      <w:tr>
        <w:trPr>
          <w:trHeight w:val="212"/>
        </w:trPr>
        <w:tc>
          <w:tcPr>
            <w:tcW w:w="5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62</w:t>
            </w: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2"/>
        </w:trPr>
        <w:tc>
          <w:tcPr>
            <w:tcW w:w="5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610</w:t>
            </w: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97"/>
        </w:trPr>
        <w:tc>
          <w:tcPr>
            <w:tcW w:w="56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3,516</w:t>
            </w: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9,865</w:t>
            </w:r>
          </w:p>
        </w:tc>
      </w:tr>
      <w:tr>
        <w:trPr>
          <w:trHeight w:val="297"/>
        </w:trPr>
        <w:tc>
          <w:tcPr>
            <w:tcW w:w="56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1,238</w:t>
            </w: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r>
    </w:tbl>
    <w:p>
      <w:pPr>
        <w:spacing w:after="0" w:line="28"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92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12"/>
        </w:trPr>
        <w:tc>
          <w:tcPr>
            <w:tcW w:w="92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2"/>
        </w:trPr>
        <w:tc>
          <w:tcPr>
            <w:tcW w:w="92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0"/>
              </w:rPr>
              <w:t>6 %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12"/>
        </w:trPr>
        <w:tc>
          <w:tcPr>
            <w:tcW w:w="92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0"/>
              </w:rPr>
              <w:t>5 %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bl>
    <w:p>
      <w:pPr>
        <w:spacing w:after="0" w:line="166" w:lineRule="exact"/>
        <w:rPr>
          <w:sz w:val="20"/>
          <w:szCs w:val="20"/>
          <w:color w:val="auto"/>
        </w:rPr>
      </w:pPr>
    </w:p>
    <w:p>
      <w:pPr>
        <w:sectPr>
          <w:pgSz w:w="11900" w:h="16838" w:orient="portrait"/>
          <w:cols w:equalWidth="0" w:num="2">
            <w:col w:w="7420" w:space="720"/>
            <w:col w:w="3140"/>
          </w:cols>
          <w:pgMar w:left="300" w:top="20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Partnership recognizes total lease expense incurred or allocated to us in general and administrative expenses. Lease expense related to operating leases, including lease expense incurred on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Partnership’s behalf and allocated to us, was as follows:</w:t>
      </w:r>
    </w:p>
    <w:p>
      <w:pPr>
        <w:spacing w:after="0" w:line="96"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8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expense</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r>
      <w:tr>
        <w:trPr>
          <w:trHeight w:val="318"/>
        </w:trPr>
        <w:tc>
          <w:tcPr>
            <w:tcW w:w="8320" w:type="dxa"/>
            <w:vAlign w:val="bottom"/>
          </w:tcPr>
          <w:p>
            <w:pPr>
              <w:spacing w:after="0"/>
              <w:rPr>
                <w:sz w:val="20"/>
                <w:szCs w:val="20"/>
                <w:color w:val="auto"/>
              </w:rPr>
            </w:pPr>
            <w:r>
              <w:rPr>
                <w:rFonts w:ascii="Times New Roman" w:cs="Times New Roman" w:eastAsia="Times New Roman" w:hAnsi="Times New Roman"/>
                <w:sz w:val="14"/>
                <w:szCs w:val="14"/>
                <w:color w:val="auto"/>
              </w:rPr>
              <w:t>Future minimum lease payments due under noncancelable leases at December 31, 2023, were as follows: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6"/>
        </w:trPr>
        <w:tc>
          <w:tcPr>
            <w:tcW w:w="8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60" w:type="dxa"/>
            <w:vAlign w:val="bottom"/>
            <w:tcBorders>
              <w:bottom w:val="single" w:sz="8" w:color="auto"/>
            </w:tcBorders>
          </w:tcPr>
          <w:p>
            <w:pPr>
              <w:spacing w:after="0"/>
              <w:rPr>
                <w:sz w:val="21"/>
                <w:szCs w:val="21"/>
                <w:color w:val="auto"/>
              </w:rPr>
            </w:pPr>
          </w:p>
        </w:tc>
      </w:tr>
      <w:tr>
        <w:trPr>
          <w:trHeight w:val="149"/>
        </w:trPr>
        <w:tc>
          <w:tcPr>
            <w:tcW w:w="8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2"/>
                <w:szCs w:val="12"/>
                <w:color w:val="auto"/>
              </w:rPr>
            </w:pPr>
          </w:p>
        </w:tc>
      </w:tr>
      <w:tr>
        <w:trPr>
          <w:trHeight w:val="160"/>
        </w:trPr>
        <w:tc>
          <w:tcPr>
            <w:tcW w:w="83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Finance</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9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12,600</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SEGMENT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Partnership’s current reportable segments are:</w:t>
      </w:r>
    </w:p>
    <w:p>
      <w:pPr>
        <w:spacing w:after="0" w:line="92" w:lineRule="exact"/>
        <w:rPr>
          <w:sz w:val="20"/>
          <w:szCs w:val="20"/>
          <w:color w:val="auto"/>
        </w:rPr>
      </w:pPr>
    </w:p>
    <w:p>
      <w:pPr>
        <w:ind w:left="5540" w:right="4120" w:hanging="5280"/>
        <w:spacing w:after="0" w:line="986" w:lineRule="auto"/>
        <w:tabs>
          <w:tab w:leader="none" w:pos="51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Rockies </w:t>
      </w:r>
      <w:r>
        <w:rPr>
          <w:rFonts w:ascii="Times New Roman" w:cs="Times New Roman" w:eastAsia="Times New Roman" w:hAnsi="Times New Roman"/>
          <w:sz w:val="14"/>
          <w:szCs w:val="14"/>
          <w:color w:val="auto"/>
        </w:rPr>
        <w:t>– Includes the Partnership’s wholly owned midstream assets located in the Williston Basin and the DJ Basin.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-275590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type w:val="continuous"/>
        </w:sectPr>
      </w:pPr>
    </w:p>
    <w:bookmarkStart w:id="127" w:name="page128"/>
    <w:bookmarkEnd w:id="127"/>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Permian </w:t>
      </w:r>
      <w:r>
        <w:rPr>
          <w:rFonts w:ascii="Times New Roman" w:cs="Times New Roman" w:eastAsia="Times New Roman" w:hAnsi="Times New Roman"/>
          <w:sz w:val="14"/>
          <w:szCs w:val="14"/>
          <w:color w:val="auto"/>
        </w:rPr>
        <w:t>– Includes the Partnership’s equity method investment in Double E.</w:t>
      </w:r>
    </w:p>
    <w:p>
      <w:pPr>
        <w:spacing w:after="0" w:line="93" w:lineRule="exact"/>
        <w:rPr>
          <w:rFonts w:ascii="Times New Roman" w:cs="Times New Roman" w:eastAsia="Times New Roman" w:hAnsi="Times New Roman"/>
          <w:sz w:val="14"/>
          <w:szCs w:val="14"/>
          <w:color w:val="auto"/>
        </w:rPr>
      </w:pPr>
    </w:p>
    <w:p>
      <w:pPr>
        <w:ind w:left="520" w:right="40" w:hanging="260"/>
        <w:spacing w:after="0" w:line="290" w:lineRule="auto"/>
        <w:tabs>
          <w:tab w:leader="none" w:pos="51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Northeast </w:t>
      </w:r>
      <w:r>
        <w:rPr>
          <w:rFonts w:ascii="Times New Roman" w:cs="Times New Roman" w:eastAsia="Times New Roman" w:hAnsi="Times New Roman"/>
          <w:sz w:val="14"/>
          <w:szCs w:val="14"/>
          <w:color w:val="auto"/>
        </w:rPr>
        <w:t>– Includes the Partnership’s wholly owned midstream assets located in the Utica and Marcellus shale plays and the equity method investment in Ohio Gathering that is focused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Utica Shale.</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Piceance </w:t>
      </w:r>
      <w:r>
        <w:rPr>
          <w:rFonts w:ascii="Times New Roman" w:cs="Times New Roman" w:eastAsia="Times New Roman" w:hAnsi="Times New Roman"/>
          <w:sz w:val="14"/>
          <w:szCs w:val="14"/>
          <w:color w:val="auto"/>
        </w:rPr>
        <w:t>– Includes the Partnership’s wholly owned midstream assets located in the Piceance Basin.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Barnett </w:t>
      </w:r>
      <w:r>
        <w:rPr>
          <w:rFonts w:ascii="Times New Roman" w:cs="Times New Roman" w:eastAsia="Times New Roman" w:hAnsi="Times New Roman"/>
          <w:sz w:val="14"/>
          <w:szCs w:val="14"/>
          <w:color w:val="auto"/>
        </w:rPr>
        <w:t>– Includes the Partnership’s wholly owned midstream assets located in the Barnett Shale.</w:t>
      </w:r>
    </w:p>
    <w:p>
      <w:pPr>
        <w:spacing w:after="0" w:line="96"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Corporate and Other represents those results that: (i) are not specifically attributable to a reportable segment; (ii) are not individually reportable; or (iii) have not been allocated to a reportable segments for the purpose of evaluating their performance, including certain general and administrative expense items, certain natural gas and crude oil marketing services and transaction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by reportable segment follow.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8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3"/>
                <w:szCs w:val="13"/>
                <w:color w:val="auto"/>
              </w:rPr>
            </w:pPr>
          </w:p>
        </w:tc>
      </w:tr>
      <w:tr>
        <w:trPr>
          <w:trHeight w:val="282"/>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573,663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591,091</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886,629</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291,073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298,906</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Piceance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431,687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475,719</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Barnett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281,861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295,473</w:t>
            </w: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reportable segment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2,483,258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2,547,818</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12,146</w:t>
            </w:r>
          </w:p>
        </w:tc>
      </w:tr>
      <w:tr>
        <w:trPr>
          <w:trHeight w:val="196"/>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2,494,198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2,559,964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210" w:right="31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281930" cy="134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819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Rockies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Piceance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41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reportable segments revenue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54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Counterparties accounting for a significant portion of total revenues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16153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45"/>
        </w:trPr>
        <w:tc>
          <w:tcPr>
            <w:tcW w:w="340" w:type="dxa"/>
            <w:vAlign w:val="bottom"/>
          </w:tcPr>
          <w:p>
            <w:pPr>
              <w:spacing w:after="0"/>
              <w:rPr>
                <w:sz w:val="12"/>
                <w:szCs w:val="12"/>
                <w:color w:val="auto"/>
              </w:rPr>
            </w:pPr>
          </w:p>
        </w:tc>
        <w:tc>
          <w:tcPr>
            <w:tcW w:w="16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2"/>
                <w:szCs w:val="12"/>
                <w:color w:val="auto"/>
              </w:rPr>
            </w:pPr>
          </w:p>
        </w:tc>
      </w:tr>
      <w:tr>
        <w:trPr>
          <w:trHeight w:val="381"/>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63,805</w:t>
            </w:r>
          </w:p>
        </w:tc>
        <w:tc>
          <w:tcPr>
            <w:tcW w:w="100" w:type="dxa"/>
            <w:vAlign w:val="bottom"/>
          </w:tcPr>
          <w:p>
            <w:pPr>
              <w:spacing w:after="0"/>
              <w:rPr>
                <w:sz w:val="24"/>
                <w:szCs w:val="24"/>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54,392</w:t>
            </w:r>
          </w:p>
        </w:tc>
      </w:tr>
      <w:tr>
        <w:trPr>
          <w:trHeight w:val="22"/>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34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255,031</w:t>
            </w:r>
          </w:p>
        </w:tc>
        <w:tc>
          <w:tcPr>
            <w:tcW w:w="1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143,603</w:t>
            </w:r>
          </w:p>
        </w:tc>
      </w:tr>
      <w:tr>
        <w:trPr>
          <w:trHeight w:val="191"/>
        </w:trPr>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25,151</w:t>
            </w:r>
          </w:p>
        </w:tc>
      </w:tr>
      <w:tr>
        <w:trPr>
          <w:trHeight w:val="212"/>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93,349</w:t>
            </w:r>
          </w:p>
        </w:tc>
      </w:tr>
      <w:tr>
        <w:trPr>
          <w:trHeight w:val="212"/>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52,096</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458,940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368,591</w:t>
            </w:r>
          </w:p>
        </w:tc>
      </w:tr>
      <w:tr>
        <w:trPr>
          <w:trHeight w:val="212"/>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458,903</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369,594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26035</wp:posOffset>
            </wp:positionV>
            <wp:extent cx="200088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23" w:lineRule="exact"/>
        <w:rPr>
          <w:sz w:val="20"/>
          <w:szCs w:val="20"/>
          <w:color w:val="auto"/>
        </w:rPr>
      </w:pPr>
    </w:p>
    <w:p>
      <w:pPr>
        <w:ind w:left="460"/>
        <w:spacing w:after="0"/>
        <w:tabs>
          <w:tab w:leader="none" w:pos="206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131" w:lineRule="exact"/>
        <w:rPr>
          <w:sz w:val="20"/>
          <w:szCs w:val="20"/>
          <w:color w:val="auto"/>
        </w:rPr>
      </w:pPr>
    </w:p>
    <w:p>
      <w:pPr>
        <w:sectPr>
          <w:pgSz w:w="11900" w:h="16838" w:orient="portrait"/>
          <w:cols w:equalWidth="0" w:num="2">
            <w:col w:w="7600" w:space="720"/>
            <w:col w:w="2960"/>
          </w:cols>
          <w:pgMar w:left="300" w:top="21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Percentage of total revenues:</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Counterparty A - Piceance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Counterparty B - Rockies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 in the aggregate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95"/>
              </w:rPr>
              <w:t>10 %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12"/>
        </w:trPr>
        <w:tc>
          <w:tcPr>
            <w:tcW w:w="96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95"/>
              </w:rPr>
              <w:t>13 %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590" w:lineRule="exact"/>
        <w:rPr>
          <w:sz w:val="20"/>
          <w:szCs w:val="20"/>
          <w:color w:val="auto"/>
        </w:rPr>
      </w:pPr>
    </w:p>
    <w:p>
      <w:pPr>
        <w:sectPr>
          <w:pgSz w:w="11900" w:h="16838" w:orient="portrait"/>
          <w:cols w:equalWidth="0" w:num="2">
            <w:col w:w="8620" w:space="720"/>
            <w:col w:w="1940"/>
          </w:cols>
          <w:pgMar w:left="300" w:top="210" w:right="319" w:bottom="1440" w:gutter="0" w:footer="0" w:header="0"/>
          <w:type w:val="continuous"/>
        </w:sect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Depreciation and amortization, including the amortization expense associated with the Partnership’s favorable and unfavorable gas gathering contracts as reported in other revenues, by reportable segment follow.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28" w:name="page129"/>
    <w:bookmarkEnd w:id="128"/>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45"/>
        </w:trPr>
        <w:tc>
          <w:tcPr>
            <w:tcW w:w="8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2"/>
                <w:szCs w:val="12"/>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84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17,856</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17,501</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Rockies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30,532</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Piceance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51,352</w:t>
            </w:r>
          </w:p>
        </w:tc>
      </w:tr>
      <w:tr>
        <w:trPr>
          <w:trHeight w:val="29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Barnett</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16,116</w:t>
            </w:r>
          </w:p>
        </w:tc>
      </w:tr>
      <w:tr>
        <w:trPr>
          <w:trHeight w:val="17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reportable segment depreciation and amortization</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118,237</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171"/>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123,702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119,993</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23" w:lineRule="exact"/>
        <w:rPr>
          <w:sz w:val="20"/>
          <w:szCs w:val="20"/>
          <w:color w:val="auto"/>
        </w:rPr>
      </w:pPr>
    </w:p>
    <w:p>
      <w:pPr>
        <w:ind w:right="2680" w:firstLine="5"/>
        <w:spacing w:after="0" w:line="324" w:lineRule="auto"/>
        <w:tabs>
          <w:tab w:leader="none" w:pos="181"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amortization expense associated with the Partnership’s favorable and unfavorable gas gathering contracts as reported in Other revenues. Cash paid for capital expenditures by reportable segment follow.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50"/>
        </w:trPr>
        <w:tc>
          <w:tcPr>
            <w:tcW w:w="8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3"/>
                <w:szCs w:val="13"/>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capital expenditures:</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8,743</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Piceance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w:t>
            </w:r>
          </w:p>
        </w:tc>
      </w:tr>
      <w:tr>
        <w:trPr>
          <w:trHeight w:val="29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Barnett</w:t>
            </w: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17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reportable segment capital expenditures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28,535</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w:t>
            </w:r>
          </w:p>
        </w:tc>
      </w:tr>
      <w:tr>
        <w:trPr>
          <w:trHeight w:val="196"/>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cash paid for capital expenditures</w:t>
            </w: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Partnership assesses the performance of its reportable segments based on segment adjusted EBITDA. The Partnership defines segment adjusted EBITDA as total revenues less total costs and expenses; plus (i) other income excluding interest income, (ii) proportional adjusted EBITDA for equity method investees, (iii) depreciation and amortization, (iv) adjustments related to MVC shortfall payments, (v) adjustments related to capital reimbursement activity, (vi) unit-based and noncash compensation, (vii) impairments (vii) other noncash expenses or losses, less other noncash income or gains and (ix) restructuring expenses. Proportional adjusted EBITDA for the Partnership’s equity method investees is defined as the product of (i) total revenues less total expenses, excluding impairments and other noncash income or expense items, and amortization for deferred contract costs; and (ii) ownership interest in Ohio Gathering during the respective period.</w:t>
      </w:r>
    </w:p>
    <w:p>
      <w:pPr>
        <w:spacing w:after="0" w:line="5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For the purpose of evaluating segment performance, the Partnership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adjusted EBITDA by reportable segment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3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45"/>
        </w:trPr>
        <w:tc>
          <w:tcPr>
            <w:tcW w:w="8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2"/>
                <w:szCs w:val="12"/>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adjusted EBITDA</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Northeast</w:t>
            </w: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77,046</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Rockies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87,390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57,810</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18,051</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Piceance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60,055</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Barnett</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31,624</w:t>
            </w:r>
          </w:p>
        </w:tc>
      </w:tr>
      <w:tr>
        <w:trPr>
          <w:trHeight w:val="171"/>
        </w:trPr>
        <w:tc>
          <w:tcPr>
            <w:tcW w:w="8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of reportable segments' measures of profit</w:t>
            </w: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291,766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244,586</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or loss before income taxes and income or loss from equity method investees to total of reportable segments' measures of profit or loss follows.</w:t>
      </w:r>
    </w:p>
    <w:p>
      <w:pPr>
        <w:spacing w:after="0" w:line="110"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8920"/>
        <w:spacing w:after="0"/>
        <w:tabs>
          <w:tab w:leader="none" w:pos="10440" w:val="left"/>
        </w:tabs>
        <w:rPr>
          <w:sz w:val="20"/>
          <w:szCs w:val="20"/>
          <w:color w:val="auto"/>
        </w:rPr>
      </w:pPr>
      <w:r>
        <w:rPr>
          <w:rFonts w:ascii="Times New Roman" w:cs="Times New Roman" w:eastAsia="Times New Roman" w:hAnsi="Times New Roman"/>
          <w:sz w:val="11"/>
          <w:szCs w:val="11"/>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5285105</wp:posOffset>
            </wp:positionH>
            <wp:positionV relativeFrom="paragraph">
              <wp:posOffset>26035</wp:posOffset>
            </wp:positionV>
            <wp:extent cx="187960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1"/>
          <w:szCs w:val="11"/>
          <w:b w:val="1"/>
          <w:bCs w:val="1"/>
          <w:color w:val="auto"/>
        </w:rPr>
        <w:t>(In thousands)</w:t>
      </w:r>
    </w:p>
    <w:p>
      <w:pPr>
        <w:sectPr>
          <w:pgSz w:w="11900" w:h="16838" w:orient="portrait"/>
          <w:cols w:equalWidth="0" w:num="1">
            <w:col w:w="11280"/>
          </w:cols>
          <w:pgMar w:left="300" w:top="210" w:right="319" w:bottom="1440" w:gutter="0" w:footer="0" w:header="0"/>
        </w:sectPr>
      </w:pP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loss before income taxes and income from equity method investees to total of reportable segments' measures of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 before income taxes and income from equity method investees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34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Corporate and Other expense</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Loss on early extinguishment of debt</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Proportional adjusted EBITDA for equity method investees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Adjustments related to capital reimbursement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Unit-based and noncash compensation</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Gain on asset sales,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Long-lived asset impairment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of reportable segments' measures of profit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ind w:left="180" w:hanging="175"/>
        <w:spacing w:after="0" w:line="223" w:lineRule="auto"/>
        <w:tabs>
          <w:tab w:leader="none" w:pos="180"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amortization expense associated with the Partnership’s favorable gas gathering contracts as reported in other revenues.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tabs>
          <w:tab w:leader="none" w:pos="900" w:val="left"/>
          <w:tab w:leader="none" w:pos="1500" w:val="left"/>
          <w:tab w:leader="none" w:pos="23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(72,454)</w:t>
        <w:tab/>
        <w:t>$</w:t>
      </w:r>
      <w:r>
        <w:rPr>
          <w:sz w:val="20"/>
          <w:szCs w:val="20"/>
          <w:color w:val="auto"/>
        </w:rPr>
        <w:tab/>
      </w:r>
      <w:r>
        <w:rPr>
          <w:rFonts w:ascii="Times New Roman" w:cs="Times New Roman" w:eastAsia="Times New Roman" w:hAnsi="Times New Roman"/>
          <w:sz w:val="14"/>
          <w:szCs w:val="14"/>
          <w:color w:val="auto"/>
        </w:rPr>
        <w:t>(141,277)</w:t>
      </w:r>
    </w:p>
    <w:p>
      <w:pPr>
        <w:spacing w:after="0" w:line="316" w:lineRule="exact"/>
        <w:rPr>
          <w:sz w:val="20"/>
          <w:szCs w:val="20"/>
          <w:color w:val="auto"/>
        </w:rPr>
      </w:pPr>
    </w:p>
    <w:p>
      <w:pPr>
        <w:ind w:left="960"/>
        <w:spacing w:after="0"/>
        <w:tabs>
          <w:tab w:leader="none" w:pos="2480" w:val="left"/>
        </w:tabs>
        <w:rPr>
          <w:sz w:val="20"/>
          <w:szCs w:val="20"/>
          <w:color w:val="auto"/>
        </w:rPr>
      </w:pPr>
      <w:r>
        <w:rPr>
          <w:rFonts w:ascii="Times New Roman" w:cs="Times New Roman" w:eastAsia="Times New Roman" w:hAnsi="Times New Roman"/>
          <w:sz w:val="14"/>
          <w:szCs w:val="14"/>
          <w:color w:val="auto"/>
        </w:rPr>
        <w:t>30,758</w:t>
      </w:r>
      <w:r>
        <w:rPr>
          <w:sz w:val="20"/>
          <w:szCs w:val="20"/>
          <w:color w:val="auto"/>
        </w:rPr>
        <w:tab/>
      </w:r>
      <w:r>
        <w:rPr>
          <w:rFonts w:ascii="Times New Roman" w:cs="Times New Roman" w:eastAsia="Times New Roman" w:hAnsi="Times New Roman"/>
          <w:sz w:val="14"/>
          <w:szCs w:val="14"/>
          <w:color w:val="auto"/>
        </w:rPr>
        <w:t>29,118</w:t>
      </w:r>
    </w:p>
    <w:p>
      <w:pPr>
        <w:spacing w:after="0" w:line="51" w:lineRule="exact"/>
        <w:rPr>
          <w:sz w:val="20"/>
          <w:szCs w:val="20"/>
          <w:color w:val="auto"/>
        </w:rPr>
      </w:pPr>
    </w:p>
    <w:p>
      <w:pPr>
        <w:ind w:left="900"/>
        <w:spacing w:after="0"/>
        <w:tabs>
          <w:tab w:leader="none" w:pos="2400" w:val="left"/>
        </w:tabs>
        <w:rPr>
          <w:sz w:val="20"/>
          <w:szCs w:val="20"/>
          <w:color w:val="auto"/>
        </w:rPr>
      </w:pPr>
      <w:r>
        <w:rPr>
          <w:rFonts w:ascii="Times New Roman" w:cs="Times New Roman" w:eastAsia="Times New Roman" w:hAnsi="Times New Roman"/>
          <w:sz w:val="14"/>
          <w:szCs w:val="14"/>
          <w:color w:val="auto"/>
        </w:rPr>
        <w:t>140,784</w:t>
      </w:r>
      <w:r>
        <w:rPr>
          <w:sz w:val="20"/>
          <w:szCs w:val="20"/>
          <w:color w:val="auto"/>
        </w:rPr>
        <w:tab/>
      </w:r>
      <w:r>
        <w:rPr>
          <w:rFonts w:ascii="Times New Roman" w:cs="Times New Roman" w:eastAsia="Times New Roman" w:hAnsi="Times New Roman"/>
          <w:sz w:val="14"/>
          <w:szCs w:val="14"/>
          <w:color w:val="auto"/>
        </w:rPr>
        <w:t>102,459</w:t>
      </w:r>
    </w:p>
    <w:p>
      <w:pPr>
        <w:spacing w:after="0" w:line="51" w:lineRule="exact"/>
        <w:rPr>
          <w:sz w:val="20"/>
          <w:szCs w:val="20"/>
          <w:color w:val="auto"/>
        </w:rPr>
      </w:pPr>
    </w:p>
    <w:p>
      <w:pPr>
        <w:ind w:left="960"/>
        <w:spacing w:after="0"/>
        <w:tabs>
          <w:tab w:leader="none" w:pos="2720" w:val="left"/>
        </w:tabs>
        <w:rPr>
          <w:sz w:val="20"/>
          <w:szCs w:val="20"/>
          <w:color w:val="auto"/>
        </w:rPr>
      </w:pPr>
      <w:r>
        <w:rPr>
          <w:rFonts w:ascii="Times New Roman" w:cs="Times New Roman" w:eastAsia="Times New Roman" w:hAnsi="Times New Roman"/>
          <w:sz w:val="14"/>
          <w:szCs w:val="14"/>
          <w:color w:val="auto"/>
        </w:rPr>
        <w:t>10,934</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900"/>
        <w:spacing w:after="0"/>
        <w:tabs>
          <w:tab w:leader="none" w:pos="2420" w:val="left"/>
        </w:tabs>
        <w:rPr>
          <w:sz w:val="20"/>
          <w:szCs w:val="20"/>
          <w:color w:val="auto"/>
        </w:rPr>
      </w:pPr>
      <w:r>
        <w:rPr>
          <w:rFonts w:ascii="Times New Roman" w:cs="Times New Roman" w:eastAsia="Times New Roman" w:hAnsi="Times New Roman"/>
          <w:sz w:val="14"/>
          <w:szCs w:val="14"/>
          <w:color w:val="auto"/>
        </w:rPr>
        <w:t>123,702</w:t>
      </w:r>
      <w:r>
        <w:rPr>
          <w:sz w:val="20"/>
          <w:szCs w:val="20"/>
          <w:color w:val="auto"/>
        </w:rPr>
        <w:tab/>
      </w:r>
      <w:r>
        <w:rPr>
          <w:rFonts w:ascii="Times New Roman" w:cs="Times New Roman" w:eastAsia="Times New Roman" w:hAnsi="Times New Roman"/>
          <w:sz w:val="14"/>
          <w:szCs w:val="14"/>
          <w:color w:val="auto"/>
        </w:rPr>
        <w:t>119,993</w:t>
      </w:r>
    </w:p>
    <w:p>
      <w:pPr>
        <w:spacing w:after="0" w:line="136" w:lineRule="exact"/>
        <w:rPr>
          <w:sz w:val="20"/>
          <w:szCs w:val="20"/>
          <w:color w:val="auto"/>
        </w:rPr>
      </w:pPr>
    </w:p>
    <w:p>
      <w:pPr>
        <w:ind w:left="960"/>
        <w:spacing w:after="0"/>
        <w:tabs>
          <w:tab w:leader="none" w:pos="2480" w:val="left"/>
        </w:tabs>
        <w:rPr>
          <w:sz w:val="20"/>
          <w:szCs w:val="20"/>
          <w:color w:val="auto"/>
        </w:rPr>
      </w:pPr>
      <w:r>
        <w:rPr>
          <w:rFonts w:ascii="Times New Roman" w:cs="Times New Roman" w:eastAsia="Times New Roman" w:hAnsi="Times New Roman"/>
          <w:sz w:val="14"/>
          <w:szCs w:val="14"/>
          <w:color w:val="auto"/>
        </w:rPr>
        <w:t>61,070</w:t>
      </w:r>
      <w:r>
        <w:rPr>
          <w:sz w:val="20"/>
          <w:szCs w:val="20"/>
          <w:color w:val="auto"/>
        </w:rPr>
        <w:tab/>
      </w:r>
      <w:r>
        <w:rPr>
          <w:rFonts w:ascii="Times New Roman" w:cs="Times New Roman" w:eastAsia="Times New Roman" w:hAnsi="Times New Roman"/>
          <w:sz w:val="14"/>
          <w:szCs w:val="14"/>
          <w:color w:val="auto"/>
        </w:rPr>
        <w:t>45,419</w:t>
      </w:r>
    </w:p>
    <w:p>
      <w:pPr>
        <w:spacing w:after="0" w:line="136" w:lineRule="exact"/>
        <w:rPr>
          <w:sz w:val="20"/>
          <w:szCs w:val="20"/>
          <w:color w:val="auto"/>
        </w:rPr>
      </w:pPr>
    </w:p>
    <w:p>
      <w:pPr>
        <w:jc w:val="both"/>
        <w:ind w:left="980"/>
        <w:spacing w:after="0"/>
        <w:tabs>
          <w:tab w:leader="none" w:pos="2480" w:val="left"/>
        </w:tabs>
        <w:rPr>
          <w:sz w:val="20"/>
          <w:szCs w:val="20"/>
          <w:color w:val="auto"/>
        </w:rPr>
      </w:pPr>
      <w:r>
        <w:rPr>
          <w:rFonts w:ascii="Times New Roman" w:cs="Times New Roman" w:eastAsia="Times New Roman" w:hAnsi="Times New Roman"/>
          <w:sz w:val="14"/>
          <w:szCs w:val="14"/>
          <w:color w:val="auto"/>
        </w:rPr>
        <w:t>(9,874)</w:t>
      </w:r>
      <w:r>
        <w:rPr>
          <w:sz w:val="20"/>
          <w:szCs w:val="20"/>
          <w:color w:val="auto"/>
        </w:rPr>
        <w:tab/>
      </w:r>
      <w:r>
        <w:rPr>
          <w:rFonts w:ascii="Times New Roman" w:cs="Times New Roman" w:eastAsia="Times New Roman" w:hAnsi="Times New Roman"/>
          <w:sz w:val="14"/>
          <w:szCs w:val="14"/>
          <w:color w:val="auto"/>
        </w:rPr>
        <w:t>(6,041)</w:t>
      </w:r>
    </w:p>
    <w:p>
      <w:pPr>
        <w:spacing w:after="0" w:line="51" w:lineRule="exact"/>
        <w:rPr>
          <w:sz w:val="20"/>
          <w:szCs w:val="20"/>
          <w:color w:val="auto"/>
        </w:rPr>
      </w:pPr>
    </w:p>
    <w:p>
      <w:pPr>
        <w:ind w:left="1040"/>
        <w:spacing w:after="0"/>
        <w:tabs>
          <w:tab w:leader="none" w:pos="2540" w:val="left"/>
        </w:tabs>
        <w:rPr>
          <w:sz w:val="20"/>
          <w:szCs w:val="20"/>
          <w:color w:val="auto"/>
        </w:rPr>
      </w:pPr>
      <w:r>
        <w:rPr>
          <w:rFonts w:ascii="Times New Roman" w:cs="Times New Roman" w:eastAsia="Times New Roman" w:hAnsi="Times New Roman"/>
          <w:sz w:val="14"/>
          <w:szCs w:val="14"/>
          <w:color w:val="auto"/>
        </w:rPr>
        <w:t>6,566</w:t>
      </w:r>
      <w:r>
        <w:rPr>
          <w:sz w:val="20"/>
          <w:szCs w:val="20"/>
          <w:color w:val="auto"/>
        </w:rPr>
        <w:tab/>
      </w:r>
      <w:r>
        <w:rPr>
          <w:rFonts w:ascii="Times New Roman" w:cs="Times New Roman" w:eastAsia="Times New Roman" w:hAnsi="Times New Roman"/>
          <w:sz w:val="14"/>
          <w:szCs w:val="14"/>
          <w:color w:val="auto"/>
        </w:rPr>
        <w:t>3,778</w:t>
      </w:r>
    </w:p>
    <w:p>
      <w:pPr>
        <w:spacing w:after="0" w:line="51" w:lineRule="exact"/>
        <w:rPr>
          <w:sz w:val="20"/>
          <w:szCs w:val="20"/>
          <w:color w:val="auto"/>
        </w:rPr>
      </w:pPr>
    </w:p>
    <w:p>
      <w:pPr>
        <w:ind w:left="2620" w:hanging="1532"/>
        <w:spacing w:after="0"/>
        <w:tabs>
          <w:tab w:leader="none" w:pos="26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(507)</w:t>
      </w:r>
    </w:p>
    <w:p>
      <w:pPr>
        <w:spacing w:after="0" w:line="63" w:lineRule="exact"/>
        <w:rPr>
          <w:sz w:val="20"/>
          <w:szCs w:val="20"/>
          <w:color w:val="auto"/>
        </w:rPr>
      </w:pPr>
    </w:p>
    <w:p>
      <w:pPr>
        <w:ind w:left="1140"/>
        <w:spacing w:after="0"/>
        <w:tabs>
          <w:tab w:leader="none" w:pos="2480" w:val="left"/>
        </w:tabs>
        <w:rPr>
          <w:sz w:val="20"/>
          <w:szCs w:val="20"/>
          <w:color w:val="auto"/>
        </w:rPr>
      </w:pPr>
      <w:r>
        <w:rPr>
          <w:rFonts w:ascii="Times New Roman" w:cs="Times New Roman" w:eastAsia="Times New Roman" w:hAnsi="Times New Roman"/>
          <w:sz w:val="14"/>
          <w:szCs w:val="14"/>
          <w:color w:val="auto"/>
        </w:rPr>
        <w:t>540</w:t>
      </w:r>
      <w:r>
        <w:rPr>
          <w:sz w:val="20"/>
          <w:szCs w:val="20"/>
          <w:color w:val="auto"/>
        </w:rPr>
        <w:tab/>
      </w:r>
      <w:r>
        <w:rPr>
          <w:rFonts w:ascii="Times New Roman" w:cs="Times New Roman" w:eastAsia="Times New Roman" w:hAnsi="Times New Roman"/>
          <w:sz w:val="14"/>
          <w:szCs w:val="14"/>
          <w:color w:val="auto"/>
        </w:rPr>
        <w:t>91,644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18796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31" w:lineRule="exact"/>
        <w:rPr>
          <w:sz w:val="20"/>
          <w:szCs w:val="20"/>
          <w:color w:val="auto"/>
        </w:rPr>
      </w:pPr>
    </w:p>
    <w:p>
      <w:pPr>
        <w:spacing w:after="0"/>
        <w:tabs>
          <w:tab w:leader="none" w:pos="880" w:val="left"/>
          <w:tab w:leader="none" w:pos="1500" w:val="left"/>
          <w:tab w:leader="none" w:pos="24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291,766</w:t>
        <w:tab/>
        <w:t>$</w:t>
      </w:r>
      <w:r>
        <w:rPr>
          <w:sz w:val="20"/>
          <w:szCs w:val="20"/>
          <w:color w:val="auto"/>
        </w:rPr>
        <w:tab/>
      </w:r>
      <w:r>
        <w:rPr>
          <w:rFonts w:ascii="Times New Roman" w:cs="Times New Roman" w:eastAsia="Times New Roman" w:hAnsi="Times New Roman"/>
          <w:sz w:val="14"/>
          <w:szCs w:val="14"/>
          <w:color w:val="auto"/>
        </w:rPr>
        <w:t>244,586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879600" cy="266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79600" cy="26670"/>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8140" w:space="200"/>
            <w:col w:w="2940"/>
          </w:cols>
          <w:pgMar w:left="300" w:top="210" w:right="319" w:bottom="1440" w:gutter="0" w:footer="0" w:header="0"/>
          <w:type w:val="continuous"/>
        </w:sectPr>
      </w:pPr>
    </w:p>
    <w:p>
      <w:pPr>
        <w:ind w:right="60"/>
        <w:spacing w:after="0" w:line="287" w:lineRule="auto"/>
        <w:rPr>
          <w:sz w:val="20"/>
          <w:szCs w:val="20"/>
          <w:color w:val="auto"/>
        </w:rPr>
      </w:pPr>
      <w:r>
        <w:rPr>
          <w:rFonts w:ascii="Times New Roman" w:cs="Times New Roman" w:eastAsia="Times New Roman" w:hAnsi="Times New Roman"/>
          <w:sz w:val="14"/>
          <w:szCs w:val="14"/>
          <w:color w:val="auto"/>
        </w:rPr>
        <w:t>Contributions in aid of construction are recognized over the remaining term of the respective contract. The Partnership includes adjustments related to capital reimbursement activity in its calculation of segment adjusted EBITDA to account for revenue recognized from contributions in aid of construction.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30" w:name="page131"/>
    <w:bookmarkEnd w:id="13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in, or disagreements with, accountants on accounting and financial disclosure matters during the years ended December 31, 2023 and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SEC’s rules and forms, and that information is accumulated and communicated to the management of our General Partner, including our General Partner’s principal executive and principal financial officers (whom we refer to as the Certifying Officers), as appropriate to allow timely decisions regarding required disclosure. SMLP’s management, with the participation of the Chief Executive Officer and Chief Financial Officer of SMLP's General Partner, has evaluated the effectiveness of SMLP’s disclosure controls and procedures (as such term is defined in Rules 13a-15(e) and 15d-15(e) under the Exchange Act) as of the end of the period covered by this annual report (the “Evaluation Date”). Based on such evaluation, the Chief Executive Officer and Chief Financial Officer of SMLP's General Partner have concluded that, as of the Evaluation Date, SMLP’s disclosure controls and procedures are effective.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There have not been any changes in SMLP’s internal control over financial reporting (as such term is defined in Rules 13a-15(f) and 15d-15(f) under the Exchange Act) during the fourth fiscal quarter of 2023 that have materially affected, or are reasonably likely to materially affect, SMLP's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Our General Partner is responsible for establishing and maintaining adequate internal control over financial reporting for the Partnership. With our participation, an evaluation of the effectiveness of our internal control over financial reporting was conducted as of December 31, 2023, based on the framework and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evaluation, management has concluded that our internal control over financial reporting was effective as of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has issued an audit report on our internal control over financial reporting, included below this report.</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J.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368554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85540"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 Heath Deneke</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Summit Midstream GP,</w:t>
      </w:r>
    </w:p>
    <w:p>
      <w:pPr>
        <w:ind w:left="20"/>
        <w:spacing w:after="0"/>
        <w:rPr>
          <w:sz w:val="20"/>
          <w:szCs w:val="20"/>
          <w:color w:val="auto"/>
        </w:rPr>
      </w:pPr>
      <w:r>
        <w:rPr>
          <w:rFonts w:ascii="Times New Roman" w:cs="Times New Roman" w:eastAsia="Times New Roman" w:hAnsi="Times New Roman"/>
          <w:sz w:val="14"/>
          <w:szCs w:val="14"/>
          <w:color w:val="auto"/>
        </w:rPr>
        <w:t>LLC (the General Partner of SMLP)</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368554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85540" cy="698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J. Mault</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 Summit</w:t>
      </w:r>
    </w:p>
    <w:p>
      <w:pPr>
        <w:ind w:left="20"/>
        <w:spacing w:after="0"/>
        <w:rPr>
          <w:sz w:val="20"/>
          <w:szCs w:val="20"/>
          <w:color w:val="auto"/>
        </w:rPr>
      </w:pPr>
      <w:r>
        <w:rPr>
          <w:rFonts w:ascii="Times New Roman" w:cs="Times New Roman" w:eastAsia="Times New Roman" w:hAnsi="Times New Roman"/>
          <w:sz w:val="14"/>
          <w:szCs w:val="14"/>
          <w:color w:val="auto"/>
        </w:rPr>
        <w:t>Midstream GP, LLC (the General Partner of SMLP)</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of Summit Midstream, GP, LLC and the unitholders of Summit Midstream Partners, 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9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Summit Midstream Partners, LP and subsidiaries (the “Partnership”) as of December 31, 2023,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Partnership maintained, in all material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respects,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5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2023, of the Partnership and our report dated March 15, 2024, expressed an unqualified opinion on those financial statements based on our audit.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5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An entity’s internal control over financial reporting is a process designed to provide reasonable assurance regarding the reliability of financial reporting and the preparation of financial statements for external purposes in accordance with generally accepted accounting principles.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generally accepted accounting principles,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spacing w:after="0" w:line="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2024</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09" w:right="339" w:bottom="1440" w:gutter="0" w:footer="0" w:header="0"/>
        </w:sectPr>
      </w:pPr>
    </w:p>
    <w:bookmarkStart w:id="132" w:name="page133"/>
    <w:bookmarkEnd w:id="13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During the three months ended December 31, 2023, no director or officer of the General Partner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300" w:top="210" w:right="109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34" w:name="page135"/>
    <w:bookmarkEnd w:id="134"/>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information is incorporated by reference to the Partnership’s Proxy Statement for its 2024 Annual Meeting of Limited Partners, which will be filed with the SEC within 120 days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information is incorporated by reference to the Partnership’s Proxy Statement for its 2024 Annual Meeting of Limited Partners, which will be filed with the SEC within 120 days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information is incorporated by reference to the Partnership’s Proxy Statement for its 2024 Annual Meeting of Limited Partners, which will be filed with the SEC within 120 days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information is incorporated by reference to the Partnership’s Proxy Statement for its 2024 Annual Meeting of Limited Partners, which will be filed with the SEC within 120 days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This information is incorporated by reference to the Partnership's Proxy Statement for its 2024 Annual Meeting of Limited Partners, which will be filed with the SEC within 120 days of December 31, 2023.</w:t>
      </w: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300" w:top="209" w:right="111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Consolidated Financial Statements and accompanying footnotes are included in Part II, Item 8, of this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All schedules are omitted because the required information is inapplicable or the information is presented in the financial statements or the notes thereto.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Exhibit Index</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exhibits listed on the accompanying Exhibit Index are filed as part of, or incorporated by reference into, this Annual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6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720" w:type="dxa"/>
            <w:vAlign w:val="bottom"/>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Purchase Agreement, dated May 3, 2020, by and among Energy Capital Partners II, LP, Energy Capital Partners II-A, LP, Energy Capital Partners II-C (SMLP IP), LP,</w:t>
              </w:r>
            </w:hyperlink>
          </w:p>
        </w:tc>
      </w:tr>
      <w:tr>
        <w:trPr>
          <w:trHeight w:val="150"/>
        </w:trPr>
        <w:tc>
          <w:tcPr>
            <w:tcW w:w="1720" w:type="dxa"/>
            <w:vAlign w:val="bottom"/>
            <w:tcBorders>
              <w:top w:val="single" w:sz="8" w:color="CCEEFF"/>
              <w:bottom w:val="single" w:sz="8" w:color="CCEEFF"/>
            </w:tcBorders>
            <w:shd w:val="clear" w:color="auto" w:fill="CCEEFF"/>
          </w:tcPr>
          <w:p>
            <w:pPr>
              <w:spacing w:after="0"/>
              <w:rPr>
                <w:sz w:val="13"/>
                <w:szCs w:val="13"/>
                <w:color w:val="auto"/>
              </w:rPr>
            </w:pPr>
          </w:p>
        </w:tc>
        <w:tc>
          <w:tcPr>
            <w:tcW w:w="9280" w:type="dxa"/>
            <w:vAlign w:val="bottom"/>
            <w:tcBorders>
              <w:top w:val="single" w:sz="8" w:color="0000FF"/>
              <w:bottom w:val="single" w:sz="8" w:color="0000FF"/>
            </w:tcBorders>
            <w:gridSpan w:val="14"/>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Energy Capital Partners II-C (Summit IP), LP, Energy Capital Partners II (Summit Co-Invest), LP and Summit Midstream Management, LLC, as contributors, SMP</w:t>
              </w:r>
            </w:hyperlink>
          </w:p>
        </w:tc>
        <w:tc>
          <w:tcPr>
            <w:tcW w:w="14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6"/>
            <w:shd w:val="clear" w:color="auto" w:fill="CCEEFF"/>
          </w:tcPr>
          <w:p>
            <w:pPr>
              <w:spacing w:after="0"/>
              <w:rPr>
                <w:sz w:val="13"/>
                <w:szCs w:val="13"/>
                <w:color w:val="auto"/>
              </w:rPr>
            </w:pPr>
          </w:p>
        </w:tc>
      </w:tr>
      <w:tr>
        <w:trPr>
          <w:trHeight w:val="150"/>
        </w:trPr>
        <w:tc>
          <w:tcPr>
            <w:tcW w:w="1720" w:type="dxa"/>
            <w:vAlign w:val="bottom"/>
            <w:tcBorders>
              <w:bottom w:val="single" w:sz="8" w:color="CCEEFF"/>
            </w:tcBorders>
            <w:shd w:val="clear" w:color="auto" w:fill="CCEEFF"/>
          </w:tcPr>
          <w:p>
            <w:pPr>
              <w:spacing w:after="0"/>
              <w:rPr>
                <w:sz w:val="13"/>
                <w:szCs w:val="13"/>
                <w:color w:val="auto"/>
              </w:rPr>
            </w:pPr>
          </w:p>
        </w:tc>
        <w:tc>
          <w:tcPr>
            <w:tcW w:w="8920" w:type="dxa"/>
            <w:vAlign w:val="bottom"/>
            <w:tcBorders>
              <w:bottom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TopCo, LLC and SMLP Holdings, LLC, as sellers, Summit Midstream Partners, LP, as the acquiror, and, solely for certain purposes set forth therein, Summit</w:t>
              </w:r>
            </w:hyperlink>
          </w:p>
        </w:tc>
        <w:tc>
          <w:tcPr>
            <w:tcW w:w="640" w:type="dxa"/>
            <w:vAlign w:val="bottom"/>
            <w:tcBorders>
              <w:bottom w:val="single" w:sz="8" w:color="CCEEFF"/>
            </w:tcBorders>
            <w:gridSpan w:val="14"/>
            <w:shd w:val="clear" w:color="auto" w:fill="CCEEFF"/>
          </w:tcPr>
          <w:p>
            <w:pPr>
              <w:spacing w:after="0"/>
              <w:rPr>
                <w:sz w:val="13"/>
                <w:szCs w:val="13"/>
                <w:color w:val="auto"/>
              </w:rPr>
            </w:pPr>
          </w:p>
        </w:tc>
      </w:tr>
      <w:tr>
        <w:trPr>
          <w:trHeight w:val="150"/>
        </w:trPr>
        <w:tc>
          <w:tcPr>
            <w:tcW w:w="1720" w:type="dxa"/>
            <w:vAlign w:val="bottom"/>
            <w:shd w:val="clear" w:color="auto" w:fill="CCEEFF"/>
          </w:tcPr>
          <w:p>
            <w:pPr>
              <w:spacing w:after="0"/>
              <w:rPr>
                <w:sz w:val="13"/>
                <w:szCs w:val="13"/>
                <w:color w:val="auto"/>
              </w:rPr>
            </w:pPr>
          </w:p>
        </w:tc>
        <w:tc>
          <w:tcPr>
            <w:tcW w:w="956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Midstream Partners GP, LLC (Incorporated herein by reference to Exhibit 2.1 to SMLP's Current Report on Form 8-K dated May 5, 2020 (Commission File No. 001-</w:t>
              </w:r>
            </w:hyperlink>
          </w:p>
        </w:tc>
      </w:tr>
      <w:tr>
        <w:trPr>
          <w:trHeight w:val="150"/>
        </w:trPr>
        <w:tc>
          <w:tcPr>
            <w:tcW w:w="172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35666)</w:t>
              </w:r>
              <w:r>
                <w:rPr>
                  <w:rFonts w:ascii="Times New Roman" w:cs="Times New Roman" w:eastAsia="Times New Roman" w:hAnsi="Times New Roman"/>
                  <w:sz w:val="14"/>
                  <w:szCs w:val="14"/>
                  <w:u w:val="single" w:color="auto"/>
                  <w:color w:val="0000FF"/>
                </w:rPr>
                <w:t>)</w:t>
              </w:r>
            </w:hyperlink>
          </w:p>
        </w:tc>
        <w:tc>
          <w:tcPr>
            <w:tcW w:w="66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06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186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720" w:type="dxa"/>
            <w:vAlign w:val="bottom"/>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9480" w:type="dxa"/>
            <w:vAlign w:val="bottom"/>
            <w:tcBorders>
              <w:bottom w:val="single" w:sz="8" w:color="0000FF"/>
            </w:tcBorders>
            <w:gridSpan w:val="20"/>
          </w:tcPr>
          <w:p>
            <w:pPr>
              <w:spacing w:after="0" w:line="159"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Purchase and Sale Agreement, dated as of June 9, 2022, among Summit Midstream Holdings, LLC as Seller, Longwood Gathering and Disposal Systems, LP as Buyer,</w:t>
              </w:r>
            </w:hyperlink>
          </w:p>
        </w:tc>
        <w:tc>
          <w:tcPr>
            <w:tcW w:w="80" w:type="dxa"/>
            <w:vAlign w:val="bottom"/>
            <w:gridSpan w:val="3"/>
          </w:tcPr>
          <w:p>
            <w:pPr>
              <w:spacing w:after="0"/>
              <w:rPr>
                <w:sz w:val="13"/>
                <w:szCs w:val="13"/>
                <w:color w:val="auto"/>
              </w:rPr>
            </w:pPr>
          </w:p>
        </w:tc>
      </w:tr>
      <w:tr>
        <w:trPr>
          <w:trHeight w:val="150"/>
        </w:trPr>
        <w:tc>
          <w:tcPr>
            <w:tcW w:w="172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and Summit Midstream Partners LP (Incorporated herein by reference to Exhibit 10.1 to SMLP’s Quarterly Report on Form 10-Q for the three months ended June 30,</w:t>
              </w:r>
            </w:hyperlink>
          </w:p>
        </w:tc>
      </w:tr>
      <w:tr>
        <w:trPr>
          <w:trHeight w:val="150"/>
        </w:trPr>
        <w:tc>
          <w:tcPr>
            <w:tcW w:w="172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0"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2022 dated August 5, 2022 (Commission File No. 001-35666))</w:t>
              </w:r>
            </w:hyperlink>
          </w:p>
        </w:tc>
        <w:tc>
          <w:tcPr>
            <w:tcW w:w="180" w:type="dxa"/>
            <w:vAlign w:val="bottom"/>
            <w:gridSpan w:val="7"/>
          </w:tcPr>
          <w:p>
            <w:pPr>
              <w:spacing w:after="0"/>
              <w:rPr>
                <w:sz w:val="13"/>
                <w:szCs w:val="13"/>
                <w:color w:val="auto"/>
              </w:rPr>
            </w:pPr>
          </w:p>
        </w:tc>
      </w:tr>
      <w:tr>
        <w:trPr>
          <w:trHeight w:val="33"/>
        </w:trPr>
        <w:tc>
          <w:tcPr>
            <w:tcW w:w="17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720" w:type="dxa"/>
            <w:vAlign w:val="bottom"/>
            <w:tcBorders>
              <w:bottom w:val="single" w:sz="8" w:color="CCEEFF"/>
            </w:tcBorders>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9240" w:type="dxa"/>
            <w:vAlign w:val="bottom"/>
            <w:tcBorders>
              <w:bottom w:val="single" w:sz="8" w:color="0000FF"/>
            </w:tcBorders>
            <w:gridSpan w:val="12"/>
            <w:shd w:val="clear" w:color="auto" w:fill="CCEEFF"/>
          </w:tcPr>
          <w:p>
            <w:pPr>
              <w:spacing w:after="0" w:line="15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Purchase and Sale Agreement between Summit Midstream Holdings, LLC and Steel Reef US Corp. dated September 19, 2022 (Incorporated herein by reference to</w:t>
              </w:r>
            </w:hyperlink>
          </w:p>
        </w:tc>
        <w:tc>
          <w:tcPr>
            <w:tcW w:w="320" w:type="dxa"/>
            <w:vAlign w:val="bottom"/>
            <w:tcBorders>
              <w:bottom w:val="single" w:sz="8" w:color="CCEEFF"/>
            </w:tcBorders>
            <w:gridSpan w:val="11"/>
            <w:shd w:val="clear" w:color="auto" w:fill="CCEEFF"/>
          </w:tcPr>
          <w:p>
            <w:pPr>
              <w:spacing w:after="0"/>
              <w:rPr>
                <w:sz w:val="13"/>
                <w:szCs w:val="13"/>
                <w:color w:val="auto"/>
              </w:rPr>
            </w:pPr>
          </w:p>
        </w:tc>
      </w:tr>
      <w:tr>
        <w:trPr>
          <w:trHeight w:val="183"/>
        </w:trPr>
        <w:tc>
          <w:tcPr>
            <w:tcW w:w="172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Exhibit 10.1 to SMLP’s Quarterly Report on Form 10-Q for the three months ended September 30, 2022 dated November 7, 2022 (Commission File No. 001-35666))</w:t>
              </w:r>
            </w:hyperlink>
          </w:p>
        </w:tc>
        <w:tc>
          <w:tcPr>
            <w:tcW w:w="180" w:type="dxa"/>
            <w:vAlign w:val="bottom"/>
            <w:tcBorders>
              <w:bottom w:val="single" w:sz="8" w:color="CCEEFF"/>
            </w:tcBorders>
            <w:gridSpan w:val="7"/>
            <w:shd w:val="clear" w:color="auto" w:fill="CCEEFF"/>
          </w:tcPr>
          <w:p>
            <w:pPr>
              <w:spacing w:after="0"/>
              <w:rPr>
                <w:sz w:val="15"/>
                <w:szCs w:val="15"/>
                <w:color w:val="auto"/>
              </w:rPr>
            </w:pPr>
          </w:p>
        </w:tc>
      </w:tr>
      <w:tr>
        <w:trPr>
          <w:trHeight w:val="159"/>
        </w:trPr>
        <w:tc>
          <w:tcPr>
            <w:tcW w:w="1720" w:type="dxa"/>
            <w:vAlign w:val="bottom"/>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2.4</w:t>
            </w:r>
          </w:p>
        </w:tc>
        <w:tc>
          <w:tcPr>
            <w:tcW w:w="9560" w:type="dxa"/>
            <w:vAlign w:val="bottom"/>
            <w:gridSpan w:val="23"/>
          </w:tcPr>
          <w:p>
            <w:pPr>
              <w:spacing w:after="0" w:line="15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Membership Interest Purchase and Sale Agreement between Summit Midstream Holdings, LLC, Outrigger Energy II LLC and Outrigger DJ Midstream LLC, dated</w:t>
              </w:r>
            </w:hyperlink>
          </w:p>
        </w:tc>
      </w:tr>
      <w:tr>
        <w:trPr>
          <w:trHeight w:val="20"/>
        </w:trPr>
        <w:tc>
          <w:tcPr>
            <w:tcW w:w="17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October 14, 2022 (Incorporated herein by reference to Exhibit 2.4 to SMLP’s Annual Report on Form 10-K filed March 1, 2023 (Commission File No. 001-35666))</w:t>
              </w:r>
            </w:hyperlink>
          </w:p>
        </w:tc>
      </w:tr>
      <w:tr>
        <w:trPr>
          <w:trHeight w:val="33"/>
        </w:trPr>
        <w:tc>
          <w:tcPr>
            <w:tcW w:w="17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720" w:type="dxa"/>
            <w:vAlign w:val="bottom"/>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Purchase and Sale Agreement between Summit Midstream Holdings, LLC and Sterling Investment Holdings, dated October 14, 2022 (Incorporated herein by reference</w:t>
              </w:r>
            </w:hyperlink>
          </w:p>
        </w:tc>
      </w:tr>
      <w:tr>
        <w:trPr>
          <w:trHeight w:val="150"/>
        </w:trPr>
        <w:tc>
          <w:tcPr>
            <w:tcW w:w="1720" w:type="dxa"/>
            <w:vAlign w:val="bottom"/>
            <w:tcBorders>
              <w:top w:val="single" w:sz="8" w:color="CCEEFF"/>
            </w:tcBorders>
            <w:shd w:val="clear" w:color="auto" w:fill="CCEEFF"/>
          </w:tcPr>
          <w:p>
            <w:pPr>
              <w:spacing w:after="0"/>
              <w:rPr>
                <w:sz w:val="13"/>
                <w:szCs w:val="13"/>
                <w:color w:val="auto"/>
              </w:rPr>
            </w:pPr>
          </w:p>
        </w:tc>
        <w:tc>
          <w:tcPr>
            <w:tcW w:w="9480" w:type="dxa"/>
            <w:vAlign w:val="bottom"/>
            <w:tcBorders>
              <w:top w:val="single" w:sz="8" w:color="0000FF"/>
            </w:tcBorders>
            <w:gridSpan w:val="20"/>
            <w:shd w:val="clear" w:color="auto" w:fill="CCEEFF"/>
          </w:tcPr>
          <w:p>
            <w:pPr>
              <w:spacing w:after="0" w:line="150"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to Exhibit 2.5 to SMLP’s Annual Report on Form 10-K filed March 1, 2023 (Commission File No. 001-35666))</w:t>
              </w:r>
            </w:hyperlink>
          </w:p>
        </w:tc>
        <w:tc>
          <w:tcPr>
            <w:tcW w:w="8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1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720" w:type="dxa"/>
            <w:vAlign w:val="bottom"/>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9440" w:type="dxa"/>
            <w:vAlign w:val="bottom"/>
            <w:tcBorders>
              <w:bottom w:val="single" w:sz="8" w:color="0000FF"/>
            </w:tcBorders>
            <w:gridSpan w:val="18"/>
          </w:tcPr>
          <w:p>
            <w:pPr>
              <w:spacing w:after="0" w:line="15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Fourth Amended and Restated Agreement of Limited Partnership of Summit Midstream Partners, LP, dated May 28, 2020 (Incorporated herein by reference to Exhibit</w:t>
              </w:r>
            </w:hyperlink>
          </w:p>
        </w:tc>
        <w:tc>
          <w:tcPr>
            <w:tcW w:w="120" w:type="dxa"/>
            <w:vAlign w:val="bottom"/>
            <w:gridSpan w:val="5"/>
          </w:tcPr>
          <w:p>
            <w:pPr>
              <w:spacing w:after="0"/>
              <w:rPr>
                <w:sz w:val="13"/>
                <w:szCs w:val="13"/>
                <w:color w:val="auto"/>
              </w:rPr>
            </w:pPr>
          </w:p>
        </w:tc>
      </w:tr>
      <w:tr>
        <w:trPr>
          <w:trHeight w:val="150"/>
        </w:trPr>
        <w:tc>
          <w:tcPr>
            <w:tcW w:w="172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SMLP’s Current Report on Form 8-K dated June 2, 2020 (Commission File No. 001-35666))</w:t>
              </w:r>
            </w:hyperlink>
          </w:p>
        </w:tc>
      </w:tr>
      <w:tr>
        <w:trPr>
          <w:trHeight w:val="33"/>
        </w:trPr>
        <w:tc>
          <w:tcPr>
            <w:tcW w:w="17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720" w:type="dxa"/>
            <w:vAlign w:val="bottom"/>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First Amendment to Fourth Amended and Restated Agreement of Limited Partnership of Summit Midstream Partners, LP, dated February 23, 2023 (Incorporated herein</w:t>
              </w:r>
            </w:hyperlink>
          </w:p>
        </w:tc>
      </w:tr>
      <w:tr>
        <w:trPr>
          <w:trHeight w:val="150"/>
        </w:trPr>
        <w:tc>
          <w:tcPr>
            <w:tcW w:w="1720" w:type="dxa"/>
            <w:vAlign w:val="bottom"/>
            <w:tcBorders>
              <w:top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by reference to Exhibit 3.2 to SMLP’s Annual Report on Form 10-K filed March 1, 2023 (Commission File No. 001-35666))</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720" w:type="dxa"/>
            <w:vAlign w:val="bottom"/>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9120" w:type="dxa"/>
            <w:vAlign w:val="bottom"/>
            <w:tcBorders>
              <w:bottom w:val="single" w:sz="8" w:color="0000FF"/>
            </w:tcBorders>
            <w:gridSpan w:val="10"/>
          </w:tcPr>
          <w:p>
            <w:pPr>
              <w:spacing w:after="0" w:line="159"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Second Amended and Restated Limited Liability Company Agreement of Summit Midstream GP, LLC, dated May 28, 2020 (Incorporated herein by reference to</w:t>
              </w:r>
            </w:hyperlink>
          </w:p>
        </w:tc>
        <w:tc>
          <w:tcPr>
            <w:tcW w:w="440" w:type="dxa"/>
            <w:vAlign w:val="bottom"/>
            <w:gridSpan w:val="13"/>
          </w:tcPr>
          <w:p>
            <w:pPr>
              <w:spacing w:after="0"/>
              <w:rPr>
                <w:sz w:val="13"/>
                <w:szCs w:val="13"/>
                <w:color w:val="auto"/>
              </w:rPr>
            </w:pPr>
          </w:p>
        </w:tc>
      </w:tr>
      <w:tr>
        <w:trPr>
          <w:trHeight w:val="150"/>
        </w:trPr>
        <w:tc>
          <w:tcPr>
            <w:tcW w:w="172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Exhibit 3.2 to SMLP's Current Report on Form 8-K filed June 2, 2020 (Commission File No. 001-35666))</w:t>
              </w:r>
            </w:hyperlink>
          </w:p>
        </w:tc>
      </w:tr>
      <w:tr>
        <w:trPr>
          <w:trHeight w:val="33"/>
        </w:trPr>
        <w:tc>
          <w:tcPr>
            <w:tcW w:w="17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720" w:type="dxa"/>
            <w:vAlign w:val="bottom"/>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Certificate of Limited Partnership of Summit Midstream Partners, LP (Incorporated herein by reference to Exhibit 3.1 to SMLP's Form S-1 Registration Statement dated</w:t>
              </w:r>
            </w:hyperlink>
          </w:p>
        </w:tc>
      </w:tr>
      <w:tr>
        <w:trPr>
          <w:trHeight w:val="150"/>
        </w:trPr>
        <w:tc>
          <w:tcPr>
            <w:tcW w:w="1720" w:type="dxa"/>
            <w:vAlign w:val="bottom"/>
            <w:tcBorders>
              <w:top w:val="single" w:sz="8" w:color="CCEEFF"/>
            </w:tcBorders>
            <w:shd w:val="clear" w:color="auto" w:fill="CCEEFF"/>
          </w:tcPr>
          <w:p>
            <w:pPr>
              <w:spacing w:after="0"/>
              <w:rPr>
                <w:sz w:val="13"/>
                <w:szCs w:val="13"/>
                <w:color w:val="auto"/>
              </w:rPr>
            </w:pPr>
          </w:p>
        </w:tc>
        <w:tc>
          <w:tcPr>
            <w:tcW w:w="9540" w:type="dxa"/>
            <w:vAlign w:val="bottom"/>
            <w:tcBorders>
              <w:top w:val="single" w:sz="8" w:color="0000FF"/>
            </w:tcBorders>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August 21, 2012 (Commission File No. 333-183466))</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720" w:type="dxa"/>
            <w:vAlign w:val="bottom"/>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9560" w:type="dxa"/>
            <w:vAlign w:val="bottom"/>
            <w:gridSpan w:val="23"/>
          </w:tcPr>
          <w:p>
            <w:pPr>
              <w:spacing w:after="0" w:line="159"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Certificate of Formation of Summit Midstream GP, LLC (Incorporated herein by reference to Exhibit 3.4 to SMLP's Form S-1 Registration Statement dated August 21,</w:t>
              </w:r>
            </w:hyperlink>
          </w:p>
        </w:tc>
      </w:tr>
      <w:tr>
        <w:trPr>
          <w:trHeight w:val="150"/>
        </w:trPr>
        <w:tc>
          <w:tcPr>
            <w:tcW w:w="172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2012 (Commission File No. 333-183466))</w:t>
              </w:r>
            </w:hyperlink>
          </w:p>
        </w:tc>
        <w:tc>
          <w:tcPr>
            <w:tcW w:w="100" w:type="dxa"/>
            <w:vAlign w:val="bottom"/>
            <w:gridSpan w:val="4"/>
          </w:tcPr>
          <w:p>
            <w:pPr>
              <w:spacing w:after="0"/>
              <w:rPr>
                <w:sz w:val="13"/>
                <w:szCs w:val="13"/>
                <w:color w:val="auto"/>
              </w:rPr>
            </w:pPr>
          </w:p>
        </w:tc>
      </w:tr>
      <w:tr>
        <w:trPr>
          <w:trHeight w:val="33"/>
        </w:trPr>
        <w:tc>
          <w:tcPr>
            <w:tcW w:w="17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1720" w:type="dxa"/>
            <w:vAlign w:val="bottom"/>
            <w:shd w:val="clear" w:color="auto" w:fill="CCEEFF"/>
          </w:tcPr>
          <w:p>
            <w:pPr>
              <w:jc w:val="right"/>
              <w:ind w:right="989"/>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Description of Common Units (Incorporated herein by reference to Exhibit 4.1 to SMLP’s Form 10-K/A dated April 26, 2021 (Commission File No. 333-183466))</w:t>
              </w:r>
            </w:hyperlink>
          </w:p>
        </w:tc>
      </w:tr>
      <w:tr>
        <w:trPr>
          <w:trHeight w:val="700"/>
        </w:trPr>
        <w:tc>
          <w:tcPr>
            <w:tcW w:w="1720" w:type="dxa"/>
            <w:vAlign w:val="bottom"/>
            <w:tcBorders>
              <w:top w:val="single" w:sz="8" w:color="CCEEFF"/>
            </w:tcBorders>
          </w:tcPr>
          <w:p>
            <w:pPr>
              <w:spacing w:after="0"/>
              <w:rPr>
                <w:sz w:val="24"/>
                <w:szCs w:val="24"/>
                <w:color w:val="auto"/>
              </w:rPr>
            </w:pPr>
          </w:p>
        </w:tc>
        <w:tc>
          <w:tcPr>
            <w:tcW w:w="5620" w:type="dxa"/>
            <w:vAlign w:val="bottom"/>
            <w:tcBorders>
              <w:top w:val="single" w:sz="8" w:color="0000FF"/>
            </w:tcBorders>
            <w:gridSpan w:val="5"/>
          </w:tcPr>
          <w:p>
            <w:pPr>
              <w:ind w:left="3820"/>
              <w:spacing w:after="0"/>
              <w:rPr>
                <w:sz w:val="20"/>
                <w:szCs w:val="20"/>
                <w:color w:val="auto"/>
              </w:rPr>
            </w:pPr>
            <w:r>
              <w:rPr>
                <w:rFonts w:ascii="Times New Roman" w:cs="Times New Roman" w:eastAsia="Times New Roman" w:hAnsi="Times New Roman"/>
                <w:sz w:val="14"/>
                <w:szCs w:val="14"/>
                <w:color w:val="auto"/>
              </w:rPr>
              <w:t>136</w:t>
            </w: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87"/>
        </w:trPr>
        <w:tc>
          <w:tcPr>
            <w:tcW w:w="17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33"/>
        </w:trPr>
        <w:tc>
          <w:tcPr>
            <w:tcW w:w="1520" w:type="dxa"/>
            <w:vAlign w:val="bottom"/>
            <w:gridSpan w:val="2"/>
          </w:tcPr>
          <w:p>
            <w:pPr>
              <w:jc w:val="center"/>
              <w:ind w:right="309"/>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24"/>
                <w:szCs w:val="24"/>
                <w:color w:val="auto"/>
              </w:rPr>
            </w:pPr>
          </w:p>
        </w:tc>
        <w:tc>
          <w:tcPr>
            <w:tcW w:w="950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Investor Rights Agreement, dated as of October 3, 2012, by and among EFS-S, LLC, Summit Midstream GP, LLC and Summit Midstream Partners, LLC (Incorporated</w:t>
              </w:r>
            </w:hyperlink>
          </w:p>
        </w:tc>
        <w:tc>
          <w:tcPr>
            <w:tcW w:w="60" w:type="dxa"/>
            <w:vAlign w:val="bottom"/>
            <w:gridSpan w:val="2"/>
          </w:tcPr>
          <w:p>
            <w:pPr>
              <w:spacing w:after="0"/>
              <w:rPr>
                <w:sz w:val="24"/>
                <w:szCs w:val="24"/>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herein by reference to Exhibit 4.1 to SMLP's Current Report on Form 8-K dated October 4, 2012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tcBorders>
              <w:bottom w:val="single" w:sz="8" w:color="CCEEFF"/>
            </w:tcBorders>
            <w:shd w:val="clear" w:color="auto" w:fill="CCEEFF"/>
          </w:tcPr>
          <w:p>
            <w:pPr>
              <w:spacing w:after="0"/>
              <w:rPr>
                <w:sz w:val="13"/>
                <w:szCs w:val="13"/>
                <w:color w:val="auto"/>
              </w:rPr>
            </w:pPr>
          </w:p>
        </w:tc>
        <w:tc>
          <w:tcPr>
            <w:tcW w:w="924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Strict Foreclosure Agreement, dated November 17, 2020, by and among Summit Midstream Partners Holdings, LLC, Summit Midstream Partners, LLC and Credit</w:t>
              </w:r>
            </w:hyperlink>
          </w:p>
        </w:tc>
        <w:tc>
          <w:tcPr>
            <w:tcW w:w="320" w:type="dxa"/>
            <w:vAlign w:val="bottom"/>
            <w:tcBorders>
              <w:bottom w:val="single" w:sz="8" w:color="CCEEFF"/>
            </w:tcBorders>
            <w:gridSpan w:val="14"/>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40" w:type="dxa"/>
            <w:vAlign w:val="bottom"/>
            <w:tcBorders>
              <w:bottom w:val="single" w:sz="8" w:color="0000FF"/>
            </w:tcBorders>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Suisse AG, Cayman Islands Branch (Incorporated herein by reference to Exhibit 10.1 to SMLP’s Current Report on Form 8-K dated November 17, 2020 (Commission</w:t>
              </w:r>
            </w:hyperlink>
          </w:p>
        </w:tc>
        <w:tc>
          <w:tcPr>
            <w:tcW w:w="120" w:type="dxa"/>
            <w:vAlign w:val="bottom"/>
            <w:tcBorders>
              <w:bottom w:val="single" w:sz="8" w:color="CCEEFF"/>
            </w:tcBorders>
            <w:gridSpan w:val="5"/>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29"/>
            <w:shd w:val="clear" w:color="auto" w:fill="CCEEFF"/>
          </w:tcPr>
          <w:p>
            <w:pPr>
              <w:spacing w:after="0" w:line="150"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File No. 001-35666))</w:t>
              </w:r>
            </w:hyperlink>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520" w:type="dxa"/>
            <w:vAlign w:val="bottom"/>
            <w:gridSpan w:val="2"/>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3"/>
                <w:szCs w:val="13"/>
                <w:color w:val="auto"/>
              </w:rPr>
            </w:pPr>
          </w:p>
        </w:tc>
        <w:tc>
          <w:tcPr>
            <w:tcW w:w="9380" w:type="dxa"/>
            <w:vAlign w:val="bottom"/>
            <w:tcBorders>
              <w:bottom w:val="single" w:sz="8" w:color="0000FF"/>
            </w:tcBorders>
            <w:gridSpan w:val="21"/>
          </w:tcPr>
          <w:p>
            <w:pPr>
              <w:spacing w:after="0" w:line="159"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General Assignment and Bill of Sale, dated November 17, 2020, by Summit Midstream Partners Holdings, LLC and Summit Midstream Partners, LLC (Incorporated</w:t>
              </w:r>
            </w:hyperlink>
          </w:p>
        </w:tc>
        <w:tc>
          <w:tcPr>
            <w:tcW w:w="180" w:type="dxa"/>
            <w:vAlign w:val="bottom"/>
            <w:gridSpan w:val="8"/>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herein by reference to Exhibit 10.2 to SMLP’s Current Report on Form 8-K dated November 17, 2020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FF"/>
            </w:tcBorders>
            <w:gridSpan w:val="27"/>
            <w:shd w:val="clear" w:color="auto" w:fill="CCEEFF"/>
          </w:tcPr>
          <w:p>
            <w:pPr>
              <w:spacing w:after="0" w:line="159"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Mutual Release Agreement, dated November 17, 2020, by and among Summit Midstream Partners Holdings, LLC, Summit Midstream Partners, LLC, the lenders party</w:t>
              </w:r>
            </w:hyperlink>
          </w:p>
        </w:tc>
        <w:tc>
          <w:tcPr>
            <w:tcW w:w="60" w:type="dxa"/>
            <w:vAlign w:val="bottom"/>
            <w:tcBorders>
              <w:bottom w:val="single" w:sz="8" w:color="CCEEFF"/>
            </w:tcBorders>
            <w:gridSpan w:val="2"/>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40" w:type="dxa"/>
            <w:vAlign w:val="bottom"/>
            <w:tcBorders>
              <w:bottom w:val="single" w:sz="8" w:color="0000FF"/>
            </w:tcBorders>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thereto, and Credit Suisse AG, Cayman Islands Branch (Incorporated herein by reference to Exhibit 10.3 to SMLP’s Current Report on Form 8-K dated November 17,</w:t>
              </w:r>
            </w:hyperlink>
          </w:p>
        </w:tc>
        <w:tc>
          <w:tcPr>
            <w:tcW w:w="120" w:type="dxa"/>
            <w:vAlign w:val="bottom"/>
            <w:tcBorders>
              <w:bottom w:val="single" w:sz="8" w:color="CCEEFF"/>
            </w:tcBorders>
            <w:gridSpan w:val="5"/>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0000FF"/>
            </w:tcBorders>
            <w:gridSpan w:val="3"/>
            <w:shd w:val="clear" w:color="auto" w:fill="CCEEFF"/>
          </w:tcPr>
          <w:p>
            <w:pPr>
              <w:spacing w:after="0" w:line="150"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2020 (Commission File No. 001-35666)).</w:t>
              </w:r>
            </w:hyperlink>
          </w:p>
        </w:tc>
        <w:tc>
          <w:tcPr>
            <w:tcW w:w="7200" w:type="dxa"/>
            <w:vAlign w:val="bottom"/>
            <w:tcBorders>
              <w:bottom w:val="single" w:sz="8" w:color="CCEEFF"/>
            </w:tcBorders>
            <w:gridSpan w:val="26"/>
            <w:shd w:val="clear" w:color="auto" w:fill="CCEEFF"/>
          </w:tcPr>
          <w:p>
            <w:pPr>
              <w:spacing w:after="0"/>
              <w:rPr>
                <w:sz w:val="15"/>
                <w:szCs w:val="15"/>
                <w:color w:val="auto"/>
              </w:rPr>
            </w:pPr>
          </w:p>
        </w:tc>
      </w:tr>
      <w:tr>
        <w:trPr>
          <w:trHeight w:val="159"/>
        </w:trPr>
        <w:tc>
          <w:tcPr>
            <w:tcW w:w="1520" w:type="dxa"/>
            <w:vAlign w:val="bottom"/>
            <w:gridSpan w:val="2"/>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3"/>
                <w:szCs w:val="13"/>
                <w:color w:val="auto"/>
              </w:rPr>
            </w:pPr>
          </w:p>
        </w:tc>
        <w:tc>
          <w:tcPr>
            <w:tcW w:w="9280" w:type="dxa"/>
            <w:vAlign w:val="bottom"/>
            <w:tcBorders>
              <w:bottom w:val="single" w:sz="8" w:color="0000FF"/>
            </w:tcBorders>
            <w:gridSpan w:val="16"/>
          </w:tcPr>
          <w:p>
            <w:pPr>
              <w:spacing w:after="0" w:line="159"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Term Loan Credit Agreement, dated May 28, 2020, by and among Summit Midstream Holdings, LLC, as borrower, SMP TopCo, LLC, as lender and administrative</w:t>
              </w:r>
            </w:hyperlink>
          </w:p>
        </w:tc>
        <w:tc>
          <w:tcPr>
            <w:tcW w:w="280" w:type="dxa"/>
            <w:vAlign w:val="bottom"/>
            <w:gridSpan w:val="13"/>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agent and Mizuho Bank (USA), as collateral agent (Incorporated herein by reference to Exhibit 10.1 to SMLP’s Current Report on Form 8-K dated June 2,</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740" w:type="dxa"/>
            <w:vAlign w:val="bottom"/>
            <w:tcBorders>
              <w:top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2020 (Commission File No. 001-35666))</w:t>
              </w:r>
            </w:hyperlink>
          </w:p>
        </w:tc>
        <w:tc>
          <w:tcPr>
            <w:tcW w:w="820" w:type="dxa"/>
            <w:vAlign w:val="bottom"/>
            <w:gridSpan w:val="16"/>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200" w:type="dxa"/>
            <w:vAlign w:val="bottom"/>
            <w:tcBorders>
              <w:bottom w:val="single" w:sz="8" w:color="CCEEFF"/>
            </w:tcBorders>
            <w:shd w:val="clear" w:color="auto" w:fill="CCEEFF"/>
          </w:tcPr>
          <w:p>
            <w:pPr>
              <w:spacing w:after="0"/>
              <w:rPr>
                <w:sz w:val="13"/>
                <w:szCs w:val="13"/>
                <w:color w:val="auto"/>
              </w:rPr>
            </w:pPr>
          </w:p>
        </w:tc>
        <w:tc>
          <w:tcPr>
            <w:tcW w:w="922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Term Loan Credit Agreement, dated May 28, 2020, by and among Summit Midstream Holdings, LLC, as borrower, SMLP Holdings, LLC, as lender, SMP TopCo,</w:t>
              </w:r>
            </w:hyperlink>
          </w:p>
        </w:tc>
        <w:tc>
          <w:tcPr>
            <w:tcW w:w="340" w:type="dxa"/>
            <w:vAlign w:val="bottom"/>
            <w:tcBorders>
              <w:bottom w:val="single" w:sz="8" w:color="CCEEFF"/>
            </w:tcBorders>
            <w:gridSpan w:val="15"/>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29"/>
            <w:shd w:val="clear" w:color="auto" w:fill="CCEEFF"/>
          </w:tcPr>
          <w:p>
            <w:pPr>
              <w:spacing w:after="0" w:line="150"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LLC, as administrative agent and Mizuho Bank (USA), as collateral agent (Incorporated herein by reference to Exhibit 10.2 to SMLP’s Current Report on Form 8-K</w:t>
              </w:r>
            </w:hyperlink>
          </w:p>
        </w:tc>
      </w:tr>
      <w:tr>
        <w:trPr>
          <w:trHeight w:val="183"/>
        </w:trPr>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100" w:type="dxa"/>
            <w:vAlign w:val="bottom"/>
            <w:tcBorders>
              <w:top w:val="single" w:sz="8" w:color="0000FF"/>
              <w:bottom w:val="single" w:sz="8" w:color="0000FF"/>
            </w:tcBorders>
            <w:gridSpan w:val="5"/>
            <w:shd w:val="clear" w:color="auto" w:fill="CCEEFF"/>
          </w:tcPr>
          <w:p>
            <w:pPr>
              <w:spacing w:after="0" w:line="150"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dated June 2, 2020 (Commission File No. 001-35666))</w:t>
              </w:r>
            </w:hyperlink>
          </w:p>
        </w:tc>
        <w:tc>
          <w:tcPr>
            <w:tcW w:w="620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12"/>
            <w:shd w:val="clear" w:color="auto" w:fill="CCEEFF"/>
          </w:tcPr>
          <w:p>
            <w:pPr>
              <w:spacing w:after="0"/>
              <w:rPr>
                <w:sz w:val="15"/>
                <w:szCs w:val="15"/>
                <w:color w:val="auto"/>
              </w:rPr>
            </w:pPr>
          </w:p>
        </w:tc>
      </w:tr>
      <w:tr>
        <w:trPr>
          <w:trHeight w:val="159"/>
        </w:trPr>
        <w:tc>
          <w:tcPr>
            <w:tcW w:w="1520" w:type="dxa"/>
            <w:vAlign w:val="bottom"/>
            <w:gridSpan w:val="2"/>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200" w:type="dxa"/>
            <w:vAlign w:val="bottom"/>
          </w:tcPr>
          <w:p>
            <w:pPr>
              <w:spacing w:after="0"/>
              <w:rPr>
                <w:sz w:val="13"/>
                <w:szCs w:val="13"/>
                <w:color w:val="auto"/>
              </w:rPr>
            </w:pPr>
          </w:p>
        </w:tc>
        <w:tc>
          <w:tcPr>
            <w:tcW w:w="9560" w:type="dxa"/>
            <w:vAlign w:val="bottom"/>
            <w:gridSpan w:val="29"/>
          </w:tcPr>
          <w:p>
            <w:pPr>
              <w:spacing w:after="0" w:line="159"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Guarantee and Collateral Agreement, dated May 28, 2020, by and among Summit Midstream Holdings, LLC, Summit Midstream Partners, LP, the subsidiaries listed</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therein and Mizuho Bank (USA), as collateral agent, relating to the ECP NewCo Term Loan Credit Agreement (Incorporated herein by reference to Exhibit 10.3 to</w:t>
              </w:r>
            </w:hyperlink>
          </w:p>
        </w:tc>
        <w:tc>
          <w:tcPr>
            <w:tcW w:w="220" w:type="dxa"/>
            <w:vAlign w:val="bottom"/>
            <w:gridSpan w:val="10"/>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20" w:type="dxa"/>
            <w:vAlign w:val="bottom"/>
            <w:tcBorders>
              <w:top w:val="single" w:sz="8" w:color="0000FF"/>
            </w:tcBorders>
            <w:gridSpan w:val="14"/>
          </w:tcPr>
          <w:p>
            <w:pPr>
              <w:spacing w:after="0" w:line="150"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SMLP’s Current Report on Form 8-K dated June 2, 2020 (Commission File No. 001-35666))</w:t>
              </w:r>
            </w:hyperlink>
          </w:p>
        </w:tc>
        <w:tc>
          <w:tcPr>
            <w:tcW w:w="340" w:type="dxa"/>
            <w:vAlign w:val="bottom"/>
            <w:gridSpan w:val="15"/>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3"/>
                <w:szCs w:val="13"/>
                <w:color w:val="auto"/>
              </w:rPr>
            </w:pPr>
          </w:p>
        </w:tc>
        <w:tc>
          <w:tcPr>
            <w:tcW w:w="9560" w:type="dxa"/>
            <w:vAlign w:val="bottom"/>
            <w:gridSpan w:val="29"/>
            <w:shd w:val="clear" w:color="auto" w:fill="CCEEFF"/>
          </w:tcPr>
          <w:p>
            <w:pPr>
              <w:spacing w:after="0" w:line="159"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Guarantee and Collateral Agreement, dated May 28, 2020, by and among Summit Midstream Holdings, LLC, Summit Midstream Partners, LP, the subsidiaries listed</w:t>
              </w:r>
            </w:hyperlink>
          </w:p>
        </w:tc>
      </w:tr>
      <w:tr>
        <w:trPr>
          <w:trHeight w:val="150"/>
        </w:trPr>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320" w:type="dxa"/>
            <w:vAlign w:val="bottom"/>
            <w:tcBorders>
              <w:top w:val="single" w:sz="8" w:color="0000FF"/>
              <w:bottom w:val="single" w:sz="8" w:color="0000FF"/>
            </w:tcBorders>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therein and Mizuho Bank (USA), as collateral agent, relating to the ECP Holdings Term Loan Credit Agreement (Incorporated herein by reference to Exhibit 10.4 to</w:t>
              </w:r>
            </w:hyperlink>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10"/>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SMLP’s Current Report on Form 8-K dated June 2, 2020 (Commission File No. 001-35666))</w:t>
              </w:r>
            </w:hyperlink>
          </w:p>
        </w:tc>
        <w:tc>
          <w:tcPr>
            <w:tcW w:w="430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520" w:type="dxa"/>
            <w:vAlign w:val="bottom"/>
            <w:gridSpan w:val="2"/>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tcPr>
          <w:p>
            <w:pPr>
              <w:spacing w:after="0"/>
              <w:rPr>
                <w:sz w:val="13"/>
                <w:szCs w:val="13"/>
                <w:color w:val="auto"/>
              </w:rPr>
            </w:pPr>
          </w:p>
        </w:tc>
        <w:tc>
          <w:tcPr>
            <w:tcW w:w="9440" w:type="dxa"/>
            <w:vAlign w:val="bottom"/>
            <w:tcBorders>
              <w:bottom w:val="single" w:sz="8" w:color="0000FF"/>
            </w:tcBorders>
            <w:gridSpan w:val="24"/>
          </w:tcPr>
          <w:p>
            <w:pPr>
              <w:spacing w:after="0" w:line="15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Pari Passu Intercreditor Agreement, dated as of May 28, 2020, among Wells Fargo Bank, National Association, as Revolving Credit Facility Collateral Agent, Mizuho</w:t>
              </w:r>
            </w:hyperlink>
          </w:p>
        </w:tc>
        <w:tc>
          <w:tcPr>
            <w:tcW w:w="120" w:type="dxa"/>
            <w:vAlign w:val="bottom"/>
            <w:gridSpan w:val="5"/>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Bank (USA), as NewCo Term Loan Collateral Agent and SMLP Holdings Term Loan Collateral Agent, Summit Midstream Holdings, LLC and other grantors from time</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40" w:type="dxa"/>
            <w:vAlign w:val="bottom"/>
            <w:tcBorders>
              <w:top w:val="single" w:sz="8" w:color="0000FF"/>
            </w:tcBorders>
            <w:gridSpan w:val="28"/>
          </w:tcPr>
          <w:p>
            <w:pPr>
              <w:spacing w:after="0" w:line="150"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to time party thereto (Incorporated herein by reference to Exhibit 10.5 to SMLP’s Current Report on Form 8-K dated June 2, 2020 (Commission File No. 001-35666))</w:t>
              </w:r>
            </w:hyperlink>
          </w:p>
        </w:tc>
        <w:tc>
          <w:tcPr>
            <w:tcW w:w="20" w:type="dxa"/>
            <w:vAlign w:val="bottom"/>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rPr>
              <w:t>10.9</w:t>
            </w:r>
          </w:p>
        </w:tc>
        <w:tc>
          <w:tcPr>
            <w:tcW w:w="2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FF"/>
            </w:tcBorders>
            <w:gridSpan w:val="26"/>
            <w:shd w:val="clear" w:color="auto" w:fill="CCEEFF"/>
          </w:tcPr>
          <w:p>
            <w:pPr>
              <w:spacing w:after="0" w:line="15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Warrant to Purchase Common Units, dated May 28, 2020, from Summit Midstream Partners, LP to SMP TopCo, LLC (Incorporated herein by reference to Exhibit 10.6</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29"/>
            <w:shd w:val="clear" w:color="auto" w:fill="CCEEFF"/>
          </w:tcPr>
          <w:p>
            <w:pPr>
              <w:spacing w:after="0" w:line="150"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to SMLP’s Current Report on Form 8-K dated June 2, 2020 (Commission File No. 001-35666))</w:t>
              </w:r>
            </w:hyperlink>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520" w:type="dxa"/>
            <w:vAlign w:val="bottom"/>
            <w:gridSpan w:val="2"/>
          </w:tcPr>
          <w:p>
            <w:pPr>
              <w:jc w:val="center"/>
              <w:ind w:right="329"/>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200" w:type="dxa"/>
            <w:vAlign w:val="bottom"/>
          </w:tcPr>
          <w:p>
            <w:pPr>
              <w:spacing w:after="0"/>
              <w:rPr>
                <w:sz w:val="13"/>
                <w:szCs w:val="13"/>
                <w:color w:val="auto"/>
              </w:rPr>
            </w:pPr>
          </w:p>
        </w:tc>
        <w:tc>
          <w:tcPr>
            <w:tcW w:w="9440" w:type="dxa"/>
            <w:vAlign w:val="bottom"/>
            <w:tcBorders>
              <w:bottom w:val="single" w:sz="8" w:color="0000FF"/>
            </w:tcBorders>
            <w:gridSpan w:val="24"/>
          </w:tcPr>
          <w:p>
            <w:pPr>
              <w:spacing w:after="0" w:line="159"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Warrant to Purchase Common Units, dated May 28, 2020, from Summit Midstream Partners, LP to SMLP Holdings, LLC (Incorporated herein by reference to Exhibit</w:t>
              </w:r>
            </w:hyperlink>
          </w:p>
        </w:tc>
        <w:tc>
          <w:tcPr>
            <w:tcW w:w="120" w:type="dxa"/>
            <w:vAlign w:val="bottom"/>
            <w:gridSpan w:val="5"/>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0000FF"/>
                </w:rPr>
                <w:t xml:space="preserve"> to SMLP’s Current Report on Form 8-K dated June 2, 2020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gridSpan w:val="2"/>
            <w:shd w:val="clear" w:color="auto" w:fill="CCEEFF"/>
          </w:tcPr>
          <w:p>
            <w:pPr>
              <w:jc w:val="center"/>
              <w:ind w:right="309"/>
              <w:spacing w:after="0" w:line="159" w:lineRule="exact"/>
              <w:rPr>
                <w:sz w:val="20"/>
                <w:szCs w:val="20"/>
                <w:color w:val="auto"/>
              </w:rPr>
            </w:pPr>
            <w:r>
              <w:rPr>
                <w:rFonts w:ascii="Times New Roman" w:cs="Times New Roman" w:eastAsia="Times New Roman" w:hAnsi="Times New Roman"/>
                <w:sz w:val="14"/>
                <w:szCs w:val="14"/>
                <w:color w:val="auto"/>
                <w:w w:val="95"/>
              </w:rPr>
              <w:t>10.11</w:t>
            </w:r>
          </w:p>
        </w:tc>
        <w:tc>
          <w:tcPr>
            <w:tcW w:w="200" w:type="dxa"/>
            <w:vAlign w:val="bottom"/>
            <w:shd w:val="clear" w:color="auto" w:fill="CCEEFF"/>
          </w:tcPr>
          <w:p>
            <w:pPr>
              <w:spacing w:after="0"/>
              <w:rPr>
                <w:sz w:val="13"/>
                <w:szCs w:val="13"/>
                <w:color w:val="auto"/>
              </w:rPr>
            </w:pPr>
          </w:p>
        </w:tc>
        <w:tc>
          <w:tcPr>
            <w:tcW w:w="9560" w:type="dxa"/>
            <w:vAlign w:val="bottom"/>
            <w:gridSpan w:val="29"/>
            <w:shd w:val="clear" w:color="auto" w:fill="CCEEFF"/>
          </w:tcPr>
          <w:p>
            <w:pPr>
              <w:spacing w:after="0" w:line="15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Operation and Management Services Agreement, dated May 28, 2020, by and among Summit Midstream Partners, LP and Summit Operating Services Company, LLC</w:t>
              </w:r>
            </w:hyperlink>
          </w:p>
        </w:tc>
      </w:tr>
      <w:tr>
        <w:trPr>
          <w:trHeight w:val="183"/>
        </w:trPr>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20" w:type="dxa"/>
            <w:vAlign w:val="bottom"/>
            <w:tcBorders>
              <w:top w:val="single" w:sz="8" w:color="0000FF"/>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(Incorporated herein by reference to Exhibit 10.8 to SMLP’s Current Report on Form 8-K dated June 2, 2020 (Commission File No. 001-35666))</w:t>
              </w:r>
            </w:hyperlink>
          </w:p>
        </w:tc>
        <w:tc>
          <w:tcPr>
            <w:tcW w:w="122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5"/>
            <w:shd w:val="clear" w:color="auto" w:fill="CCEEFF"/>
          </w:tcPr>
          <w:p>
            <w:pPr>
              <w:spacing w:after="0"/>
              <w:rPr>
                <w:sz w:val="15"/>
                <w:szCs w:val="15"/>
                <w:color w:val="auto"/>
              </w:rPr>
            </w:pPr>
          </w:p>
        </w:tc>
      </w:tr>
      <w:tr>
        <w:trPr>
          <w:trHeight w:val="159"/>
        </w:trPr>
        <w:tc>
          <w:tcPr>
            <w:tcW w:w="1520" w:type="dxa"/>
            <w:vAlign w:val="bottom"/>
            <w:gridSpan w:val="2"/>
          </w:tcPr>
          <w:p>
            <w:pPr>
              <w:jc w:val="center"/>
              <w:ind w:right="329"/>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200" w:type="dxa"/>
            <w:vAlign w:val="bottom"/>
          </w:tcPr>
          <w:p>
            <w:pPr>
              <w:spacing w:after="0"/>
              <w:rPr>
                <w:sz w:val="13"/>
                <w:szCs w:val="13"/>
                <w:color w:val="auto"/>
              </w:rPr>
            </w:pPr>
          </w:p>
        </w:tc>
        <w:tc>
          <w:tcPr>
            <w:tcW w:w="9360" w:type="dxa"/>
            <w:vAlign w:val="bottom"/>
            <w:tcBorders>
              <w:bottom w:val="single" w:sz="8" w:color="0000FF"/>
            </w:tcBorders>
            <w:gridSpan w:val="20"/>
          </w:tcPr>
          <w:p>
            <w:pPr>
              <w:spacing w:after="0" w:line="159"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Term Loan Agreement, dated as of March 21, 2017, among Summit Midstream Partners Holdings, LLC, as borrower, the lenders party thereto and Credit Suisse AG,</w:t>
              </w:r>
            </w:hyperlink>
          </w:p>
        </w:tc>
        <w:tc>
          <w:tcPr>
            <w:tcW w:w="200" w:type="dxa"/>
            <w:vAlign w:val="bottom"/>
            <w:gridSpan w:val="9"/>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80" w:type="dxa"/>
            <w:vAlign w:val="bottom"/>
            <w:tcBorders>
              <w:bottom w:val="single" w:sz="8" w:color="0000FF"/>
            </w:tcBorders>
            <w:gridSpan w:val="25"/>
          </w:tcPr>
          <w:p>
            <w:pPr>
              <w:spacing w:after="0" w:line="150"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Cayman Islands Branch, as Administrative Agent and Collateral Agent (Incorporated herein by reference to Exhibit 10.9 to SMLP’s Current Report on Form 8-K dated</w:t>
              </w:r>
            </w:hyperlink>
          </w:p>
        </w:tc>
        <w:tc>
          <w:tcPr>
            <w:tcW w:w="80" w:type="dxa"/>
            <w:vAlign w:val="bottom"/>
            <w:gridSpan w:val="4"/>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9"/>
          </w:tcPr>
          <w:p>
            <w:pPr>
              <w:spacing w:after="0" w:line="150"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June 2, 2020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center"/>
              <w:ind w:right="329"/>
              <w:spacing w:after="0" w:line="159" w:lineRule="exact"/>
              <w:rPr>
                <w:sz w:val="20"/>
                <w:szCs w:val="20"/>
                <w:color w:val="auto"/>
              </w:rPr>
            </w:pPr>
            <w:r>
              <w:rPr>
                <w:rFonts w:ascii="Times New Roman" w:cs="Times New Roman" w:eastAsia="Times New Roman" w:hAnsi="Times New Roman"/>
                <w:sz w:val="14"/>
                <w:szCs w:val="14"/>
                <w:color w:val="auto"/>
              </w:rPr>
              <w:t>10.13</w:t>
            </w:r>
          </w:p>
        </w:tc>
        <w:tc>
          <w:tcPr>
            <w:tcW w:w="200" w:type="dxa"/>
            <w:vAlign w:val="bottom"/>
            <w:tcBorders>
              <w:bottom w:val="single" w:sz="8" w:color="CCEEFF"/>
            </w:tcBorders>
            <w:shd w:val="clear" w:color="auto" w:fill="CCEEFF"/>
          </w:tcPr>
          <w:p>
            <w:pPr>
              <w:spacing w:after="0"/>
              <w:rPr>
                <w:sz w:val="13"/>
                <w:szCs w:val="13"/>
                <w:color w:val="auto"/>
              </w:rPr>
            </w:pPr>
          </w:p>
        </w:tc>
        <w:tc>
          <w:tcPr>
            <w:tcW w:w="9420" w:type="dxa"/>
            <w:vAlign w:val="bottom"/>
            <w:tcBorders>
              <w:bottom w:val="single" w:sz="8" w:color="0000FF"/>
            </w:tcBorders>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Guarantee and Collateral Agreement, dated as of March 21, 2017, by and among Summit Midstream Partners Holdings, LLC, as grantor, Summit Midstream Partners,</w:t>
              </w:r>
            </w:hyperlink>
          </w:p>
        </w:tc>
        <w:tc>
          <w:tcPr>
            <w:tcW w:w="140" w:type="dxa"/>
            <w:vAlign w:val="bottom"/>
            <w:tcBorders>
              <w:bottom w:val="single" w:sz="8" w:color="CCEEFF"/>
            </w:tcBorders>
            <w:gridSpan w:val="6"/>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380" w:type="dxa"/>
            <w:vAlign w:val="bottom"/>
            <w:tcBorders>
              <w:bottom w:val="single" w:sz="8" w:color="0000FF"/>
            </w:tcBorders>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LLC, as pledgor and grantor and Credit Suisse AG, Cayman Islands Branch, as collateral agent (Incorporated herein by reference to Exhibit 10.10 to SMLP’s Current</w:t>
              </w:r>
            </w:hyperlink>
          </w:p>
        </w:tc>
        <w:tc>
          <w:tcPr>
            <w:tcW w:w="180" w:type="dxa"/>
            <w:vAlign w:val="bottom"/>
            <w:tcBorders>
              <w:bottom w:val="single" w:sz="8" w:color="CCEEFF"/>
            </w:tcBorders>
            <w:gridSpan w:val="8"/>
            <w:shd w:val="clear" w:color="auto" w:fill="CCEEFF"/>
          </w:tcPr>
          <w:p>
            <w:pPr>
              <w:spacing w:after="0"/>
              <w:rPr>
                <w:sz w:val="13"/>
                <w:szCs w:val="13"/>
                <w:color w:val="auto"/>
              </w:rPr>
            </w:pPr>
          </w:p>
        </w:tc>
      </w:tr>
      <w:tr>
        <w:trPr>
          <w:trHeight w:val="183"/>
        </w:trPr>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60" w:type="dxa"/>
            <w:vAlign w:val="bottom"/>
            <w:gridSpan w:val="29"/>
            <w:shd w:val="clear" w:color="auto" w:fill="CCEEFF"/>
          </w:tcPr>
          <w:p>
            <w:pPr>
              <w:spacing w:after="0" w:line="150" w:lineRule="exact"/>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Report on Form 8-K dated June 2, 2020 (Commission File No. 001-35666))</w:t>
              </w:r>
            </w:hyperlink>
          </w:p>
        </w:tc>
      </w:tr>
      <w:tr>
        <w:trPr>
          <w:trHeight w:val="700"/>
        </w:trPr>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80" w:type="dxa"/>
            <w:vAlign w:val="bottom"/>
            <w:tcBorders>
              <w:top w:val="single" w:sz="8" w:color="0000FF"/>
            </w:tcBorders>
            <w:gridSpan w:val="6"/>
          </w:tcPr>
          <w:p>
            <w:pPr>
              <w:ind w:left="3820"/>
              <w:spacing w:after="0"/>
              <w:rPr>
                <w:sz w:val="20"/>
                <w:szCs w:val="20"/>
                <w:color w:val="auto"/>
              </w:rPr>
            </w:pPr>
            <w:r>
              <w:rPr>
                <w:rFonts w:ascii="Times New Roman" w:cs="Times New Roman" w:eastAsia="Times New Roman" w:hAnsi="Times New Roman"/>
                <w:sz w:val="14"/>
                <w:szCs w:val="14"/>
                <w:color w:val="auto"/>
              </w:rPr>
              <w:t>137</w:t>
            </w:r>
          </w:p>
        </w:tc>
        <w:tc>
          <w:tcPr>
            <w:tcW w:w="9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33"/>
        </w:trPr>
        <w:tc>
          <w:tcPr>
            <w:tcW w:w="152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color w:val="auto"/>
              </w:rPr>
              <w:t>10.14</w:t>
            </w:r>
          </w:p>
        </w:tc>
        <w:tc>
          <w:tcPr>
            <w:tcW w:w="200" w:type="dxa"/>
            <w:vAlign w:val="bottom"/>
          </w:tcPr>
          <w:p>
            <w:pPr>
              <w:spacing w:after="0"/>
              <w:rPr>
                <w:sz w:val="24"/>
                <w:szCs w:val="24"/>
                <w:color w:val="auto"/>
              </w:rPr>
            </w:pPr>
          </w:p>
        </w:tc>
        <w:tc>
          <w:tcPr>
            <w:tcW w:w="9560" w:type="dxa"/>
            <w:vAlign w:val="bottom"/>
            <w:gridSpan w:val="24"/>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Amendment to Warrants to Purchase Common Units, dated August 7, 2020, by and among Summit Midstream Partners, LP, SMP TopCo, LLC and SMLP Holdings,</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0"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LLC (Incorporated herein by reference to Exhibit 10.11 to SMLP’s Quarterly Report on Form 10-Q for the period ended September 30, 2020 (Commission File No.</w:t>
              </w:r>
            </w:hyperlink>
          </w:p>
        </w:tc>
        <w:tc>
          <w:tcPr>
            <w:tcW w:w="240" w:type="dxa"/>
            <w:vAlign w:val="bottom"/>
            <w:gridSpan w:val="8"/>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w w:val="97"/>
              </w:rPr>
            </w:pPr>
            <w:hyperlink r:id="rId267">
              <w:r>
                <w:rPr>
                  <w:rFonts w:ascii="Times New Roman" w:cs="Times New Roman" w:eastAsia="Times New Roman" w:hAnsi="Times New Roman"/>
                  <w:sz w:val="14"/>
                  <w:szCs w:val="14"/>
                  <w:color w:val="0000FF"/>
                  <w:w w:val="97"/>
                </w:rPr>
                <w:t>001-35666))</w:t>
              </w:r>
            </w:hyperlink>
          </w:p>
        </w:tc>
        <w:tc>
          <w:tcPr>
            <w:tcW w:w="13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10.15</w:t>
            </w:r>
          </w:p>
        </w:tc>
        <w:tc>
          <w:tcPr>
            <w:tcW w:w="200" w:type="dxa"/>
            <w:vAlign w:val="bottom"/>
            <w:shd w:val="clear" w:color="auto" w:fill="CCEEFF"/>
          </w:tcPr>
          <w:p>
            <w:pPr>
              <w:spacing w:after="0"/>
              <w:rPr>
                <w:sz w:val="13"/>
                <w:szCs w:val="13"/>
                <w:color w:val="auto"/>
              </w:rPr>
            </w:pPr>
          </w:p>
        </w:tc>
        <w:tc>
          <w:tcPr>
            <w:tcW w:w="95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Transaction Support Agreement, dated September 29, 2020, by and among Summit Midstream Partners Holdings, LLC, Summit Midstream Partners, LLC, Summit</w:t>
              </w:r>
            </w:hyperlink>
          </w:p>
        </w:tc>
      </w:tr>
      <w:tr>
        <w:trPr>
          <w:trHeight w:val="20"/>
        </w:trPr>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FF"/>
              <w:right w:val="single" w:sz="8" w:color="CCEEFF"/>
            </w:tcBorders>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Midstream Partners, LP and the Initial Directing Lenders listed therein (Incorporated herein by reference to Exhibit 10.1 to SMLP’s Current Report on Form 8-K dated</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180" w:type="dxa"/>
            <w:vAlign w:val="bottom"/>
            <w:tcBorders>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September 30, 2020 (Commission File No. 001-34666))</w:t>
              </w:r>
            </w:hyperlink>
          </w:p>
        </w:tc>
        <w:tc>
          <w:tcPr>
            <w:tcW w:w="6380" w:type="dxa"/>
            <w:vAlign w:val="bottom"/>
            <w:tcBorders>
              <w:bottom w:val="single" w:sz="8" w:color="CCEEFF"/>
            </w:tcBorders>
            <w:gridSpan w:val="17"/>
            <w:shd w:val="clear" w:color="auto" w:fill="CCEEFF"/>
          </w:tcPr>
          <w:p>
            <w:pPr>
              <w:spacing w:after="0"/>
              <w:rPr>
                <w:sz w:val="15"/>
                <w:szCs w:val="15"/>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10.16</w:t>
            </w:r>
          </w:p>
        </w:tc>
        <w:tc>
          <w:tcPr>
            <w:tcW w:w="200" w:type="dxa"/>
            <w:vAlign w:val="bottom"/>
          </w:tcPr>
          <w:p>
            <w:pPr>
              <w:spacing w:after="0"/>
              <w:rPr>
                <w:sz w:val="13"/>
                <w:szCs w:val="13"/>
                <w:color w:val="auto"/>
              </w:rPr>
            </w:pPr>
          </w:p>
        </w:tc>
        <w:tc>
          <w:tcPr>
            <w:tcW w:w="954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Purchase Agreement, dated as of June 12, 2013, by and among Summit Midstream Holdings, LLC, Summit Midstream Finance Corp., Summit Midstream GP, LLC, the</w:t>
              </w:r>
            </w:hyperlink>
          </w:p>
        </w:tc>
        <w:tc>
          <w:tcPr>
            <w:tcW w:w="20" w:type="dxa"/>
            <w:vAlign w:val="bottom"/>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00" w:type="dxa"/>
            <w:vAlign w:val="bottom"/>
            <w:tcBorders>
              <w:bottom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Guarantors named therein and the Initial Purchasers named therein (Incorporated herein by reference to Exhibit 1.1 to SMLP's Current Report on Form 8-K dated June</w:t>
              </w:r>
            </w:hyperlink>
          </w:p>
        </w:tc>
        <w:tc>
          <w:tcPr>
            <w:tcW w:w="60" w:type="dxa"/>
            <w:vAlign w:val="bottom"/>
            <w:gridSpan w:val="3"/>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4"/>
          </w:tcPr>
          <w:p>
            <w:pPr>
              <w:spacing w:after="0" w:line="150"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17, 2013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10.17</w:t>
            </w:r>
          </w:p>
        </w:tc>
        <w:tc>
          <w:tcPr>
            <w:tcW w:w="200" w:type="dxa"/>
            <w:vAlign w:val="bottom"/>
            <w:tcBorders>
              <w:bottom w:val="single" w:sz="8" w:color="CCEEFF"/>
            </w:tcBorders>
            <w:shd w:val="clear" w:color="auto" w:fill="CCEEFF"/>
          </w:tcPr>
          <w:p>
            <w:pPr>
              <w:spacing w:after="0"/>
              <w:rPr>
                <w:sz w:val="13"/>
                <w:szCs w:val="13"/>
                <w:color w:val="auto"/>
              </w:rPr>
            </w:pPr>
          </w:p>
        </w:tc>
        <w:tc>
          <w:tcPr>
            <w:tcW w:w="9520" w:type="dxa"/>
            <w:vAlign w:val="bottom"/>
            <w:tcBorders>
              <w:bottom w:val="single" w:sz="8" w:color="0000FF"/>
            </w:tcBorders>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Purchase and Sale Agreement between Meadowlark Midstream Company, LLC, Tioga Midstream, LLC and Hess North Dakota Pipelines LLC dated as of February 22,</w:t>
              </w:r>
            </w:hyperlink>
          </w:p>
        </w:tc>
        <w:tc>
          <w:tcPr>
            <w:tcW w:w="40" w:type="dxa"/>
            <w:vAlign w:val="bottom"/>
            <w:tcBorders>
              <w:bottom w:val="single" w:sz="8" w:color="CCEEFF"/>
            </w:tcBorders>
            <w:gridSpan w:val="2"/>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2019 (Incorporated herein by reference to Exhibit 10.1 to SMLP's Current Report on Form 8-K dated February 26, 2019 (Commission File No. 001-35666))</w:t>
              </w:r>
            </w:hyperlink>
          </w:p>
        </w:tc>
        <w:tc>
          <w:tcPr>
            <w:tcW w:w="720" w:type="dxa"/>
            <w:vAlign w:val="bottom"/>
            <w:tcBorders>
              <w:bottom w:val="single" w:sz="8" w:color="CCEEFF"/>
            </w:tcBorders>
            <w:gridSpan w:val="13"/>
            <w:shd w:val="clear" w:color="auto" w:fill="CCEEFF"/>
          </w:tcPr>
          <w:p>
            <w:pPr>
              <w:spacing w:after="0"/>
              <w:rPr>
                <w:sz w:val="15"/>
                <w:szCs w:val="15"/>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10.18</w:t>
            </w:r>
          </w:p>
        </w:tc>
        <w:tc>
          <w:tcPr>
            <w:tcW w:w="200" w:type="dxa"/>
            <w:vAlign w:val="bottom"/>
          </w:tcPr>
          <w:p>
            <w:pPr>
              <w:spacing w:after="0"/>
              <w:rPr>
                <w:sz w:val="13"/>
                <w:szCs w:val="13"/>
                <w:color w:val="auto"/>
              </w:rPr>
            </w:pPr>
          </w:p>
        </w:tc>
        <w:tc>
          <w:tcPr>
            <w:tcW w:w="9560" w:type="dxa"/>
            <w:vAlign w:val="bottom"/>
            <w:gridSpan w:val="24"/>
          </w:tcPr>
          <w:p>
            <w:pPr>
              <w:spacing w:after="0" w:line="159"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Purchase and Sale Agreement between Meadowlark Midstream Company, LLC, Tioga Midstream, LLC and Hess Infrastructure Partners LP dated as of February 22,</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2019 (Incorporated herein by reference to Exhibit 10.2 to SMLP's Current Report on Form 8-K dated February 26, 2019 (Commission File No. 001-35666))</w:t>
              </w:r>
            </w:hyperlink>
          </w:p>
        </w:tc>
        <w:tc>
          <w:tcPr>
            <w:tcW w:w="220" w:type="dxa"/>
            <w:vAlign w:val="bottom"/>
            <w:gridSpan w:val="7"/>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2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10.19</w:t>
            </w:r>
          </w:p>
        </w:tc>
        <w:tc>
          <w:tcPr>
            <w:tcW w:w="200" w:type="dxa"/>
            <w:vAlign w:val="bottom"/>
            <w:shd w:val="clear" w:color="auto" w:fill="CCEEFF"/>
          </w:tcPr>
          <w:p>
            <w:pPr>
              <w:spacing w:after="0"/>
              <w:rPr>
                <w:sz w:val="13"/>
                <w:szCs w:val="13"/>
                <w:color w:val="auto"/>
              </w:rPr>
            </w:pPr>
          </w:p>
        </w:tc>
        <w:tc>
          <w:tcPr>
            <w:tcW w:w="95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Indenture, dated as of June 17, 2013, by and among Summit Midstream Holdings, LLC, Summit Midstream Finance Corp., the Guarantors party thereto and U.S. Bank</w:t>
              </w:r>
            </w:hyperlink>
          </w:p>
        </w:tc>
      </w:tr>
      <w:tr>
        <w:trPr>
          <w:trHeight w:val="20"/>
        </w:trPr>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FF"/>
              <w:right w:val="single" w:sz="8" w:color="CCEEFF"/>
            </w:tcBorders>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National Association (including form of the 7½% senior notes due 2021) (Incorporated herein by reference to Exhibit 4.1 to SMLP's Current Report on Form 8-K dated</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June 17, 2013 (Commission File No. 001-35666))</w:t>
              </w:r>
            </w:hyperlink>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10.20</w:t>
            </w:r>
          </w:p>
        </w:tc>
        <w:tc>
          <w:tcPr>
            <w:tcW w:w="200" w:type="dxa"/>
            <w:vAlign w:val="bottom"/>
          </w:tcPr>
          <w:p>
            <w:pPr>
              <w:spacing w:after="0"/>
              <w:rPr>
                <w:sz w:val="13"/>
                <w:szCs w:val="13"/>
                <w:color w:val="auto"/>
              </w:rPr>
            </w:pPr>
          </w:p>
        </w:tc>
        <w:tc>
          <w:tcPr>
            <w:tcW w:w="9560" w:type="dxa"/>
            <w:vAlign w:val="bottom"/>
            <w:gridSpan w:val="24"/>
          </w:tcPr>
          <w:p>
            <w:pPr>
              <w:spacing w:after="0" w:line="159"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Registration Rights Agreement, dated as of June 17, 2013, by and among Summit Midstream Holdings, LLC, Summit Midstream Finance Corp., the Guarantors named</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therein and the Initial Purchasers named therein (Incorporated herein by reference to Exhibit 4.2 to SMLP's Current Report on Form 8-K dated June 17, 2013</w:t>
              </w:r>
            </w:hyperlink>
          </w:p>
        </w:tc>
        <w:tc>
          <w:tcPr>
            <w:tcW w:w="60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4"/>
          </w:tcPr>
          <w:p>
            <w:pPr>
              <w:spacing w:after="0" w:line="150"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10.21</w:t>
            </w:r>
          </w:p>
        </w:tc>
        <w:tc>
          <w:tcPr>
            <w:tcW w:w="200" w:type="dxa"/>
            <w:vAlign w:val="bottom"/>
            <w:tcBorders>
              <w:bottom w:val="single" w:sz="8" w:color="CCEEFF"/>
            </w:tcBorders>
            <w:shd w:val="clear" w:color="auto" w:fill="CCEEFF"/>
          </w:tcPr>
          <w:p>
            <w:pPr>
              <w:spacing w:after="0"/>
              <w:rPr>
                <w:sz w:val="13"/>
                <w:szCs w:val="13"/>
                <w:color w:val="auto"/>
              </w:rPr>
            </w:pPr>
          </w:p>
        </w:tc>
        <w:tc>
          <w:tcPr>
            <w:tcW w:w="9280" w:type="dxa"/>
            <w:vAlign w:val="bottom"/>
            <w:tcBorders>
              <w:bottom w:val="single" w:sz="8" w:color="0000FF"/>
              <w:right w:val="single" w:sz="8" w:color="CCEE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Joinder Agreement, dated as of June 4, 2013, by and among Summit Midstream Holdings, LLC, The Royal Bank of Scotland plc, as Administrative Agent, and the</w:t>
              </w:r>
            </w:hyperlink>
          </w:p>
        </w:tc>
        <w:tc>
          <w:tcPr>
            <w:tcW w:w="280" w:type="dxa"/>
            <w:vAlign w:val="bottom"/>
            <w:tcBorders>
              <w:bottom w:val="single" w:sz="8" w:color="CCEEFF"/>
            </w:tcBorders>
            <w:gridSpan w:val="9"/>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FF"/>
            </w:tcBorders>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lenders party thereto (Incorporated herein by reference to Exhibit 10.2 to SMLP's Current Report on Form 8-K dated June 5, 2013 (Commission File No. 001-35666))</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10.22</w:t>
            </w:r>
          </w:p>
        </w:tc>
        <w:tc>
          <w:tcPr>
            <w:tcW w:w="200" w:type="dxa"/>
            <w:vAlign w:val="bottom"/>
          </w:tcPr>
          <w:p>
            <w:pPr>
              <w:spacing w:after="0"/>
              <w:rPr>
                <w:sz w:val="13"/>
                <w:szCs w:val="13"/>
                <w:color w:val="auto"/>
              </w:rPr>
            </w:pPr>
          </w:p>
        </w:tc>
        <w:tc>
          <w:tcPr>
            <w:tcW w:w="9560" w:type="dxa"/>
            <w:vAlign w:val="bottom"/>
            <w:gridSpan w:val="24"/>
          </w:tcPr>
          <w:p>
            <w:pPr>
              <w:spacing w:after="0" w:line="159"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Third Amended and Restated Credit Agreement dated as of May 26, 2017 (Incorporated herein by reference to Exhibit 10.1 to SMLP's Current Report on Form 8-K</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dated May 30, 2017 (Commission File No. 001-35666))</w:t>
              </w:r>
            </w:hyperlink>
          </w:p>
        </w:tc>
        <w:tc>
          <w:tcPr>
            <w:tcW w:w="280" w:type="dxa"/>
            <w:vAlign w:val="bottom"/>
            <w:gridSpan w:val="9"/>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10.23</w:t>
            </w:r>
          </w:p>
        </w:tc>
        <w:tc>
          <w:tcPr>
            <w:tcW w:w="200" w:type="dxa"/>
            <w:vAlign w:val="bottom"/>
            <w:shd w:val="clear" w:color="auto" w:fill="CCEEFF"/>
          </w:tcPr>
          <w:p>
            <w:pPr>
              <w:spacing w:after="0"/>
              <w:rPr>
                <w:sz w:val="13"/>
                <w:szCs w:val="13"/>
                <w:color w:val="auto"/>
              </w:rPr>
            </w:pPr>
          </w:p>
        </w:tc>
        <w:tc>
          <w:tcPr>
            <w:tcW w:w="95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First Amendment to the Third Amended and Restated Credit Agreement dated as of September 22, 2017 (Incorporated herein by reference to Exhibit 10.7 to SMLP’s</w:t>
              </w:r>
            </w:hyperlink>
          </w:p>
        </w:tc>
      </w:tr>
      <w:tr>
        <w:trPr>
          <w:trHeight w:val="150"/>
        </w:trPr>
        <w:tc>
          <w:tcPr>
            <w:tcW w:w="5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360" w:type="dxa"/>
            <w:vAlign w:val="bottom"/>
            <w:tcBorders>
              <w:top w:val="single" w:sz="8" w:color="0000FF"/>
            </w:tcBorders>
            <w:gridSpan w:val="18"/>
            <w:shd w:val="clear" w:color="auto" w:fill="CCEEFF"/>
          </w:tcPr>
          <w:p>
            <w:pPr>
              <w:spacing w:after="0" w:line="150"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Annual Report on Form 10-K for the fiscal year ended December 31, 2017 (Commission File No. 001-35666))</w:t>
              </w:r>
            </w:hyperlink>
          </w:p>
        </w:tc>
        <w:tc>
          <w:tcPr>
            <w:tcW w:w="200" w:type="dxa"/>
            <w:vAlign w:val="bottom"/>
            <w:tcBorders>
              <w:top w:val="single" w:sz="8" w:color="CCEEFF"/>
            </w:tcBorders>
            <w:gridSpan w:val="6"/>
            <w:shd w:val="clear" w:color="auto" w:fill="CCEEFF"/>
          </w:tcPr>
          <w:p>
            <w:pPr>
              <w:spacing w:after="0"/>
              <w:rPr>
                <w:sz w:val="13"/>
                <w:szCs w:val="13"/>
                <w:color w:val="auto"/>
              </w:rPr>
            </w:pPr>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760" w:type="dxa"/>
            <w:vAlign w:val="bottom"/>
            <w:tcBorders>
              <w:top w:val="single" w:sz="8" w:color="0000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10.24</w:t>
            </w:r>
          </w:p>
        </w:tc>
        <w:tc>
          <w:tcPr>
            <w:tcW w:w="200" w:type="dxa"/>
            <w:vAlign w:val="bottom"/>
          </w:tcPr>
          <w:p>
            <w:pPr>
              <w:spacing w:after="0"/>
              <w:rPr>
                <w:sz w:val="13"/>
                <w:szCs w:val="13"/>
                <w:color w:val="auto"/>
              </w:rPr>
            </w:pPr>
          </w:p>
        </w:tc>
        <w:tc>
          <w:tcPr>
            <w:tcW w:w="954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Second Amendment to Third Amended and Restated Credit Agreement dated as of June 26, 2019 (Incorporated herein by reference to Exhibit 10.2 to SMLP's Quarterly</w:t>
              </w:r>
            </w:hyperlink>
          </w:p>
        </w:tc>
        <w:tc>
          <w:tcPr>
            <w:tcW w:w="20" w:type="dxa"/>
            <w:vAlign w:val="bottom"/>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4"/>
          </w:tcPr>
          <w:p>
            <w:pPr>
              <w:spacing w:after="0" w:line="150"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Report on Form 10-Q dated August 9, 2019 (Commission File No. 001-35666))</w:t>
              </w:r>
            </w:hyperlink>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10.25</w:t>
            </w:r>
          </w:p>
        </w:tc>
        <w:tc>
          <w:tcPr>
            <w:tcW w:w="200" w:type="dxa"/>
            <w:vAlign w:val="bottom"/>
            <w:tcBorders>
              <w:bottom w:val="single" w:sz="8" w:color="CCEEFF"/>
            </w:tcBorders>
            <w:shd w:val="clear" w:color="auto" w:fill="CCEEFF"/>
          </w:tcPr>
          <w:p>
            <w:pPr>
              <w:spacing w:after="0"/>
              <w:rPr>
                <w:sz w:val="13"/>
                <w:szCs w:val="13"/>
                <w:color w:val="auto"/>
              </w:rPr>
            </w:pPr>
          </w:p>
        </w:tc>
        <w:tc>
          <w:tcPr>
            <w:tcW w:w="9500" w:type="dxa"/>
            <w:vAlign w:val="bottom"/>
            <w:tcBorders>
              <w:bottom w:val="single" w:sz="8" w:color="0000FF"/>
              <w:right w:val="single" w:sz="8" w:color="CCEEFF"/>
            </w:tcBorders>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Third Amendment to Third Amended and Restated Credit Agreement and Second Amendment to Second Amended and Restated Guarantee and Collateral Agreement</w:t>
              </w:r>
            </w:hyperlink>
          </w:p>
        </w:tc>
        <w:tc>
          <w:tcPr>
            <w:tcW w:w="6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160" w:type="dxa"/>
            <w:vAlign w:val="bottom"/>
            <w:tcBorders>
              <w:bottom w:val="single" w:sz="8" w:color="0000FF"/>
            </w:tcBorders>
            <w:gridSpan w:val="14"/>
            <w:shd w:val="clear" w:color="auto" w:fill="CCEEFF"/>
          </w:tcPr>
          <w:p>
            <w:pPr>
              <w:spacing w:after="0" w:line="150"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dated as of December 24, 2019 (Incorporated by reference to Exhibit 10.11 to SMLP’s Annual Report on Form 10-K for the fiscal year ended December 31, 2019</w:t>
              </w:r>
            </w:hyperlink>
          </w:p>
        </w:tc>
        <w:tc>
          <w:tcPr>
            <w:tcW w:w="400" w:type="dxa"/>
            <w:vAlign w:val="bottom"/>
            <w:tcBorders>
              <w:bottom w:val="single" w:sz="8" w:color="CCEEFF"/>
            </w:tcBorders>
            <w:gridSpan w:val="10"/>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w w:val="99"/>
              </w:rPr>
            </w:pPr>
            <w:hyperlink r:id="rId278">
              <w:r>
                <w:rPr>
                  <w:rFonts w:ascii="Times New Roman" w:cs="Times New Roman" w:eastAsia="Times New Roman" w:hAnsi="Times New Roman"/>
                  <w:sz w:val="14"/>
                  <w:szCs w:val="14"/>
                  <w:color w:val="0000FF"/>
                  <w:w w:val="99"/>
                </w:rPr>
                <w:t>(Commission File No. 001-35666))</w:t>
              </w:r>
            </w:hyperlink>
          </w:p>
        </w:tc>
        <w:tc>
          <w:tcPr>
            <w:tcW w:w="756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520" w:type="dxa"/>
            <w:vAlign w:val="bottom"/>
            <w:gridSpan w:val="2"/>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10.26</w:t>
            </w:r>
          </w:p>
        </w:tc>
        <w:tc>
          <w:tcPr>
            <w:tcW w:w="200" w:type="dxa"/>
            <w:vAlign w:val="bottom"/>
          </w:tcPr>
          <w:p>
            <w:pPr>
              <w:spacing w:after="0"/>
              <w:rPr>
                <w:sz w:val="13"/>
                <w:szCs w:val="13"/>
                <w:color w:val="auto"/>
              </w:rPr>
            </w:pPr>
          </w:p>
        </w:tc>
        <w:tc>
          <w:tcPr>
            <w:tcW w:w="9420" w:type="dxa"/>
            <w:vAlign w:val="bottom"/>
            <w:tcBorders>
              <w:bottom w:val="single" w:sz="8" w:color="0000FF"/>
            </w:tcBorders>
            <w:gridSpan w:val="20"/>
          </w:tcPr>
          <w:p>
            <w:pPr>
              <w:spacing w:after="0" w:line="15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Fourth Amendment to Third Amended and Restated Credit Agreement and Third Amendment to Second Amended and Restated Guarantee and Collateral Agreement,</w:t>
              </w:r>
            </w:hyperlink>
          </w:p>
        </w:tc>
        <w:tc>
          <w:tcPr>
            <w:tcW w:w="140" w:type="dxa"/>
            <w:vAlign w:val="bottom"/>
            <w:gridSpan w:val="4"/>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24"/>
          </w:tcPr>
          <w:p>
            <w:pPr>
              <w:spacing w:after="0" w:line="150"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dated as of December 18, 2020, by and among Summit Midstream Holdings, LLC, each of the other Loan Parties party thereto, Wells Fargo Bank, National Association,</w:t>
              </w:r>
            </w:hyperlink>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40" w:type="dxa"/>
            <w:vAlign w:val="bottom"/>
            <w:tcBorders>
              <w:top w:val="single" w:sz="8" w:color="0000FF"/>
            </w:tcBorders>
            <w:gridSpan w:val="23"/>
          </w:tcPr>
          <w:p>
            <w:pPr>
              <w:spacing w:after="0" w:line="150"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as administrative and collateral agent and the Lenders party thereto (Incorporated herein by reference to Exhibit 10.1 to SMLP’s Current. Report on Form 8-K dated</w:t>
              </w:r>
            </w:hyperlink>
          </w:p>
        </w:tc>
        <w:tc>
          <w:tcPr>
            <w:tcW w:w="20" w:type="dxa"/>
            <w:vAlign w:val="bottom"/>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December 18, 2020 (Commission File No. 01-35666))</w:t>
              </w:r>
            </w:hyperlink>
          </w:p>
        </w:tc>
        <w:tc>
          <w:tcPr>
            <w:tcW w:w="280" w:type="dxa"/>
            <w:vAlign w:val="bottom"/>
            <w:gridSpan w:val="9"/>
          </w:tcPr>
          <w:p>
            <w:pPr>
              <w:spacing w:after="0"/>
              <w:rPr>
                <w:sz w:val="13"/>
                <w:szCs w:val="13"/>
                <w:color w:val="auto"/>
              </w:rPr>
            </w:pPr>
          </w:p>
        </w:tc>
      </w:tr>
      <w:tr>
        <w:trPr>
          <w:trHeight w:val="33"/>
        </w:trPr>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520" w:type="dxa"/>
            <w:vAlign w:val="bottom"/>
            <w:tcBorders>
              <w:bottom w:val="single" w:sz="8" w:color="CCEEFF"/>
            </w:tcBorders>
            <w:gridSpan w:val="2"/>
            <w:shd w:val="clear" w:color="auto" w:fill="CCEEFF"/>
          </w:tcPr>
          <w:p>
            <w:pPr>
              <w:jc w:val="right"/>
              <w:ind w:right="729"/>
              <w:spacing w:after="0" w:line="159" w:lineRule="exact"/>
              <w:rPr>
                <w:sz w:val="20"/>
                <w:szCs w:val="20"/>
                <w:color w:val="auto"/>
              </w:rPr>
            </w:pPr>
            <w:r>
              <w:rPr>
                <w:rFonts w:ascii="Times New Roman" w:cs="Times New Roman" w:eastAsia="Times New Roman" w:hAnsi="Times New Roman"/>
                <w:sz w:val="14"/>
                <w:szCs w:val="14"/>
                <w:color w:val="auto"/>
              </w:rPr>
              <w:t>10.27</w:t>
            </w:r>
          </w:p>
        </w:tc>
        <w:tc>
          <w:tcPr>
            <w:tcW w:w="200" w:type="dxa"/>
            <w:vAlign w:val="bottom"/>
            <w:tcBorders>
              <w:bottom w:val="single" w:sz="8" w:color="CCEEFF"/>
            </w:tcBorders>
            <w:shd w:val="clear" w:color="auto" w:fill="CCEEFF"/>
          </w:tcPr>
          <w:p>
            <w:pPr>
              <w:spacing w:after="0"/>
              <w:rPr>
                <w:sz w:val="13"/>
                <w:szCs w:val="13"/>
                <w:color w:val="auto"/>
              </w:rPr>
            </w:pPr>
          </w:p>
        </w:tc>
        <w:tc>
          <w:tcPr>
            <w:tcW w:w="9100" w:type="dxa"/>
            <w:vAlign w:val="bottom"/>
            <w:tcBorders>
              <w:bottom w:val="single" w:sz="8" w:color="0000FF"/>
            </w:tcBorders>
            <w:gridSpan w:val="13"/>
            <w:shd w:val="clear" w:color="auto" w:fill="CCEEFF"/>
          </w:tcPr>
          <w:p>
            <w:pPr>
              <w:spacing w:after="0" w:line="15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Amended and Restated Limited Liability Company Agreement of Summit Permian Transmission Holdco, LLC, dated as of December 24, 2019 (Incorporated by</w:t>
              </w:r>
            </w:hyperlink>
          </w:p>
        </w:tc>
        <w:tc>
          <w:tcPr>
            <w:tcW w:w="460" w:type="dxa"/>
            <w:vAlign w:val="bottom"/>
            <w:tcBorders>
              <w:bottom w:val="single" w:sz="8" w:color="CCEEFF"/>
            </w:tcBorders>
            <w:gridSpan w:val="11"/>
            <w:shd w:val="clear" w:color="auto" w:fill="CCEEFF"/>
          </w:tcPr>
          <w:p>
            <w:pPr>
              <w:spacing w:after="0"/>
              <w:rPr>
                <w:sz w:val="13"/>
                <w:szCs w:val="13"/>
                <w:color w:val="auto"/>
              </w:rPr>
            </w:pPr>
          </w:p>
        </w:tc>
      </w:tr>
      <w:tr>
        <w:trPr>
          <w:trHeight w:val="183"/>
        </w:trPr>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60" w:type="dxa"/>
            <w:vAlign w:val="bottom"/>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reference to Exhibit 10.12 to SMLP’s Annual Report on Form 10-K for the fiscal year ended December 31, 2019 (Commission File No. 001-35666))</w:t>
              </w:r>
            </w:hyperlink>
          </w:p>
        </w:tc>
      </w:tr>
      <w:tr>
        <w:trPr>
          <w:trHeight w:val="700"/>
        </w:trPr>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500" w:type="dxa"/>
            <w:vAlign w:val="bottom"/>
            <w:tcBorders>
              <w:top w:val="single" w:sz="8" w:color="0000FF"/>
            </w:tcBorders>
            <w:gridSpan w:val="8"/>
          </w:tcPr>
          <w:p>
            <w:pPr>
              <w:ind w:left="3820"/>
              <w:spacing w:after="0"/>
              <w:rPr>
                <w:sz w:val="20"/>
                <w:szCs w:val="20"/>
                <w:color w:val="auto"/>
              </w:rPr>
            </w:pPr>
            <w:r>
              <w:rPr>
                <w:rFonts w:ascii="Times New Roman" w:cs="Times New Roman" w:eastAsia="Times New Roman" w:hAnsi="Times New Roman"/>
                <w:sz w:val="14"/>
                <w:szCs w:val="14"/>
                <w:color w:val="auto"/>
              </w:rPr>
              <w:t>138</w:t>
            </w:r>
          </w:p>
        </w:tc>
        <w:tc>
          <w:tcPr>
            <w:tcW w:w="1760" w:type="dxa"/>
            <w:vAlign w:val="bottom"/>
            <w:tcBorders>
              <w:top w:val="single" w:sz="8" w:color="0000FF"/>
            </w:tcBorders>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87"/>
        </w:trPr>
        <w:tc>
          <w:tcPr>
            <w:tcW w:w="5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33"/>
        </w:trPr>
        <w:tc>
          <w:tcPr>
            <w:tcW w:w="106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10.28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8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Amended and Restated Guarantee and Collateral Agreement dated as of November 1, 2013 (Incorporated herein by reference to Exhibit 10.7 to SMLP's 2013 Annual</w:t>
              </w:r>
            </w:hyperlink>
          </w:p>
        </w:tc>
        <w:tc>
          <w:tcPr>
            <w:tcW w:w="180" w:type="dxa"/>
            <w:vAlign w:val="bottom"/>
            <w:gridSpan w:val="6"/>
          </w:tcPr>
          <w:p>
            <w:pPr>
              <w:spacing w:after="0"/>
              <w:rPr>
                <w:sz w:val="24"/>
                <w:szCs w:val="24"/>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Report on Form 10-K for the fiscal year ended December 31, 2013 (Commission File No. 001-35666))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320" w:type="dxa"/>
            <w:vAlign w:val="bottom"/>
            <w:tcBorders>
              <w:bottom w:val="single" w:sz="8" w:color="0000FF"/>
            </w:tcBorders>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Base Indenture, dated as of July 15, 2014, by and among Summit Midstream Holdings, LLC, Summit Midstream Finance Corp. and U.S. Bank National Association</w:t>
              </w:r>
            </w:hyperlink>
          </w:p>
        </w:tc>
        <w:tc>
          <w:tcPr>
            <w:tcW w:w="240" w:type="dxa"/>
            <w:vAlign w:val="bottom"/>
            <w:tcBorders>
              <w:bottom w:val="single" w:sz="8" w:color="CCEEFF"/>
            </w:tcBorders>
            <w:gridSpan w:val="9"/>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31"/>
            <w:shd w:val="clear" w:color="auto" w:fill="CCEEFF"/>
          </w:tcPr>
          <w:p>
            <w:pPr>
              <w:spacing w:after="0" w:line="150" w:lineRule="exact"/>
              <w:rPr>
                <w:rFonts w:ascii="Times New Roman" w:cs="Times New Roman" w:eastAsia="Times New Roman" w:hAnsi="Times New Roman"/>
                <w:sz w:val="14"/>
                <w:szCs w:val="14"/>
                <w:color w:val="0000FF"/>
              </w:rPr>
            </w:pPr>
            <w:hyperlink r:id="rId284">
              <w:r>
                <w:rPr>
                  <w:rFonts w:ascii="Times New Roman" w:cs="Times New Roman" w:eastAsia="Times New Roman" w:hAnsi="Times New Roman"/>
                  <w:sz w:val="14"/>
                  <w:szCs w:val="14"/>
                  <w:color w:val="0000FF"/>
                </w:rPr>
                <w:t>(Incorporated herein by reference to Exhibit 4.1 to SMLP's Current Report on Form 8-K dated July 9, 2014 (Commission File No. 001-35666))</w:t>
              </w:r>
            </w:hyperlink>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9"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First Supplemental Indenture, dated as of July 15, 2014, by and among Summit Midstream Holdings, LLC, Summit Midstream Finance Corp., the Guarantors party</w:t>
              </w:r>
            </w:hyperlink>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thereto and U.S. Bank National Association (including form of the 5½% senior notes due 2022) (Incorporated herein by reference to Exhibit 4.2 to SMLP's Current</w:t>
              </w:r>
            </w:hyperlink>
          </w:p>
        </w:tc>
        <w:tc>
          <w:tcPr>
            <w:tcW w:w="300" w:type="dxa"/>
            <w:vAlign w:val="bottom"/>
            <w:gridSpan w:val="10"/>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85">
              <w:r>
                <w:rPr>
                  <w:rFonts w:ascii="Times New Roman" w:cs="Times New Roman" w:eastAsia="Times New Roman" w:hAnsi="Times New Roman"/>
                  <w:sz w:val="14"/>
                  <w:szCs w:val="14"/>
                  <w:color w:val="0000FF"/>
                </w:rPr>
                <w:t>Report on Form 8-K dated July 9, 2014 (Commission File No. 001-35666))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10.31</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31"/>
            <w:shd w:val="clear" w:color="auto" w:fill="CCEEFF"/>
          </w:tcPr>
          <w:p>
            <w:pPr>
              <w:spacing w:after="0" w:line="159"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Second Supplemental Indenture, dated as of February 15, 2017, by and among Summit Midstream Holdings, LLC, Summit Midstream Finance Corp., the Guarantors</w:t>
              </w:r>
            </w:hyperlink>
          </w:p>
        </w:tc>
      </w:tr>
      <w:tr>
        <w:trPr>
          <w:trHeight w:val="150"/>
        </w:trPr>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220" w:type="dxa"/>
            <w:vAlign w:val="bottom"/>
            <w:tcBorders>
              <w:top w:val="single" w:sz="8" w:color="0000FF"/>
              <w:bottom w:val="single" w:sz="8" w:color="0000FF"/>
            </w:tcBorders>
            <w:gridSpan w:val="19"/>
            <w:shd w:val="clear" w:color="auto" w:fill="CCEEFF"/>
          </w:tcPr>
          <w:p>
            <w:pPr>
              <w:spacing w:after="0" w:line="150"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party thereto and U.S. Bank National Association (including form of the 5.75% senior notes due 2025) (Incorporated herein by reference to Exhibit 4.2 to SMLP’s</w:t>
              </w:r>
            </w:hyperlink>
          </w:p>
        </w:tc>
        <w:tc>
          <w:tcPr>
            <w:tcW w:w="1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7"/>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0000FF"/>
            </w:tcBorders>
            <w:gridSpan w:val="6"/>
            <w:shd w:val="clear" w:color="auto" w:fill="CCEEFF"/>
          </w:tcPr>
          <w:p>
            <w:pPr>
              <w:spacing w:after="0" w:line="150" w:lineRule="exact"/>
              <w:rPr>
                <w:rFonts w:ascii="Times New Roman" w:cs="Times New Roman" w:eastAsia="Times New Roman" w:hAnsi="Times New Roman"/>
                <w:sz w:val="14"/>
                <w:szCs w:val="14"/>
                <w:color w:val="0000FF"/>
              </w:rPr>
            </w:pPr>
            <w:hyperlink r:id="rId286">
              <w:r>
                <w:rPr>
                  <w:rFonts w:ascii="Times New Roman" w:cs="Times New Roman" w:eastAsia="Times New Roman" w:hAnsi="Times New Roman"/>
                  <w:sz w:val="14"/>
                  <w:szCs w:val="14"/>
                  <w:color w:val="0000FF"/>
                </w:rPr>
                <w:t>Current Report on Form 8-K dated February 17, 2017 (Commission File No. 001-35666))</w:t>
              </w:r>
            </w:hyperlink>
          </w:p>
        </w:tc>
        <w:tc>
          <w:tcPr>
            <w:tcW w:w="4480" w:type="dxa"/>
            <w:vAlign w:val="bottom"/>
            <w:tcBorders>
              <w:bottom w:val="single" w:sz="8" w:color="CCEEFF"/>
            </w:tcBorders>
            <w:gridSpan w:val="25"/>
            <w:shd w:val="clear" w:color="auto" w:fill="CCEEFF"/>
          </w:tcPr>
          <w:p>
            <w:pPr>
              <w:spacing w:after="0"/>
              <w:rPr>
                <w:sz w:val="15"/>
                <w:szCs w:val="15"/>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10.32</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9"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Equity Distribution Agreement, dated June 12, 2015, among the Partnership, the General Partner, the Operating Company, Citigroup Global Markets Inc., Deutsche</w:t>
              </w:r>
            </w:hyperlink>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Bank Securities Inc. and RBC Capital Markets, LLC. (Incorporated herein by reference to Exhibit 1.1 to SMLP's Current Report on Form 8-K dated June 12, 2015</w:t>
              </w:r>
            </w:hyperlink>
          </w:p>
        </w:tc>
        <w:tc>
          <w:tcPr>
            <w:tcW w:w="40" w:type="dxa"/>
            <w:vAlign w:val="bottom"/>
            <w:tcBorders>
              <w:top w:val="single" w:sz="8" w:color="0000FF"/>
            </w:tcBorders>
            <w:gridSpan w:val="2"/>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87">
              <w:r>
                <w:rPr>
                  <w:rFonts w:ascii="Times New Roman" w:cs="Times New Roman" w:eastAsia="Times New Roman" w:hAnsi="Times New Roman"/>
                  <w:sz w:val="14"/>
                  <w:szCs w:val="14"/>
                  <w:color w:val="0000FF"/>
                </w:rPr>
                <w:t>(Commission File No. 001-35666))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10.33</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40" w:type="dxa"/>
            <w:vAlign w:val="bottom"/>
            <w:tcBorders>
              <w:bottom w:val="single" w:sz="8" w:color="0000FF"/>
            </w:tcBorders>
            <w:gridSpan w:val="26"/>
            <w:shd w:val="clear" w:color="auto" w:fill="CCEEFF"/>
          </w:tcPr>
          <w:p>
            <w:pPr>
              <w:spacing w:after="0" w:line="159"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Contribution Agreement between Summit Midstream Partners Holdings, LLC and Summit Midstream Partners, LP dated as of February 25, 2016 (Incorporated herein</w:t>
              </w:r>
            </w:hyperlink>
          </w:p>
        </w:tc>
        <w:tc>
          <w:tcPr>
            <w:tcW w:w="120" w:type="dxa"/>
            <w:vAlign w:val="bottom"/>
            <w:tcBorders>
              <w:bottom w:val="single" w:sz="8" w:color="CCEEFF"/>
            </w:tcBorders>
            <w:gridSpan w:val="5"/>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31"/>
            <w:shd w:val="clear" w:color="auto" w:fill="CCEEFF"/>
          </w:tcPr>
          <w:p>
            <w:pPr>
              <w:spacing w:after="0" w:line="150" w:lineRule="exact"/>
              <w:rPr>
                <w:rFonts w:ascii="Times New Roman" w:cs="Times New Roman" w:eastAsia="Times New Roman" w:hAnsi="Times New Roman"/>
                <w:sz w:val="14"/>
                <w:szCs w:val="14"/>
                <w:color w:val="0000FF"/>
              </w:rPr>
            </w:pPr>
            <w:hyperlink r:id="rId288">
              <w:r>
                <w:rPr>
                  <w:rFonts w:ascii="Times New Roman" w:cs="Times New Roman" w:eastAsia="Times New Roman" w:hAnsi="Times New Roman"/>
                  <w:sz w:val="14"/>
                  <w:szCs w:val="14"/>
                  <w:color w:val="0000FF"/>
                </w:rPr>
                <w:t>by reference to Exhibit 10.1 to SMLP's Form 8-K filed March 1, 2016 (Commission File No. 001-35666))</w:t>
              </w:r>
            </w:hyperlink>
          </w:p>
        </w:tc>
      </w:tr>
      <w:tr>
        <w:trPr>
          <w:trHeight w:val="33"/>
        </w:trPr>
        <w:tc>
          <w:tcPr>
            <w:tcW w:w="5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10.34</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20" w:type="dxa"/>
            <w:vAlign w:val="bottom"/>
            <w:tcBorders>
              <w:bottom w:val="single" w:sz="8" w:color="0000FF"/>
            </w:tcBorders>
            <w:gridSpan w:val="14"/>
          </w:tcPr>
          <w:p>
            <w:pPr>
              <w:spacing w:after="0" w:line="159"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Amendment to Contribution Agreement between Summit Midstream Partners Holdings, LLC and Summit Midstream Partners, LP dated February 25, 2019</w:t>
              </w:r>
            </w:hyperlink>
          </w:p>
        </w:tc>
        <w:tc>
          <w:tcPr>
            <w:tcW w:w="740" w:type="dxa"/>
            <w:vAlign w:val="bottom"/>
            <w:gridSpan w:val="17"/>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89">
              <w:r>
                <w:rPr>
                  <w:rFonts w:ascii="Times New Roman" w:cs="Times New Roman" w:eastAsia="Times New Roman" w:hAnsi="Times New Roman"/>
                  <w:sz w:val="14"/>
                  <w:szCs w:val="14"/>
                  <w:color w:val="0000FF"/>
                </w:rPr>
                <w:t>(Incorporated herein by reference to Exhibit 10.3 to SMLP's Current Report on Form 8-K dated February 26, 2019 (Commission File No. 001-35666))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10.35</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0" w:type="dxa"/>
            <w:vAlign w:val="bottom"/>
            <w:tcBorders>
              <w:bottom w:val="single" w:sz="8" w:color="0000FF"/>
            </w:tcBorders>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Amendment No. 2 to Contribution Agreement between Summit Midstream Partners Holdings, LLC and Summit Midstream Partners, LP dated November 7, 2019</w:t>
              </w:r>
            </w:hyperlink>
          </w:p>
        </w:tc>
        <w:tc>
          <w:tcPr>
            <w:tcW w:w="360" w:type="dxa"/>
            <w:vAlign w:val="bottom"/>
            <w:tcBorders>
              <w:bottom w:val="single" w:sz="8" w:color="CCEEFF"/>
            </w:tcBorders>
            <w:gridSpan w:val="13"/>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90">
              <w:r>
                <w:rPr>
                  <w:rFonts w:ascii="Times New Roman" w:cs="Times New Roman" w:eastAsia="Times New Roman" w:hAnsi="Times New Roman"/>
                  <w:sz w:val="14"/>
                  <w:szCs w:val="14"/>
                  <w:color w:val="0000FF"/>
                </w:rPr>
                <w:t>(Incorporated herein by reference to Exhibit 10.1 to SMLP's Current Report on Form 8-K dated November 8, 2019 (Commission File No. 001-35666))</w:t>
              </w:r>
            </w:hyperlink>
          </w:p>
        </w:tc>
        <w:tc>
          <w:tcPr>
            <w:tcW w:w="1020" w:type="dxa"/>
            <w:vAlign w:val="bottom"/>
            <w:tcBorders>
              <w:bottom w:val="single" w:sz="8" w:color="CCEEFF"/>
            </w:tcBorders>
            <w:gridSpan w:val="19"/>
            <w:shd w:val="clear" w:color="auto" w:fill="CCEEFF"/>
          </w:tcPr>
          <w:p>
            <w:pPr>
              <w:spacing w:after="0"/>
              <w:rPr>
                <w:sz w:val="15"/>
                <w:szCs w:val="15"/>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10.36</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40" w:type="dxa"/>
            <w:vAlign w:val="bottom"/>
            <w:tcBorders>
              <w:bottom w:val="single" w:sz="8" w:color="0000FF"/>
            </w:tcBorders>
            <w:gridSpan w:val="30"/>
          </w:tcPr>
          <w:p>
            <w:pPr>
              <w:spacing w:after="0" w:line="159" w:lineRule="exact"/>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Amendment No. 3 to Contribution Agreement, dated November 17, 2020, by and between Summit Midstream Partners Holdings, LLC and Summit Midstream Partners,</w:t>
              </w:r>
            </w:hyperlink>
          </w:p>
        </w:tc>
        <w:tc>
          <w:tcPr>
            <w:tcW w:w="20" w:type="dxa"/>
            <w:vAlign w:val="bottom"/>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91">
              <w:r>
                <w:rPr>
                  <w:rFonts w:ascii="Times New Roman" w:cs="Times New Roman" w:eastAsia="Times New Roman" w:hAnsi="Times New Roman"/>
                  <w:sz w:val="14"/>
                  <w:szCs w:val="14"/>
                  <w:color w:val="0000FF"/>
                </w:rPr>
                <w:t>LP (Incorporated herein by reference to Exhibit 10.4 to SMLP’s Current Report on Form 8-K dated November 17, 2020 (Commission File No. 001-35666))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10.37</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180" w:type="dxa"/>
            <w:vAlign w:val="bottom"/>
            <w:tcBorders>
              <w:bottom w:val="single" w:sz="8" w:color="0000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Credit Agreement, dated as of March 8, 2021, among Summit Permian Transmission, LLC, as borrower, MUFG Bank Ltd., as administrative agent, Mizuho Bank</w:t>
              </w:r>
            </w:hyperlink>
          </w:p>
        </w:tc>
        <w:tc>
          <w:tcPr>
            <w:tcW w:w="380" w:type="dxa"/>
            <w:vAlign w:val="bottom"/>
            <w:tcBorders>
              <w:bottom w:val="single" w:sz="8" w:color="CCEEFF"/>
            </w:tcBorders>
            <w:gridSpan w:val="14"/>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80" w:type="dxa"/>
            <w:vAlign w:val="bottom"/>
            <w:tcBorders>
              <w:bottom w:val="single" w:sz="8" w:color="0000FF"/>
            </w:tcBorders>
            <w:gridSpan w:val="28"/>
            <w:shd w:val="clear" w:color="auto" w:fill="CCEEFF"/>
          </w:tcPr>
          <w:p>
            <w:pPr>
              <w:spacing w:after="0" w:line="150"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(USA), as collateral agent, ING Capital LLC, Mizuho Bank, Ltd. and MUFG Union Bank, N.A., as L/C issuers, coordinating lead arrangers and joint bookrunners, and</w:t>
              </w:r>
            </w:hyperlink>
          </w:p>
        </w:tc>
        <w:tc>
          <w:tcPr>
            <w:tcW w:w="8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560" w:type="dxa"/>
            <w:vAlign w:val="bottom"/>
            <w:gridSpan w:val="31"/>
            <w:shd w:val="clear" w:color="auto" w:fill="CCEEFF"/>
          </w:tcPr>
          <w:p>
            <w:pPr>
              <w:spacing w:after="0" w:line="150"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the lenders from time to time party thereto (Incorporated herein by reference to Exhibit 10.1 to SMLP’s Quarterly Report on Form 10-Q dated May 7, 2021</w:t>
              </w:r>
            </w:hyperlink>
          </w:p>
        </w:tc>
      </w:tr>
      <w:tr>
        <w:trPr>
          <w:trHeight w:val="183"/>
        </w:trPr>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0000FF"/>
              <w:bottom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(Commission File No. 333-183466))</w:t>
              </w:r>
            </w:hyperlink>
          </w:p>
        </w:tc>
        <w:tc>
          <w:tcPr>
            <w:tcW w:w="670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780" w:type="dxa"/>
            <w:vAlign w:val="bottom"/>
            <w:tcBorders>
              <w:top w:val="single" w:sz="8" w:color="CCEEFF"/>
              <w:bottom w:val="single" w:sz="8" w:color="CCEEFF"/>
            </w:tcBorders>
            <w:gridSpan w:val="18"/>
            <w:shd w:val="clear" w:color="auto" w:fill="CCEEFF"/>
          </w:tcPr>
          <w:p>
            <w:pPr>
              <w:spacing w:after="0"/>
              <w:rPr>
                <w:sz w:val="15"/>
                <w:szCs w:val="15"/>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10.38</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4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Joint Factual Statement (Incorporated herein by reference to Exhibit 10.1 to SMLP’s Quarterly Report on Form 10-Q for the three months ended June 30, 2021 dated</w:t>
              </w:r>
            </w:hyperlink>
          </w:p>
        </w:tc>
        <w:tc>
          <w:tcPr>
            <w:tcW w:w="220" w:type="dxa"/>
            <w:vAlign w:val="bottom"/>
            <w:gridSpan w:val="8"/>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August 9, 2021 (Commission File No. 333-183466))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10.39</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60" w:type="dxa"/>
            <w:vAlign w:val="bottom"/>
            <w:tcBorders>
              <w:bottom w:val="single" w:sz="8" w:color="0000FF"/>
            </w:tcBorders>
            <w:gridSpan w:val="27"/>
            <w:shd w:val="clear" w:color="auto" w:fill="CCEEFF"/>
          </w:tcPr>
          <w:p>
            <w:pPr>
              <w:spacing w:after="0" w:line="159"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Criminal Plea Agreement (Incorporated herein by reference to Exhibit 10.2 to SMLP’s Quarterly Report on Form 10-Q for the three months ended June 30, 2021 dated</w:t>
              </w:r>
            </w:hyperlink>
          </w:p>
        </w:tc>
        <w:tc>
          <w:tcPr>
            <w:tcW w:w="100" w:type="dxa"/>
            <w:vAlign w:val="bottom"/>
            <w:tcBorders>
              <w:bottom w:val="single" w:sz="8" w:color="CCEEFF"/>
            </w:tcBorders>
            <w:gridSpan w:val="4"/>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0000FF"/>
            </w:tcBorders>
            <w:gridSpan w:val="4"/>
            <w:shd w:val="clear" w:color="auto" w:fill="CCEEFF"/>
          </w:tcPr>
          <w:p>
            <w:pPr>
              <w:spacing w:after="0" w:line="150" w:lineRule="exact"/>
              <w:rPr>
                <w:rFonts w:ascii="Times New Roman" w:cs="Times New Roman" w:eastAsia="Times New Roman" w:hAnsi="Times New Roman"/>
                <w:sz w:val="14"/>
                <w:szCs w:val="14"/>
                <w:color w:val="0000FF"/>
              </w:rPr>
            </w:pPr>
            <w:hyperlink r:id="rId294">
              <w:r>
                <w:rPr>
                  <w:rFonts w:ascii="Times New Roman" w:cs="Times New Roman" w:eastAsia="Times New Roman" w:hAnsi="Times New Roman"/>
                  <w:sz w:val="14"/>
                  <w:szCs w:val="14"/>
                  <w:color w:val="0000FF"/>
                </w:rPr>
                <w:t>August 9, 2021 (Commission File No. 333-183466))</w:t>
              </w:r>
            </w:hyperlink>
          </w:p>
        </w:tc>
        <w:tc>
          <w:tcPr>
            <w:tcW w:w="6580" w:type="dxa"/>
            <w:vAlign w:val="bottom"/>
            <w:tcBorders>
              <w:bottom w:val="single" w:sz="8" w:color="CCEEFF"/>
            </w:tcBorders>
            <w:gridSpan w:val="27"/>
            <w:shd w:val="clear" w:color="auto" w:fill="CCEEFF"/>
          </w:tcPr>
          <w:p>
            <w:pPr>
              <w:spacing w:after="0"/>
              <w:rPr>
                <w:sz w:val="15"/>
                <w:szCs w:val="15"/>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00" w:type="dxa"/>
            <w:vAlign w:val="bottom"/>
            <w:tcBorders>
              <w:bottom w:val="single" w:sz="8" w:color="0000FF"/>
            </w:tcBorders>
            <w:gridSpan w:val="29"/>
          </w:tcPr>
          <w:p>
            <w:pPr>
              <w:spacing w:after="0" w:line="159"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Consent Decree (Incorporated herein by reference to Exhibit 10.3 to SMLP’s Quarterly Report on Form 10-Q for the three months ended June 30, 2021 dated August 9,</w:t>
              </w:r>
            </w:hyperlink>
          </w:p>
        </w:tc>
        <w:tc>
          <w:tcPr>
            <w:tcW w:w="60" w:type="dxa"/>
            <w:vAlign w:val="bottom"/>
            <w:gridSpan w:val="2"/>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95">
              <w:r>
                <w:rPr>
                  <w:rFonts w:ascii="Times New Roman" w:cs="Times New Roman" w:eastAsia="Times New Roman" w:hAnsi="Times New Roman"/>
                  <w:sz w:val="14"/>
                  <w:szCs w:val="14"/>
                  <w:color w:val="0000FF"/>
                </w:rPr>
                <w:t>2021 (Commission File No. 333-183466))</w:t>
              </w:r>
            </w:hyperlink>
          </w:p>
        </w:tc>
      </w:tr>
      <w:tr>
        <w:trPr>
          <w:trHeight w:val="33"/>
        </w:trPr>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060" w:type="dxa"/>
            <w:vAlign w:val="bottom"/>
            <w:tcBorders>
              <w:bottom w:val="single" w:sz="8" w:color="CCEEFF"/>
            </w:tcBorders>
            <w:gridSpan w:val="2"/>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10.41</w:t>
            </w:r>
          </w:p>
        </w:tc>
        <w:tc>
          <w:tcPr>
            <w:tcW w:w="660" w:type="dxa"/>
            <w:vAlign w:val="bottom"/>
            <w:tcBorders>
              <w:bottom w:val="single" w:sz="8" w:color="CCEEFF"/>
            </w:tcBorders>
            <w:gridSpan w:val="2"/>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12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Indenture, dated as of November 2, 2021, by and among Summit Midstream Holdings, LLC, Summit Midstream Finance Corp., the Guarantors party thereto and</w:t>
              </w:r>
            </w:hyperlink>
          </w:p>
        </w:tc>
        <w:tc>
          <w:tcPr>
            <w:tcW w:w="440" w:type="dxa"/>
            <w:vAlign w:val="bottom"/>
            <w:tcBorders>
              <w:bottom w:val="single" w:sz="8" w:color="CCEEFF"/>
            </w:tcBorders>
            <w:gridSpan w:val="16"/>
            <w:shd w:val="clear" w:color="auto" w:fill="CCEEFF"/>
          </w:tcPr>
          <w:p>
            <w:pPr>
              <w:spacing w:after="0"/>
              <w:rPr>
                <w:sz w:val="13"/>
                <w:szCs w:val="13"/>
                <w:color w:val="auto"/>
              </w:rPr>
            </w:pPr>
          </w:p>
        </w:tc>
      </w:tr>
      <w:tr>
        <w:trPr>
          <w:trHeight w:val="150"/>
        </w:trPr>
        <w:tc>
          <w:tcPr>
            <w:tcW w:w="5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140" w:type="dxa"/>
            <w:vAlign w:val="bottom"/>
            <w:tcBorders>
              <w:bottom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Regions Bank, as trustee (including form of the 8.500% Senior Secured Second Lien Notes due 2026) (Incorporated herein by reference to Exhibit 4.1 to SMLP's</w:t>
              </w:r>
            </w:hyperlink>
          </w:p>
        </w:tc>
        <w:tc>
          <w:tcPr>
            <w:tcW w:w="420" w:type="dxa"/>
            <w:vAlign w:val="bottom"/>
            <w:tcBorders>
              <w:bottom w:val="single" w:sz="8" w:color="CCEEFF"/>
            </w:tcBorders>
            <w:gridSpan w:val="15"/>
            <w:shd w:val="clear" w:color="auto" w:fill="CCEEFF"/>
          </w:tcPr>
          <w:p>
            <w:pPr>
              <w:spacing w:after="0"/>
              <w:rPr>
                <w:sz w:val="13"/>
                <w:szCs w:val="13"/>
                <w:color w:val="auto"/>
              </w:rPr>
            </w:pPr>
          </w:p>
        </w:tc>
      </w:tr>
      <w:tr>
        <w:trPr>
          <w:trHeight w:val="183"/>
        </w:trPr>
        <w:tc>
          <w:tcPr>
            <w:tcW w:w="5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96">
              <w:r>
                <w:rPr>
                  <w:rFonts w:ascii="Times New Roman" w:cs="Times New Roman" w:eastAsia="Times New Roman" w:hAnsi="Times New Roman"/>
                  <w:sz w:val="14"/>
                  <w:szCs w:val="14"/>
                  <w:color w:val="0000FF"/>
                </w:rPr>
                <w:t>Quarterly Report on Form 10-Q dated November 4, 2021 (Commission File No. 001-35666))</w:t>
              </w:r>
            </w:hyperlink>
          </w:p>
        </w:tc>
        <w:tc>
          <w:tcPr>
            <w:tcW w:w="4280" w:type="dxa"/>
            <w:vAlign w:val="bottom"/>
            <w:tcBorders>
              <w:bottom w:val="single" w:sz="8" w:color="CCEEFF"/>
            </w:tcBorders>
            <w:gridSpan w:val="24"/>
            <w:shd w:val="clear" w:color="auto" w:fill="CCEEFF"/>
          </w:tcPr>
          <w:p>
            <w:pPr>
              <w:spacing w:after="0"/>
              <w:rPr>
                <w:sz w:val="15"/>
                <w:szCs w:val="15"/>
                <w:color w:val="auto"/>
              </w:rPr>
            </w:pPr>
          </w:p>
        </w:tc>
      </w:tr>
      <w:tr>
        <w:trPr>
          <w:trHeight w:val="159"/>
        </w:trPr>
        <w:tc>
          <w:tcPr>
            <w:tcW w:w="1060" w:type="dxa"/>
            <w:vAlign w:val="bottom"/>
            <w:gridSpan w:val="2"/>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10.42</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9"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Collateral Agreement, dated as of November 2, 2021, by and among Summit Midstream Partners, LP, as a pledgor, Summit Midstream Holdings, LLC and Summit</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40" w:type="dxa"/>
            <w:vAlign w:val="bottom"/>
            <w:gridSpan w:val="20"/>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80" w:type="dxa"/>
            <w:vAlign w:val="bottom"/>
            <w:tcBorders>
              <w:bottom w:val="single" w:sz="8" w:color="0000FF"/>
            </w:tcBorders>
            <w:gridSpan w:val="28"/>
          </w:tcPr>
          <w:p>
            <w:pPr>
              <w:spacing w:after="0" w:line="150"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Midstream Finance Corp., as pledgors and grantors, the Subsidiary Guarantors party therein, and Regions Bank, as collateral agent (Incorporated herein by reference to</w:t>
              </w:r>
            </w:hyperlink>
          </w:p>
        </w:tc>
        <w:tc>
          <w:tcPr>
            <w:tcW w:w="80" w:type="dxa"/>
            <w:vAlign w:val="bottom"/>
            <w:gridSpan w:val="3"/>
          </w:tcPr>
          <w:p>
            <w:pPr>
              <w:spacing w:after="0"/>
              <w:rPr>
                <w:sz w:val="13"/>
                <w:szCs w:val="13"/>
                <w:color w:val="auto"/>
              </w:rPr>
            </w:pPr>
          </w:p>
        </w:tc>
      </w:tr>
      <w:tr>
        <w:trPr>
          <w:trHeight w:val="150"/>
        </w:trPr>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60" w:type="dxa"/>
            <w:vAlign w:val="bottom"/>
            <w:gridSpan w:val="31"/>
          </w:tcPr>
          <w:p>
            <w:pPr>
              <w:spacing w:after="0" w:line="150" w:lineRule="exact"/>
              <w:rPr>
                <w:rFonts w:ascii="Times New Roman" w:cs="Times New Roman" w:eastAsia="Times New Roman" w:hAnsi="Times New Roman"/>
                <w:sz w:val="14"/>
                <w:szCs w:val="14"/>
                <w:color w:val="0000FF"/>
              </w:rPr>
            </w:pPr>
            <w:hyperlink r:id="rId297">
              <w:r>
                <w:rPr>
                  <w:rFonts w:ascii="Times New Roman" w:cs="Times New Roman" w:eastAsia="Times New Roman" w:hAnsi="Times New Roman"/>
                  <w:sz w:val="14"/>
                  <w:szCs w:val="14"/>
                  <w:color w:val="0000FF"/>
                </w:rPr>
                <w:t>Exhibit 10.4 to SMLP’s Quarterly Report on Form 10-Q for the three months ended September 30, 2021 dated November 4, 2021 (Commission File No. 333-183466))</w:t>
              </w:r>
            </w:hyperlink>
          </w:p>
        </w:tc>
      </w:tr>
      <w:tr>
        <w:trPr>
          <w:trHeight w:val="733"/>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tcBorders>
              <w:top w:val="single" w:sz="8" w:color="0000FF"/>
            </w:tcBorders>
            <w:gridSpan w:val="5"/>
          </w:tcPr>
          <w:p>
            <w:pPr>
              <w:ind w:left="3820"/>
              <w:spacing w:after="0"/>
              <w:rPr>
                <w:sz w:val="20"/>
                <w:szCs w:val="20"/>
                <w:color w:val="auto"/>
              </w:rPr>
            </w:pPr>
            <w:r>
              <w:rPr>
                <w:rFonts w:ascii="Times New Roman" w:cs="Times New Roman" w:eastAsia="Times New Roman" w:hAnsi="Times New Roman"/>
                <w:sz w:val="14"/>
                <w:szCs w:val="14"/>
                <w:color w:val="auto"/>
              </w:rPr>
              <w:t>139</w:t>
            </w:r>
          </w:p>
        </w:tc>
        <w:tc>
          <w:tcPr>
            <w:tcW w:w="8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39" w:name="page140"/>
    <w:bookmarkEnd w:id="139"/>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10.43</w:t>
            </w:r>
          </w:p>
        </w:tc>
        <w:tc>
          <w:tcPr>
            <w:tcW w:w="660" w:type="dxa"/>
            <w:vAlign w:val="bottom"/>
            <w:tcBorders>
              <w:bottom w:val="single" w:sz="8" w:color="CCEEFF"/>
            </w:tcBorders>
            <w:shd w:val="clear" w:color="auto" w:fill="CCEEFF"/>
          </w:tcPr>
          <w:p>
            <w:pPr>
              <w:spacing w:after="0"/>
              <w:rPr>
                <w:sz w:val="13"/>
                <w:szCs w:val="13"/>
                <w:color w:val="auto"/>
              </w:rPr>
            </w:pPr>
          </w:p>
        </w:tc>
        <w:tc>
          <w:tcPr>
            <w:tcW w:w="9460" w:type="dxa"/>
            <w:vAlign w:val="bottom"/>
            <w:tcBorders>
              <w:bottom w:val="single" w:sz="8" w:color="0000FF"/>
            </w:tcBorders>
            <w:gridSpan w:val="26"/>
            <w:shd w:val="clear" w:color="auto" w:fill="CCEEFF"/>
          </w:tcPr>
          <w:p>
            <w:pPr>
              <w:spacing w:after="0"/>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Loan and Security Agreement, dated as November 2, 2021, among Summit Midstream Holdings, as borrower, Summit Midstream Partners, LP and certain subsidiaries</w:t>
              </w:r>
            </w:hyperlink>
          </w:p>
        </w:tc>
        <w:tc>
          <w:tcPr>
            <w:tcW w:w="100" w:type="dxa"/>
            <w:vAlign w:val="bottom"/>
            <w:tcBorders>
              <w:bottom w:val="single" w:sz="8" w:color="CCEEFF"/>
            </w:tcBorders>
            <w:gridSpan w:val="4"/>
            <w:shd w:val="clear" w:color="auto" w:fill="CCEEFF"/>
          </w:tcPr>
          <w:p>
            <w:pPr>
              <w:spacing w:after="0"/>
              <w:rPr>
                <w:sz w:val="13"/>
                <w:szCs w:val="13"/>
                <w:color w:val="auto"/>
              </w:rPr>
            </w:pPr>
          </w:p>
        </w:tc>
      </w:tr>
      <w:tr>
        <w:trPr>
          <w:trHeight w:val="150"/>
        </w:trPr>
        <w:tc>
          <w:tcPr>
            <w:tcW w:w="10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9480" w:type="dxa"/>
            <w:vAlign w:val="bottom"/>
            <w:tcBorders>
              <w:bottom w:val="single" w:sz="8" w:color="0000FF"/>
            </w:tcBorders>
            <w:gridSpan w:val="27"/>
            <w:shd w:val="clear" w:color="auto" w:fill="CCEEFF"/>
          </w:tcPr>
          <w:p>
            <w:pPr>
              <w:spacing w:after="0" w:line="150"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from time to time party thereto, as guarantors, Bank of America, N.A., as agent, ING Capital LLC, Royal Bank of Canada and Regions Bank, as co-syndication agents,</w:t>
              </w:r>
            </w:hyperlink>
          </w:p>
        </w:tc>
        <w:tc>
          <w:tcPr>
            <w:tcW w:w="8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10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9220" w:type="dxa"/>
            <w:vAlign w:val="bottom"/>
            <w:tcBorders>
              <w:bottom w:val="single" w:sz="8" w:color="0000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joint lead arrangers and joint bookrunners (Incorporated herein by reference to Exhibit 10.5 to SMLP’s Quarterly Report on Form 10-Q for the three months ended</w:t>
              </w:r>
            </w:hyperlink>
          </w:p>
        </w:tc>
        <w:tc>
          <w:tcPr>
            <w:tcW w:w="340" w:type="dxa"/>
            <w:vAlign w:val="bottom"/>
            <w:tcBorders>
              <w:bottom w:val="single" w:sz="8" w:color="CCEEFF"/>
            </w:tcBorders>
            <w:gridSpan w:val="13"/>
            <w:shd w:val="clear" w:color="auto" w:fill="CCEEFF"/>
          </w:tcPr>
          <w:p>
            <w:pPr>
              <w:spacing w:after="0"/>
              <w:rPr>
                <w:sz w:val="13"/>
                <w:szCs w:val="13"/>
                <w:color w:val="auto"/>
              </w:rPr>
            </w:pPr>
          </w:p>
        </w:tc>
      </w:tr>
      <w:tr>
        <w:trPr>
          <w:trHeight w:val="183"/>
        </w:trPr>
        <w:tc>
          <w:tcPr>
            <w:tcW w:w="10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680" w:type="dxa"/>
            <w:vAlign w:val="bottom"/>
            <w:tcBorders>
              <w:bottom w:val="single" w:sz="8" w:color="0000FF"/>
            </w:tcBorders>
            <w:gridSpan w:val="8"/>
            <w:shd w:val="clear" w:color="auto" w:fill="CCEEFF"/>
          </w:tcPr>
          <w:p>
            <w:pPr>
              <w:spacing w:after="0" w:line="150" w:lineRule="exact"/>
              <w:rPr>
                <w:rFonts w:ascii="Times New Roman" w:cs="Times New Roman" w:eastAsia="Times New Roman" w:hAnsi="Times New Roman"/>
                <w:sz w:val="14"/>
                <w:szCs w:val="14"/>
                <w:color w:val="0000FF"/>
              </w:rPr>
            </w:pPr>
            <w:hyperlink r:id="rId300">
              <w:r>
                <w:rPr>
                  <w:rFonts w:ascii="Times New Roman" w:cs="Times New Roman" w:eastAsia="Times New Roman" w:hAnsi="Times New Roman"/>
                  <w:sz w:val="14"/>
                  <w:szCs w:val="14"/>
                  <w:color w:val="0000FF"/>
                </w:rPr>
                <w:t>September 30, 2021 dated November 4, 2021 (Commission File No. 333-183466))</w:t>
              </w:r>
            </w:hyperlink>
          </w:p>
        </w:tc>
        <w:tc>
          <w:tcPr>
            <w:tcW w:w="488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10.44</w:t>
            </w:r>
          </w:p>
        </w:tc>
        <w:tc>
          <w:tcPr>
            <w:tcW w:w="6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340" w:type="dxa"/>
            <w:vAlign w:val="bottom"/>
            <w:tcBorders>
              <w:bottom w:val="single" w:sz="8" w:color="0000FF"/>
            </w:tcBorders>
            <w:gridSpan w:val="21"/>
          </w:tcPr>
          <w:p>
            <w:pPr>
              <w:spacing w:after="0" w:line="159"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Intercreditor Agreement, dated as of November 2, 2021, by and among Bank of America, N.A., as first lien representative and collateral agent for the initial first lien</w:t>
              </w:r>
            </w:hyperlink>
          </w:p>
        </w:tc>
        <w:tc>
          <w:tcPr>
            <w:tcW w:w="220" w:type="dxa"/>
            <w:vAlign w:val="bottom"/>
            <w:gridSpan w:val="9"/>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claimholders, Regions Bank, as second lien representative for the initial second lien claimholders and as collateral agent for the initial second lien claimholders,</w:t>
              </w:r>
            </w:hyperlink>
          </w:p>
        </w:tc>
      </w:tr>
      <w:tr>
        <w:trPr>
          <w:trHeight w:val="20"/>
        </w:trPr>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100" w:type="dxa"/>
            <w:vAlign w:val="bottom"/>
            <w:tcBorders>
              <w:bottom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acknowledged and agreed to by Summit Midstream Holdings, LLC and the other grantors referred to therein (Incorporated herein by reference to Exhibit 10.6 to</w:t>
              </w:r>
            </w:hyperlink>
          </w:p>
        </w:tc>
        <w:tc>
          <w:tcPr>
            <w:tcW w:w="460" w:type="dxa"/>
            <w:vAlign w:val="bottom"/>
            <w:gridSpan w:val="15"/>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01">
              <w:r>
                <w:rPr>
                  <w:rFonts w:ascii="Times New Roman" w:cs="Times New Roman" w:eastAsia="Times New Roman" w:hAnsi="Times New Roman"/>
                  <w:sz w:val="14"/>
                  <w:szCs w:val="14"/>
                  <w:color w:val="0000FF"/>
                </w:rPr>
                <w:t>SMLP’s Quarterly Report on Form 10-Q for the three months ended September 30, 2021 dated November 4, 2021 (Commission File No. 333-183466))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10.45</w:t>
            </w:r>
          </w:p>
        </w:tc>
        <w:tc>
          <w:tcPr>
            <w:tcW w:w="660" w:type="dxa"/>
            <w:vAlign w:val="bottom"/>
            <w:tcBorders>
              <w:bottom w:val="single" w:sz="8" w:color="CCEEFF"/>
            </w:tcBorders>
            <w:shd w:val="clear" w:color="auto" w:fill="CCEEFF"/>
          </w:tcPr>
          <w:p>
            <w:pPr>
              <w:spacing w:after="0"/>
              <w:rPr>
                <w:sz w:val="13"/>
                <w:szCs w:val="13"/>
                <w:color w:val="auto"/>
              </w:rPr>
            </w:pPr>
          </w:p>
        </w:tc>
        <w:tc>
          <w:tcPr>
            <w:tcW w:w="9520" w:type="dxa"/>
            <w:vAlign w:val="bottom"/>
            <w:tcBorders>
              <w:bottom w:val="single" w:sz="8" w:color="0000FF"/>
            </w:tcBorders>
            <w:gridSpan w:val="29"/>
            <w:shd w:val="clear" w:color="auto" w:fill="CCEEFF"/>
          </w:tcPr>
          <w:p>
            <w:pPr>
              <w:spacing w:after="0" w:line="159"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Equity Restructuring Agreement by and among Summit Midstream Partners, LP, Summit Midstream GP, LLC and Summit Midstream Partners Holdings, LLC dated as</w:t>
              </w:r>
            </w:hyperlink>
          </w:p>
        </w:tc>
        <w:tc>
          <w:tcPr>
            <w:tcW w:w="40" w:type="dxa"/>
            <w:vAlign w:val="bottom"/>
            <w:tcBorders>
              <w:bottom w:val="single" w:sz="8" w:color="CCEEFF"/>
            </w:tcBorders>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30"/>
            <w:shd w:val="clear" w:color="auto" w:fill="CCEEFF"/>
          </w:tcPr>
          <w:p>
            <w:pPr>
              <w:spacing w:after="0" w:line="150"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of February 25, 2019 (Incorporated herein by reference to Exhibit 10.4 to SMLP's Current Report on Form 8-K dated February 26, 2019 (Commission File No. 001-</w:t>
              </w:r>
            </w:hyperlink>
          </w:p>
        </w:tc>
      </w:tr>
      <w:tr>
        <w:trPr>
          <w:trHeight w:val="150"/>
        </w:trPr>
        <w:tc>
          <w:tcPr>
            <w:tcW w:w="10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0000FF"/>
            </w:tcBorders>
            <w:gridSpan w:val="2"/>
            <w:shd w:val="clear" w:color="auto" w:fill="CCEEFF"/>
          </w:tcPr>
          <w:p>
            <w:pPr>
              <w:spacing w:after="0" w:line="150" w:lineRule="exact"/>
              <w:rPr>
                <w:rFonts w:ascii="Times New Roman" w:cs="Times New Roman" w:eastAsia="Times New Roman" w:hAnsi="Times New Roman"/>
                <w:sz w:val="14"/>
                <w:szCs w:val="14"/>
                <w:color w:val="0000FF"/>
              </w:rPr>
            </w:pPr>
            <w:hyperlink r:id="rId302">
              <w:r>
                <w:rPr>
                  <w:rFonts w:ascii="Times New Roman" w:cs="Times New Roman" w:eastAsia="Times New Roman" w:hAnsi="Times New Roman"/>
                  <w:sz w:val="14"/>
                  <w:szCs w:val="14"/>
                  <w:color w:val="0000FF"/>
                </w:rPr>
                <w:t>35666)</w:t>
              </w:r>
              <w:r>
                <w:rPr>
                  <w:rFonts w:ascii="Times New Roman" w:cs="Times New Roman" w:eastAsia="Times New Roman" w:hAnsi="Times New Roman"/>
                  <w:sz w:val="14"/>
                  <w:szCs w:val="14"/>
                  <w:u w:val="single" w:color="auto"/>
                  <w:color w:val="0000FF"/>
                </w:rPr>
                <w:t>)</w:t>
              </w:r>
            </w:hyperlink>
          </w:p>
        </w:tc>
        <w:tc>
          <w:tcPr>
            <w:tcW w:w="800" w:type="dxa"/>
            <w:vAlign w:val="bottom"/>
            <w:tcBorders>
              <w:top w:val="single" w:sz="8" w:color="0000FF"/>
            </w:tcBorders>
            <w:shd w:val="clear" w:color="auto" w:fill="CCEEFF"/>
          </w:tcPr>
          <w:p>
            <w:pPr>
              <w:spacing w:after="0"/>
              <w:rPr>
                <w:sz w:val="13"/>
                <w:szCs w:val="13"/>
                <w:color w:val="auto"/>
              </w:rPr>
            </w:pPr>
          </w:p>
        </w:tc>
        <w:tc>
          <w:tcPr>
            <w:tcW w:w="150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020" w:type="dxa"/>
            <w:vAlign w:val="bottom"/>
            <w:tcBorders>
              <w:top w:val="single" w:sz="8" w:color="0000FF"/>
            </w:tcBorders>
            <w:shd w:val="clear" w:color="auto" w:fill="CCEEFF"/>
          </w:tcPr>
          <w:p>
            <w:pPr>
              <w:spacing w:after="0"/>
              <w:rPr>
                <w:sz w:val="13"/>
                <w:szCs w:val="13"/>
                <w:color w:val="auto"/>
              </w:rPr>
            </w:pPr>
          </w:p>
        </w:tc>
        <w:tc>
          <w:tcPr>
            <w:tcW w:w="20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right w:val="single" w:sz="8" w:color="CCEE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49"/>
        </w:trPr>
        <w:tc>
          <w:tcPr>
            <w:tcW w:w="1060" w:type="dxa"/>
            <w:vAlign w:val="bottom"/>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380" w:type="dxa"/>
            <w:vAlign w:val="bottom"/>
            <w:tcBorders>
              <w:bottom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Amended and Restated Employment Agreement, effective September 1, 2020, by and between Summit Midstream Partners, LLC and Marc D. Stratton (Incorporated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39"/>
        </w:trPr>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380" w:type="dxa"/>
            <w:vAlign w:val="bottom"/>
            <w:gridSpan w:val="23"/>
          </w:tcPr>
          <w:p>
            <w:pPr>
              <w:spacing w:after="0" w:line="139" w:lineRule="exact"/>
              <w:rPr>
                <w:rFonts w:ascii="Times New Roman" w:cs="Times New Roman" w:eastAsia="Times New Roman" w:hAnsi="Times New Roman"/>
                <w:sz w:val="14"/>
                <w:szCs w:val="14"/>
                <w:color w:val="0000FF"/>
              </w:rPr>
            </w:pPr>
            <w:hyperlink r:id="rId303">
              <w:r>
                <w:rPr>
                  <w:rFonts w:ascii="Times New Roman" w:cs="Times New Roman" w:eastAsia="Times New Roman" w:hAnsi="Times New Roman"/>
                  <w:sz w:val="14"/>
                  <w:szCs w:val="14"/>
                  <w:color w:val="0000FF"/>
                </w:rPr>
                <w:t>herein by reference to Exhibit 10.41 to SMLP’s Annual Report on Form 10-K for the fiscal year ended December 31, 2020 (Commission File No. 001-35666))</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10.47</w:t>
            </w:r>
          </w:p>
        </w:tc>
        <w:tc>
          <w:tcPr>
            <w:tcW w:w="660" w:type="dxa"/>
            <w:vAlign w:val="bottom"/>
            <w:tcBorders>
              <w:bottom w:val="single" w:sz="8" w:color="CCEEFF"/>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40" w:type="dxa"/>
            <w:vAlign w:val="bottom"/>
            <w:tcBorders>
              <w:bottom w:val="single" w:sz="8" w:color="0000FF"/>
            </w:tcBorders>
            <w:gridSpan w:val="25"/>
            <w:shd w:val="clear" w:color="auto" w:fill="CCEEFF"/>
          </w:tcPr>
          <w:p>
            <w:pPr>
              <w:spacing w:after="0" w:line="159" w:lineRule="exact"/>
              <w:rPr>
                <w:rFonts w:ascii="Times New Roman" w:cs="Times New Roman" w:eastAsia="Times New Roman" w:hAnsi="Times New Roman"/>
                <w:sz w:val="14"/>
                <w:szCs w:val="14"/>
                <w:color w:val="0000FF"/>
              </w:rPr>
            </w:pPr>
            <w:hyperlink r:id="rId304">
              <w:r>
                <w:rPr>
                  <w:rFonts w:ascii="Times New Roman" w:cs="Times New Roman" w:eastAsia="Times New Roman" w:hAnsi="Times New Roman"/>
                  <w:sz w:val="14"/>
                  <w:szCs w:val="14"/>
                  <w:color w:val="0000FF"/>
                </w:rPr>
                <w:t>Form of Retention Bonus Agreement (Incorporated herein by reference to Exhibit 10.1 to SMLP’s Current Report on Form 8-K dated June 11, 2019 (Commission File</w:t>
              </w:r>
            </w:hyperlink>
          </w:p>
        </w:tc>
        <w:tc>
          <w:tcPr>
            <w:tcW w:w="120" w:type="dxa"/>
            <w:vAlign w:val="bottom"/>
            <w:tcBorders>
              <w:bottom w:val="single" w:sz="8" w:color="CCEEFF"/>
            </w:tcBorders>
            <w:gridSpan w:val="5"/>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30"/>
            <w:shd w:val="clear" w:color="auto" w:fill="CCEEFF"/>
          </w:tcPr>
          <w:p>
            <w:pPr>
              <w:spacing w:after="0" w:line="150" w:lineRule="exact"/>
              <w:rPr>
                <w:rFonts w:ascii="Times New Roman" w:cs="Times New Roman" w:eastAsia="Times New Roman" w:hAnsi="Times New Roman"/>
                <w:sz w:val="14"/>
                <w:szCs w:val="14"/>
                <w:color w:val="0000FF"/>
              </w:rPr>
            </w:pPr>
            <w:hyperlink r:id="rId304">
              <w:r>
                <w:rPr>
                  <w:rFonts w:ascii="Times New Roman" w:cs="Times New Roman" w:eastAsia="Times New Roman" w:hAnsi="Times New Roman"/>
                  <w:sz w:val="14"/>
                  <w:szCs w:val="14"/>
                  <w:color w:val="0000FF"/>
                </w:rPr>
                <w:t>Number 001-35666))</w:t>
              </w:r>
            </w:hyperlink>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10.48</w:t>
            </w:r>
          </w:p>
        </w:tc>
        <w:tc>
          <w:tcPr>
            <w:tcW w:w="6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20" w:type="dxa"/>
            <w:vAlign w:val="bottom"/>
            <w:tcBorders>
              <w:bottom w:val="single" w:sz="8" w:color="0000FF"/>
            </w:tcBorders>
            <w:gridSpan w:val="24"/>
          </w:tcPr>
          <w:p>
            <w:pPr>
              <w:spacing w:after="0" w:line="159" w:lineRule="exact"/>
              <w:rPr>
                <w:rFonts w:ascii="Times New Roman" w:cs="Times New Roman" w:eastAsia="Times New Roman" w:hAnsi="Times New Roman"/>
                <w:sz w:val="14"/>
                <w:szCs w:val="14"/>
                <w:color w:val="0000FF"/>
              </w:rPr>
            </w:pPr>
            <w:hyperlink r:id="rId305">
              <w:r>
                <w:rPr>
                  <w:rFonts w:ascii="Times New Roman" w:cs="Times New Roman" w:eastAsia="Times New Roman" w:hAnsi="Times New Roman"/>
                  <w:sz w:val="14"/>
                  <w:szCs w:val="14"/>
                  <w:color w:val="0000FF"/>
                </w:rPr>
                <w:t>Employment Agreement, effective as of September 4, 2020, by and between Summit Midstream Partners, LP and James Johnston (Incorporated herein by reference to</w:t>
              </w:r>
            </w:hyperlink>
          </w:p>
        </w:tc>
        <w:tc>
          <w:tcPr>
            <w:tcW w:w="140" w:type="dxa"/>
            <w:vAlign w:val="bottom"/>
            <w:gridSpan w:val="6"/>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05">
              <w:r>
                <w:rPr>
                  <w:rFonts w:ascii="Times New Roman" w:cs="Times New Roman" w:eastAsia="Times New Roman" w:hAnsi="Times New Roman"/>
                  <w:sz w:val="14"/>
                  <w:szCs w:val="14"/>
                  <w:color w:val="0000FF"/>
                </w:rPr>
                <w:t>Exhibit 10.4 to SMLP’s Form 10-Q dated November 6, 2020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10.49</w:t>
            </w:r>
          </w:p>
        </w:tc>
        <w:tc>
          <w:tcPr>
            <w:tcW w:w="660" w:type="dxa"/>
            <w:vAlign w:val="bottom"/>
            <w:tcBorders>
              <w:bottom w:val="single" w:sz="8" w:color="CCEEFF"/>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60" w:type="dxa"/>
            <w:vAlign w:val="bottom"/>
            <w:tcBorders>
              <w:bottom w:val="single" w:sz="8" w:color="0000FF"/>
            </w:tcBorders>
            <w:gridSpan w:val="26"/>
            <w:shd w:val="clear" w:color="auto" w:fill="CCEEFF"/>
          </w:tcPr>
          <w:p>
            <w:pPr>
              <w:spacing w:after="0" w:line="159"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Summit Midstream Partners, LP 2012 Long-Term Incentive Plan, as amended and restated (incorporated herein by reference to Exhibit 10.1 to SMLP’s Current Report</w:t>
              </w:r>
            </w:hyperlink>
          </w:p>
        </w:tc>
        <w:tc>
          <w:tcPr>
            <w:tcW w:w="100" w:type="dxa"/>
            <w:vAlign w:val="bottom"/>
            <w:tcBorders>
              <w:bottom w:val="single" w:sz="8" w:color="CCEEFF"/>
            </w:tcBorders>
            <w:gridSpan w:val="4"/>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30"/>
            <w:shd w:val="clear" w:color="auto" w:fill="CCEEFF"/>
          </w:tcPr>
          <w:p>
            <w:pPr>
              <w:spacing w:after="0" w:line="150" w:lineRule="exact"/>
              <w:rPr>
                <w:rFonts w:ascii="Times New Roman" w:cs="Times New Roman" w:eastAsia="Times New Roman" w:hAnsi="Times New Roman"/>
                <w:sz w:val="14"/>
                <w:szCs w:val="14"/>
                <w:color w:val="0000FF"/>
              </w:rPr>
            </w:pPr>
            <w:hyperlink r:id="rId306">
              <w:r>
                <w:rPr>
                  <w:rFonts w:ascii="Times New Roman" w:cs="Times New Roman" w:eastAsia="Times New Roman" w:hAnsi="Times New Roman"/>
                  <w:sz w:val="14"/>
                  <w:szCs w:val="14"/>
                  <w:color w:val="0000FF"/>
                </w:rPr>
                <w:t>on Form 8-K dated March 20, 2020 (Commission File No. 001-35666))</w:t>
              </w:r>
            </w:hyperlink>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10.50</w:t>
            </w:r>
          </w:p>
        </w:tc>
        <w:tc>
          <w:tcPr>
            <w:tcW w:w="6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00" w:type="dxa"/>
            <w:vAlign w:val="bottom"/>
            <w:tcBorders>
              <w:bottom w:val="single" w:sz="8" w:color="0000FF"/>
            </w:tcBorders>
            <w:gridSpan w:val="28"/>
          </w:tcPr>
          <w:p>
            <w:pPr>
              <w:spacing w:after="0" w:line="159"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Summit Midstream Partners, LP 2012 Long-Term Incentive Plan Phantom Unit Agreement (Incorporated herein by reference to Exhibit 10.1 to SMLP's Current Report</w:t>
              </w:r>
            </w:hyperlink>
          </w:p>
        </w:tc>
        <w:tc>
          <w:tcPr>
            <w:tcW w:w="60" w:type="dxa"/>
            <w:vAlign w:val="bottom"/>
            <w:gridSpan w:val="2"/>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07">
              <w:r>
                <w:rPr>
                  <w:rFonts w:ascii="Times New Roman" w:cs="Times New Roman" w:eastAsia="Times New Roman" w:hAnsi="Times New Roman"/>
                  <w:sz w:val="14"/>
                  <w:szCs w:val="14"/>
                  <w:color w:val="0000FF"/>
                </w:rPr>
                <w:t>on Form 8-K filed March 17, 2014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10.51</w:t>
            </w:r>
          </w:p>
        </w:tc>
        <w:tc>
          <w:tcPr>
            <w:tcW w:w="66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60" w:type="dxa"/>
            <w:vAlign w:val="bottom"/>
            <w:gridSpan w:val="30"/>
            <w:shd w:val="clear" w:color="auto" w:fill="CCEEFF"/>
          </w:tcPr>
          <w:p>
            <w:pPr>
              <w:spacing w:after="0" w:line="159"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Form of Director Unit Award Agreement (Incorporated herein by reference to Exhibit 10.3 to SMLP's Current Report on Form 8-K filed October 4, 2012 (Commission</w:t>
              </w:r>
            </w:hyperlink>
          </w:p>
        </w:tc>
      </w:tr>
      <w:tr>
        <w:trPr>
          <w:trHeight w:val="150"/>
        </w:trPr>
        <w:tc>
          <w:tcPr>
            <w:tcW w:w="10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26"/>
            <w:shd w:val="clear" w:color="auto" w:fill="CCEEFF"/>
          </w:tcPr>
          <w:p>
            <w:pPr>
              <w:spacing w:after="0" w:line="150"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File No. 001-35666))</w:t>
              </w:r>
            </w:hyperlink>
          </w:p>
        </w:tc>
        <w:tc>
          <w:tcPr>
            <w:tcW w:w="100" w:type="dxa"/>
            <w:vAlign w:val="bottom"/>
            <w:tcBorders>
              <w:top w:val="single" w:sz="8" w:color="CCEEFF"/>
            </w:tcBorders>
            <w:gridSpan w:val="4"/>
            <w:shd w:val="clear" w:color="auto" w:fill="CCEEFF"/>
          </w:tcPr>
          <w:p>
            <w:pPr>
              <w:spacing w:after="0"/>
              <w:rPr>
                <w:sz w:val="13"/>
                <w:szCs w:val="13"/>
                <w:color w:val="auto"/>
              </w:rPr>
            </w:pPr>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10.52</w:t>
            </w:r>
          </w:p>
        </w:tc>
        <w:tc>
          <w:tcPr>
            <w:tcW w:w="6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120" w:type="dxa"/>
            <w:vAlign w:val="bottom"/>
            <w:tcBorders>
              <w:bottom w:val="single" w:sz="8" w:color="0000FF"/>
            </w:tcBorders>
            <w:gridSpan w:val="16"/>
          </w:tcPr>
          <w:p>
            <w:pPr>
              <w:spacing w:after="0" w:line="159"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Summit Midstream Partners, LLC Deferred Compensation Plan effective as of July 1, 2013 (Incorporated herein by reference to Exhibit 4.3 to SMLP's Form S-8</w:t>
              </w:r>
            </w:hyperlink>
          </w:p>
        </w:tc>
        <w:tc>
          <w:tcPr>
            <w:tcW w:w="440" w:type="dxa"/>
            <w:vAlign w:val="bottom"/>
            <w:gridSpan w:val="14"/>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Registration Statement dated June 28, 2013 (Commission File No. 333-189684))</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10.53</w:t>
            </w:r>
          </w:p>
        </w:tc>
        <w:tc>
          <w:tcPr>
            <w:tcW w:w="660" w:type="dxa"/>
            <w:vAlign w:val="bottom"/>
            <w:tcBorders>
              <w:bottom w:val="single" w:sz="8" w:color="CCEEFF"/>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120" w:type="dxa"/>
            <w:vAlign w:val="bottom"/>
            <w:tcBorders>
              <w:bottom w:val="single" w:sz="8" w:color="0000FF"/>
            </w:tcBorders>
            <w:gridSpan w:val="16"/>
            <w:shd w:val="clear" w:color="auto" w:fill="CCEEFF"/>
          </w:tcPr>
          <w:p>
            <w:pPr>
              <w:spacing w:after="0" w:line="159"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Form of Summit Midstream Partners, LP 2012 Long-Term Incentive Plan Grant Award Agreement (Incorporated herein by reference to Exhibit 10.54 to SMLP’s</w:t>
              </w:r>
            </w:hyperlink>
          </w:p>
        </w:tc>
        <w:tc>
          <w:tcPr>
            <w:tcW w:w="440" w:type="dxa"/>
            <w:vAlign w:val="bottom"/>
            <w:tcBorders>
              <w:bottom w:val="single" w:sz="8" w:color="CCEEFF"/>
            </w:tcBorders>
            <w:gridSpan w:val="14"/>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30"/>
            <w:shd w:val="clear" w:color="auto" w:fill="CCEEFF"/>
          </w:tcPr>
          <w:p>
            <w:pPr>
              <w:spacing w:after="0" w:line="150"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Annual Report on Form 10-K filed February 28, 2022 (Commission File No. 001-35666))</w:t>
              </w:r>
            </w:hyperlink>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10.54</w:t>
            </w:r>
          </w:p>
        </w:tc>
        <w:tc>
          <w:tcPr>
            <w:tcW w:w="660" w:type="dxa"/>
            <w:vAlign w:val="bottom"/>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360" w:type="dxa"/>
            <w:vAlign w:val="bottom"/>
            <w:tcBorders>
              <w:bottom w:val="single" w:sz="8" w:color="0000FF"/>
            </w:tcBorders>
            <w:gridSpan w:val="22"/>
          </w:tcPr>
          <w:p>
            <w:pPr>
              <w:spacing w:after="0" w:line="159"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Summit Midstream Partners, LP 2022 Long-Term Incentive Plan (incorporated herein by reference to Appendix B to SMLP’s definitive proxy statement on Schedule</w:t>
              </w:r>
            </w:hyperlink>
          </w:p>
        </w:tc>
        <w:tc>
          <w:tcPr>
            <w:tcW w:w="200" w:type="dxa"/>
            <w:vAlign w:val="bottom"/>
            <w:gridSpan w:val="8"/>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14A filed March 31, 2022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10.55</w:t>
            </w:r>
          </w:p>
        </w:tc>
        <w:tc>
          <w:tcPr>
            <w:tcW w:w="660" w:type="dxa"/>
            <w:vAlign w:val="bottom"/>
            <w:tcBorders>
              <w:bottom w:val="single" w:sz="8" w:color="CCEEFF"/>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60" w:type="dxa"/>
            <w:vAlign w:val="bottom"/>
            <w:tcBorders>
              <w:bottom w:val="single" w:sz="8" w:color="0000FF"/>
            </w:tcBorders>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Amended and Restated Employment Agreement, effective as of September 4, 2020, by and between Summit Operating Services Company, LLC and Heath Deneke</w:t>
              </w:r>
            </w:hyperlink>
          </w:p>
        </w:tc>
        <w:tc>
          <w:tcPr>
            <w:tcW w:w="300" w:type="dxa"/>
            <w:vAlign w:val="bottom"/>
            <w:tcBorders>
              <w:bottom w:val="single" w:sz="8" w:color="CCEEFF"/>
            </w:tcBorders>
            <w:gridSpan w:val="12"/>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30"/>
            <w:shd w:val="clear" w:color="auto" w:fill="CCEEFF"/>
          </w:tcPr>
          <w:p>
            <w:pPr>
              <w:spacing w:after="0" w:line="150" w:lineRule="exact"/>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(Incorporated herein by reference to Exhibit 10.2 to SMLP’s Quarterly Report on Form 10-Q for the three months ended March 31, 2022 dated May 5, 2022</w:t>
              </w:r>
            </w:hyperlink>
          </w:p>
        </w:tc>
      </w:tr>
      <w:tr>
        <w:trPr>
          <w:trHeight w:val="183"/>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0000FF"/>
              <w:bottom w:val="single" w:sz="8" w:color="0000FF"/>
            </w:tcBorders>
            <w:gridSpan w:val="3"/>
            <w:shd w:val="clear" w:color="auto" w:fill="CCEEFF"/>
          </w:tcPr>
          <w:p>
            <w:pPr>
              <w:spacing w:after="0" w:line="150" w:lineRule="exact"/>
              <w:rPr>
                <w:rFonts w:ascii="Times New Roman" w:cs="Times New Roman" w:eastAsia="Times New Roman" w:hAnsi="Times New Roman"/>
                <w:sz w:val="14"/>
                <w:szCs w:val="14"/>
                <w:color w:val="0000FF"/>
                <w:w w:val="99"/>
              </w:rPr>
            </w:pPr>
            <w:hyperlink r:id="rId312">
              <w:r>
                <w:rPr>
                  <w:rFonts w:ascii="Times New Roman" w:cs="Times New Roman" w:eastAsia="Times New Roman" w:hAnsi="Times New Roman"/>
                  <w:sz w:val="14"/>
                  <w:szCs w:val="14"/>
                  <w:color w:val="0000FF"/>
                  <w:w w:val="99"/>
                </w:rPr>
                <w:t>(Commission File No. 001-35666))</w:t>
              </w:r>
            </w:hyperlink>
          </w:p>
        </w:tc>
        <w:tc>
          <w:tcPr>
            <w:tcW w:w="684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720" w:type="dxa"/>
            <w:vAlign w:val="bottom"/>
            <w:tcBorders>
              <w:top w:val="single" w:sz="8" w:color="CCEEFF"/>
              <w:bottom w:val="single" w:sz="8" w:color="CCEEFF"/>
            </w:tcBorders>
            <w:gridSpan w:val="17"/>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10.56</w:t>
            </w:r>
          </w:p>
        </w:tc>
        <w:tc>
          <w:tcPr>
            <w:tcW w:w="660" w:type="dxa"/>
            <w:vAlign w:val="bottom"/>
          </w:tcPr>
          <w:p>
            <w:pPr>
              <w:spacing w:after="0"/>
              <w:rPr>
                <w:sz w:val="13"/>
                <w:szCs w:val="13"/>
                <w:color w:val="auto"/>
              </w:rPr>
            </w:pPr>
          </w:p>
        </w:tc>
        <w:tc>
          <w:tcPr>
            <w:tcW w:w="9320" w:type="dxa"/>
            <w:vAlign w:val="bottom"/>
            <w:tcBorders>
              <w:bottom w:val="single" w:sz="8" w:color="0000FF"/>
            </w:tcBorders>
            <w:gridSpan w:val="20"/>
          </w:tcPr>
          <w:p>
            <w:pPr>
              <w:spacing w:after="0" w:line="15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Collateral Agreement, dated as of November 14, 2022, by and among Summit Midstream Partners, LP, as a pledgor, Summit Midstream Holdings, LLC and Summit</w:t>
              </w:r>
            </w:hyperlink>
          </w:p>
        </w:tc>
        <w:tc>
          <w:tcPr>
            <w:tcW w:w="240" w:type="dxa"/>
            <w:vAlign w:val="bottom"/>
            <w:gridSpan w:val="10"/>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80" w:type="dxa"/>
            <w:vAlign w:val="bottom"/>
            <w:tcBorders>
              <w:bottom w:val="single" w:sz="8" w:color="0000FF"/>
            </w:tcBorders>
            <w:gridSpan w:val="27"/>
          </w:tcPr>
          <w:p>
            <w:pPr>
              <w:spacing w:after="0" w:line="150"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Midstream Finance Corp., as pledgors and grantors, the Subsidiary Guarantors party therein, and Regions Bank, as collateral agent (Incorporated herein by reference to</w:t>
              </w:r>
            </w:hyperlink>
          </w:p>
        </w:tc>
        <w:tc>
          <w:tcPr>
            <w:tcW w:w="80" w:type="dxa"/>
            <w:vAlign w:val="bottom"/>
            <w:gridSpan w:val="3"/>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30"/>
          </w:tcPr>
          <w:p>
            <w:pPr>
              <w:spacing w:after="0" w:line="150"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Exhibit 10.1 to SMLP’s Current Report on Form 8-K filed November 15, 2022 (Commission File No. 001-35666))</w:t>
              </w:r>
            </w:hyperlink>
          </w:p>
        </w:tc>
      </w:tr>
      <w:tr>
        <w:trPr>
          <w:trHeight w:val="733"/>
        </w:trPr>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Borders>
              <w:top w:val="single" w:sz="8" w:color="0000FF"/>
            </w:tcBorders>
            <w:gridSpan w:val="6"/>
          </w:tcPr>
          <w:p>
            <w:pPr>
              <w:ind w:left="3820"/>
              <w:spacing w:after="0"/>
              <w:rPr>
                <w:sz w:val="20"/>
                <w:szCs w:val="20"/>
                <w:color w:val="auto"/>
              </w:rPr>
            </w:pPr>
            <w:r>
              <w:rPr>
                <w:rFonts w:ascii="Times New Roman" w:cs="Times New Roman" w:eastAsia="Times New Roman" w:hAnsi="Times New Roman"/>
                <w:sz w:val="14"/>
                <w:szCs w:val="14"/>
                <w:color w:val="auto"/>
                <w:w w:val="95"/>
              </w:rPr>
              <w:t>140</w:t>
            </w: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0" w:name="page141"/>
    <w:bookmarkEnd w:id="140"/>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10.57</w:t>
            </w:r>
          </w:p>
        </w:tc>
        <w:tc>
          <w:tcPr>
            <w:tcW w:w="660" w:type="dxa"/>
            <w:vAlign w:val="bottom"/>
            <w:tcBorders>
              <w:bottom w:val="single" w:sz="8" w:color="CCEEFF"/>
            </w:tcBorders>
            <w:shd w:val="clear" w:color="auto" w:fill="CCEEFF"/>
          </w:tcPr>
          <w:p>
            <w:pPr>
              <w:spacing w:after="0"/>
              <w:rPr>
                <w:sz w:val="13"/>
                <w:szCs w:val="13"/>
                <w:color w:val="auto"/>
              </w:rPr>
            </w:pPr>
          </w:p>
        </w:tc>
        <w:tc>
          <w:tcPr>
            <w:tcW w:w="9380" w:type="dxa"/>
            <w:vAlign w:val="bottom"/>
            <w:tcBorders>
              <w:bottom w:val="single" w:sz="8" w:color="0000FF"/>
            </w:tcBorders>
            <w:gridSpan w:val="19"/>
            <w:shd w:val="clear" w:color="auto" w:fill="CCEEFF"/>
          </w:tcPr>
          <w:p>
            <w:pPr>
              <w:spacing w:after="0"/>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Second Lien Pari Passu Intercreditor Agreement, dated as of November 14, 2022, by and among Regions Bank, as the initial second lien representative and the initial</w:t>
              </w:r>
            </w:hyperlink>
          </w:p>
        </w:tc>
        <w:tc>
          <w:tcPr>
            <w:tcW w:w="180" w:type="dxa"/>
            <w:vAlign w:val="bottom"/>
            <w:tcBorders>
              <w:bottom w:val="single" w:sz="8" w:color="CCEEFF"/>
            </w:tcBorders>
            <w:gridSpan w:val="4"/>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second lien collateral agent for the 2021 indenture claimholders, Regions Bank, as additional initial second lien representative and additional initial second lien</w:t>
              </w:r>
            </w:hyperlink>
          </w:p>
        </w:tc>
      </w:tr>
      <w:tr>
        <w:trPr>
          <w:trHeight w:val="150"/>
        </w:trPr>
        <w:tc>
          <w:tcPr>
            <w:tcW w:w="10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10"/>
            <w:shd w:val="clear" w:color="auto" w:fill="CCEEFF"/>
          </w:tcPr>
          <w:p>
            <w:pPr>
              <w:spacing w:after="0" w:line="150"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collateral agent, Summit Midstream Partners, LP, Summit Midstream Holdings, LLC, Summit Midstream Finance Corp., and the other Grantors party thereto</w:t>
              </w:r>
            </w:hyperlink>
          </w:p>
        </w:tc>
        <w:tc>
          <w:tcPr>
            <w:tcW w:w="560" w:type="dxa"/>
            <w:vAlign w:val="bottom"/>
            <w:tcBorders>
              <w:top w:val="single" w:sz="8" w:color="CCEEFF"/>
            </w:tcBorders>
            <w:gridSpan w:val="13"/>
            <w:shd w:val="clear" w:color="auto" w:fill="CCEEFF"/>
          </w:tcPr>
          <w:p>
            <w:pPr>
              <w:spacing w:after="0"/>
              <w:rPr>
                <w:sz w:val="13"/>
                <w:szCs w:val="13"/>
                <w:color w:val="auto"/>
              </w:rPr>
            </w:pPr>
          </w:p>
        </w:tc>
      </w:tr>
      <w:tr>
        <w:trPr>
          <w:trHeight w:val="183"/>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580" w:type="dxa"/>
            <w:vAlign w:val="bottom"/>
            <w:tcBorders>
              <w:top w:val="single" w:sz="8" w:color="0000FF"/>
              <w:bottom w:val="single" w:sz="8" w:color="0000FF"/>
            </w:tcBorders>
            <w:gridSpan w:val="5"/>
            <w:shd w:val="clear" w:color="auto" w:fill="CCEEFF"/>
          </w:tcPr>
          <w:p>
            <w:pPr>
              <w:spacing w:after="0" w:line="150" w:lineRule="exact"/>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(Incorporated herein by reference to Exhibit 10.2 to SMLP’s Current Report on Form 8-K filed November 15, 2022 (Commission File No. 001-35666))</w:t>
              </w:r>
            </w:hyperlink>
          </w:p>
        </w:tc>
        <w:tc>
          <w:tcPr>
            <w:tcW w:w="32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660" w:type="dxa"/>
            <w:vAlign w:val="bottom"/>
            <w:tcBorders>
              <w:top w:val="single" w:sz="8" w:color="CCEEFF"/>
              <w:bottom w:val="single" w:sz="8" w:color="CCEEFF"/>
            </w:tcBorders>
            <w:gridSpan w:val="16"/>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10.58</w:t>
            </w:r>
          </w:p>
        </w:tc>
        <w:tc>
          <w:tcPr>
            <w:tcW w:w="66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240" w:type="dxa"/>
            <w:vAlign w:val="bottom"/>
            <w:tcBorders>
              <w:bottom w:val="single" w:sz="8" w:color="0000FF"/>
            </w:tcBorders>
            <w:gridSpan w:val="15"/>
          </w:tcPr>
          <w:p>
            <w:pPr>
              <w:spacing w:after="0" w:line="159"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Amended and Restated Employment Agreement, effective as of February 23, 2023, by and between Summit Operating Services Company, LLC and Heath Deneke</w:t>
              </w:r>
            </w:hyperlink>
          </w:p>
        </w:tc>
        <w:tc>
          <w:tcPr>
            <w:tcW w:w="320" w:type="dxa"/>
            <w:vAlign w:val="bottom"/>
            <w:gridSpan w:val="8"/>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(Incorporated herein by reference to Exhibit 10.58 to SMLP’s Annual Report on Form 10-K filed March 1, 2023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10.59</w:t>
            </w:r>
          </w:p>
        </w:tc>
        <w:tc>
          <w:tcPr>
            <w:tcW w:w="660" w:type="dxa"/>
            <w:vAlign w:val="bottom"/>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Amended and Restated Employment Agreement, effective as of February 23, 2023, by and between Summit Operating Services Company, LLC and William (Bill)</w:t>
              </w:r>
            </w:hyperlink>
          </w:p>
        </w:tc>
      </w:tr>
      <w:tr>
        <w:trPr>
          <w:trHeight w:val="183"/>
        </w:trPr>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780" w:type="dxa"/>
            <w:vAlign w:val="bottom"/>
            <w:tcBorders>
              <w:top w:val="single" w:sz="8" w:color="0000FF"/>
              <w:bottom w:val="single" w:sz="8" w:color="0000FF"/>
            </w:tcBorders>
            <w:gridSpan w:val="6"/>
            <w:shd w:val="clear" w:color="auto" w:fill="CCEEFF"/>
          </w:tcPr>
          <w:p>
            <w:pPr>
              <w:spacing w:after="0" w:line="150" w:lineRule="exact"/>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Mault (Incorporated herein by reference to Exhibit 10.59 to SMLP’s Annual Report on Form 10-K filed March 1, 2023 (Commission File No. 001-35666))</w:t>
              </w:r>
            </w:hyperlink>
          </w:p>
        </w:tc>
        <w:tc>
          <w:tcPr>
            <w:tcW w:w="44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340" w:type="dxa"/>
            <w:vAlign w:val="bottom"/>
            <w:tcBorders>
              <w:top w:val="single" w:sz="8" w:color="CCEEFF"/>
              <w:bottom w:val="single" w:sz="8" w:color="CCEEFF"/>
            </w:tcBorders>
            <w:gridSpan w:val="9"/>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10.60</w:t>
            </w:r>
          </w:p>
        </w:tc>
        <w:tc>
          <w:tcPr>
            <w:tcW w:w="66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32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Amended and Restated Employment Agreement, effective as of February 23, 2023, by and between Summit Operating Services Company, LLC and James Johnston</w:t>
              </w:r>
            </w:hyperlink>
          </w:p>
        </w:tc>
        <w:tc>
          <w:tcPr>
            <w:tcW w:w="240" w:type="dxa"/>
            <w:vAlign w:val="bottom"/>
            <w:gridSpan w:val="6"/>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(Incorporated herein by reference to Exhibit 10.60 to SMLP’s Annual Report on Form 10-K filed March 1, 2023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10.61</w:t>
            </w:r>
          </w:p>
        </w:tc>
        <w:tc>
          <w:tcPr>
            <w:tcW w:w="660" w:type="dxa"/>
            <w:vAlign w:val="bottom"/>
            <w:tcBorders>
              <w:bottom w:val="single" w:sz="8" w:color="CCEEFF"/>
            </w:tcBorders>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40" w:type="dxa"/>
            <w:vAlign w:val="bottom"/>
            <w:tcBorders>
              <w:bottom w:val="single" w:sz="8" w:color="0000FF"/>
            </w:tcBorders>
            <w:gridSpan w:val="21"/>
            <w:shd w:val="clear" w:color="auto" w:fill="CCEEFF"/>
          </w:tcPr>
          <w:p>
            <w:pPr>
              <w:spacing w:after="0" w:line="15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Amended and Restated Employment Agreement, effective as of February 23, 2023, by and between Summit Operating Services Company, LLC and Matthew Sicinski</w:t>
              </w:r>
            </w:hyperlink>
          </w:p>
        </w:tc>
        <w:tc>
          <w:tcPr>
            <w:tcW w:w="120" w:type="dxa"/>
            <w:vAlign w:val="bottom"/>
            <w:tcBorders>
              <w:bottom w:val="single" w:sz="8" w:color="CCEEFF"/>
            </w:tcBorders>
            <w:gridSpan w:val="2"/>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23"/>
            <w:shd w:val="clear" w:color="auto" w:fill="CCEEFF"/>
          </w:tcPr>
          <w:p>
            <w:pPr>
              <w:spacing w:after="0" w:line="150"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(Incorporated herein by reference to Exhibit 10.61 to SMLP’s Annual Report on Form 10-K filed March 1, 2023 (Commission File No. 001-35666))</w:t>
              </w:r>
            </w:hyperlink>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10.62</w:t>
            </w:r>
          </w:p>
        </w:tc>
        <w:tc>
          <w:tcPr>
            <w:tcW w:w="66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360" w:type="dxa"/>
            <w:vAlign w:val="bottom"/>
            <w:tcBorders>
              <w:bottom w:val="single" w:sz="8" w:color="0000FF"/>
            </w:tcBorders>
            <w:gridSpan w:val="18"/>
          </w:tcPr>
          <w:p>
            <w:pPr>
              <w:spacing w:after="0" w:line="159"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Summit Midstream Partners, LP 2022 Long-Term Incentive Plan 2023 LTIP Grant Award Agreement for Performance-based Phantom Units, effective as of February</w:t>
              </w:r>
            </w:hyperlink>
          </w:p>
        </w:tc>
        <w:tc>
          <w:tcPr>
            <w:tcW w:w="200" w:type="dxa"/>
            <w:vAlign w:val="bottom"/>
            <w:gridSpan w:val="5"/>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23, 2023 (Incorporated herein by reference to Exhibit 10.62 to SMLP’s Annual Report on Form 10-K filed March 1, 2023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10.63</w:t>
            </w:r>
          </w:p>
        </w:tc>
        <w:tc>
          <w:tcPr>
            <w:tcW w:w="660" w:type="dxa"/>
            <w:vAlign w:val="bottom"/>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Summit Midstream Partners, LP 2022 Long-Term Incentive Plan 2023 LTIP Grant Award Agreement for Time-based Phantom Units, effective as of February 23, 2023</w:t>
              </w:r>
            </w:hyperlink>
          </w:p>
        </w:tc>
      </w:tr>
      <w:tr>
        <w:trPr>
          <w:trHeight w:val="150"/>
        </w:trPr>
        <w:tc>
          <w:tcPr>
            <w:tcW w:w="10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22"/>
            <w:shd w:val="clear" w:color="auto" w:fill="CCEEFF"/>
          </w:tcPr>
          <w:p>
            <w:pPr>
              <w:spacing w:after="0" w:line="150" w:lineRule="exact"/>
              <w:rPr>
                <w:rFonts w:ascii="Times New Roman" w:cs="Times New Roman" w:eastAsia="Times New Roman" w:hAnsi="Times New Roman"/>
                <w:sz w:val="14"/>
                <w:szCs w:val="14"/>
                <w:color w:val="0000FF"/>
              </w:rPr>
            </w:pPr>
            <w:hyperlink r:id="rId322">
              <w:r>
                <w:rPr>
                  <w:rFonts w:ascii="Times New Roman" w:cs="Times New Roman" w:eastAsia="Times New Roman" w:hAnsi="Times New Roman"/>
                  <w:sz w:val="14"/>
                  <w:szCs w:val="14"/>
                  <w:color w:val="0000FF"/>
                </w:rPr>
                <w:t>(Incorporated herein by reference to Exhibit 10.63 to SMLP’s Annual Report on Form 10-K filed March 1, 2023 (Commission File No. 001-35666))</w:t>
              </w:r>
            </w:hyperlink>
          </w:p>
        </w:tc>
        <w:tc>
          <w:tcPr>
            <w:tcW w:w="100" w:type="dxa"/>
            <w:vAlign w:val="bottom"/>
            <w:tcBorders>
              <w:top w:val="single" w:sz="8" w:color="CCEEFF"/>
            </w:tcBorders>
            <w:shd w:val="clear" w:color="auto" w:fill="CCEEFF"/>
          </w:tcPr>
          <w:p>
            <w:pPr>
              <w:spacing w:after="0"/>
              <w:rPr>
                <w:sz w:val="13"/>
                <w:szCs w:val="13"/>
                <w:color w:val="auto"/>
              </w:rPr>
            </w:pPr>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10.64</w:t>
            </w:r>
          </w:p>
        </w:tc>
        <w:tc>
          <w:tcPr>
            <w:tcW w:w="66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40" w:type="dxa"/>
            <w:vAlign w:val="bottom"/>
            <w:tcBorders>
              <w:bottom w:val="single" w:sz="8" w:color="0000FF"/>
            </w:tcBorders>
            <w:gridSpan w:val="21"/>
          </w:tcPr>
          <w:p>
            <w:pPr>
              <w:spacing w:after="0" w:line="159"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Form of Summit Midstream Partners, LP 2012 Long-Term Incentive Plan 2021 Grant Award Agreement (Incorporated herein by reference to Exhibit 10.64 to SMLP’s</w:t>
              </w:r>
            </w:hyperlink>
          </w:p>
        </w:tc>
        <w:tc>
          <w:tcPr>
            <w:tcW w:w="120" w:type="dxa"/>
            <w:vAlign w:val="bottom"/>
            <w:gridSpan w:val="2"/>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Annual Report on Form 10-K filed March 1, 2023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10.65</w:t>
            </w:r>
          </w:p>
        </w:tc>
        <w:tc>
          <w:tcPr>
            <w:tcW w:w="660" w:type="dxa"/>
            <w:vAlign w:val="bottom"/>
            <w:tcBorders>
              <w:bottom w:val="single" w:sz="8" w:color="CCEEFF"/>
            </w:tcBorders>
            <w:shd w:val="clear" w:color="auto" w:fill="CCEEFF"/>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160" w:type="dxa"/>
            <w:vAlign w:val="bottom"/>
            <w:tcBorders>
              <w:bottom w:val="single" w:sz="8" w:color="0000FF"/>
            </w:tcBorders>
            <w:gridSpan w:val="12"/>
            <w:shd w:val="clear" w:color="auto" w:fill="CCEEFF"/>
          </w:tcPr>
          <w:p>
            <w:pPr>
              <w:spacing w:after="0" w:line="159"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Form of Summit Midstream Partners, LP 2022 Long-Term Incentive Plan Director Unit Agreement (Incorporated herein by reference to Exhibit 10.65 to SMLP’s</w:t>
              </w:r>
            </w:hyperlink>
          </w:p>
        </w:tc>
        <w:tc>
          <w:tcPr>
            <w:tcW w:w="400" w:type="dxa"/>
            <w:vAlign w:val="bottom"/>
            <w:tcBorders>
              <w:bottom w:val="single" w:sz="8" w:color="CCEEFF"/>
            </w:tcBorders>
            <w:gridSpan w:val="11"/>
            <w:shd w:val="clear" w:color="auto" w:fill="CCEEFF"/>
          </w:tcPr>
          <w:p>
            <w:pPr>
              <w:spacing w:after="0"/>
              <w:rPr>
                <w:sz w:val="13"/>
                <w:szCs w:val="13"/>
                <w:color w:val="auto"/>
              </w:rPr>
            </w:pPr>
          </w:p>
        </w:tc>
      </w:tr>
      <w:tr>
        <w:trPr>
          <w:trHeight w:val="183"/>
        </w:trPr>
        <w:tc>
          <w:tcPr>
            <w:tcW w:w="10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FF"/>
            </w:tcBorders>
            <w:gridSpan w:val="3"/>
            <w:shd w:val="clear" w:color="auto" w:fill="CCEEFF"/>
          </w:tcPr>
          <w:p>
            <w:pPr>
              <w:spacing w:after="0" w:line="150" w:lineRule="exact"/>
              <w:rPr>
                <w:rFonts w:ascii="Times New Roman" w:cs="Times New Roman" w:eastAsia="Times New Roman" w:hAnsi="Times New Roman"/>
                <w:sz w:val="14"/>
                <w:szCs w:val="14"/>
                <w:color w:val="0000FF"/>
              </w:rPr>
            </w:pPr>
            <w:hyperlink r:id="rId324">
              <w:r>
                <w:rPr>
                  <w:rFonts w:ascii="Times New Roman" w:cs="Times New Roman" w:eastAsia="Times New Roman" w:hAnsi="Times New Roman"/>
                  <w:sz w:val="14"/>
                  <w:szCs w:val="14"/>
                  <w:color w:val="0000FF"/>
                </w:rPr>
                <w:t>Annual Report on Form 10-K filed March 1, 2023 (Commission File No. 001-35666))</w:t>
              </w:r>
            </w:hyperlink>
          </w:p>
        </w:tc>
        <w:tc>
          <w:tcPr>
            <w:tcW w:w="4680" w:type="dxa"/>
            <w:vAlign w:val="bottom"/>
            <w:tcBorders>
              <w:bottom w:val="single" w:sz="8" w:color="CCEEFF"/>
            </w:tcBorders>
            <w:gridSpan w:val="20"/>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10.66</w:t>
            </w:r>
          </w:p>
        </w:tc>
        <w:tc>
          <w:tcPr>
            <w:tcW w:w="660" w:type="dxa"/>
            <w:vAlign w:val="bottom"/>
          </w:tcPr>
          <w:p>
            <w:pPr>
              <w:jc w:val="right"/>
              <w:ind w:right="1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9160" w:type="dxa"/>
            <w:vAlign w:val="bottom"/>
            <w:tcBorders>
              <w:bottom w:val="single" w:sz="8" w:color="0000FF"/>
            </w:tcBorders>
            <w:gridSpan w:val="12"/>
          </w:tcPr>
          <w:p>
            <w:pPr>
              <w:spacing w:after="0" w:line="159"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Form of Summit Midstream Partners, LP 2023 Long-Term Incentive Plan Director Unit Agreement (Incorporated herein by reference to Exhibit 10.66 to SMLP’s</w:t>
              </w:r>
            </w:hyperlink>
          </w:p>
        </w:tc>
        <w:tc>
          <w:tcPr>
            <w:tcW w:w="400" w:type="dxa"/>
            <w:vAlign w:val="bottom"/>
            <w:gridSpan w:val="11"/>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25">
              <w:r>
                <w:rPr>
                  <w:rFonts w:ascii="Times New Roman" w:cs="Times New Roman" w:eastAsia="Times New Roman" w:hAnsi="Times New Roman"/>
                  <w:sz w:val="14"/>
                  <w:szCs w:val="14"/>
                  <w:color w:val="0000FF"/>
                </w:rPr>
                <w:t>Annual Report on Form 10-K filed March 1, 2023 (Commission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10.67</w:t>
            </w:r>
          </w:p>
        </w:tc>
        <w:tc>
          <w:tcPr>
            <w:tcW w:w="660" w:type="dxa"/>
            <w:vAlign w:val="bottom"/>
            <w:shd w:val="clear" w:color="auto" w:fill="CCEEFF"/>
          </w:tcPr>
          <w:p>
            <w:pPr>
              <w:spacing w:after="0"/>
              <w:rPr>
                <w:sz w:val="13"/>
                <w:szCs w:val="13"/>
                <w:color w:val="auto"/>
              </w:rPr>
            </w:pPr>
          </w:p>
        </w:tc>
        <w:tc>
          <w:tcPr>
            <w:tcW w:w="9560" w:type="dxa"/>
            <w:vAlign w:val="bottom"/>
            <w:gridSpan w:val="23"/>
            <w:shd w:val="clear" w:color="auto" w:fill="CCEEFF"/>
          </w:tcPr>
          <w:p>
            <w:pPr>
              <w:spacing w:after="0" w:line="159"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First Amendment to Loan and Security Agreement, dated October 14, 2022, by and among Summit Midstream Partners, LP, Summit Midstream Holdings, LLC and</w:t>
              </w:r>
            </w:hyperlink>
          </w:p>
        </w:tc>
      </w:tr>
      <w:tr>
        <w:trPr>
          <w:trHeight w:val="150"/>
        </w:trPr>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9140" w:type="dxa"/>
            <w:vAlign w:val="bottom"/>
            <w:tcBorders>
              <w:top w:val="single" w:sz="8" w:color="0000FF"/>
              <w:bottom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326">
              <w:r>
                <w:rPr>
                  <w:rFonts w:ascii="Times New Roman" w:cs="Times New Roman" w:eastAsia="Times New Roman" w:hAnsi="Times New Roman"/>
                  <w:sz w:val="14"/>
                  <w:szCs w:val="14"/>
                  <w:color w:val="0000FF"/>
                </w:rPr>
                <w:t>Bank of America, N.A. (Incorporated herein by Incorporated herein by reference to Exhibit 10.1 to SMLP’s Quarterly Report on Form 10-Q filed August 9, 2023</w:t>
              </w:r>
            </w:hyperlink>
          </w:p>
        </w:tc>
        <w:tc>
          <w:tcPr>
            <w:tcW w:w="14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7"/>
            <w:shd w:val="clear" w:color="auto" w:fill="CCEEFF"/>
          </w:tcPr>
          <w:p>
            <w:pPr>
              <w:spacing w:after="0"/>
              <w:rPr>
                <w:sz w:val="13"/>
                <w:szCs w:val="13"/>
                <w:color w:val="auto"/>
              </w:rPr>
            </w:pPr>
          </w:p>
        </w:tc>
      </w:tr>
      <w:tr>
        <w:trPr>
          <w:trHeight w:val="183"/>
        </w:trPr>
        <w:tc>
          <w:tcPr>
            <w:tcW w:w="10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0000FF"/>
            </w:tcBorders>
            <w:shd w:val="clear" w:color="auto" w:fill="CCEEFF"/>
          </w:tcPr>
          <w:p>
            <w:pPr>
              <w:spacing w:after="0" w:line="150" w:lineRule="exact"/>
              <w:rPr>
                <w:rFonts w:ascii="Times New Roman" w:cs="Times New Roman" w:eastAsia="Times New Roman" w:hAnsi="Times New Roman"/>
                <w:sz w:val="14"/>
                <w:szCs w:val="14"/>
                <w:color w:val="0000FF"/>
                <w:w w:val="99"/>
              </w:rPr>
            </w:pPr>
            <w:hyperlink r:id="rId326">
              <w:r>
                <w:rPr>
                  <w:rFonts w:ascii="Times New Roman" w:cs="Times New Roman" w:eastAsia="Times New Roman" w:hAnsi="Times New Roman"/>
                  <w:sz w:val="14"/>
                  <w:szCs w:val="14"/>
                  <w:color w:val="0000FF"/>
                  <w:w w:val="99"/>
                </w:rPr>
                <w:t>(Commission File No. 001-35666))</w:t>
              </w:r>
            </w:hyperlink>
          </w:p>
        </w:tc>
        <w:tc>
          <w:tcPr>
            <w:tcW w:w="756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10.68</w:t>
            </w:r>
          </w:p>
        </w:tc>
        <w:tc>
          <w:tcPr>
            <w:tcW w:w="660" w:type="dxa"/>
            <w:vAlign w:val="bottom"/>
          </w:tcPr>
          <w:p>
            <w:pPr>
              <w:spacing w:after="0"/>
              <w:rPr>
                <w:sz w:val="13"/>
                <w:szCs w:val="13"/>
                <w:color w:val="auto"/>
              </w:rPr>
            </w:pPr>
          </w:p>
        </w:tc>
        <w:tc>
          <w:tcPr>
            <w:tcW w:w="9560" w:type="dxa"/>
            <w:vAlign w:val="bottom"/>
            <w:gridSpan w:val="23"/>
          </w:tcPr>
          <w:p>
            <w:pPr>
              <w:spacing w:after="0" w:line="159"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Second Amendment to Loan and Security Agreement, dated May 10, 2023, by and among Summit Midstream Partners, LP, Summit Midstream Holdings, LLC and</w:t>
              </w:r>
            </w:hyperlink>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Bank of America, N.A. (Incorporated herein by Incorporated herein by reference to Exhibit 10.2 to SMLP’s Quarterly Report on Form 10-Q filed August 9, 2023</w:t>
              </w:r>
            </w:hyperlink>
          </w:p>
        </w:tc>
        <w:tc>
          <w:tcPr>
            <w:tcW w:w="100" w:type="dxa"/>
            <w:vAlign w:val="bottom"/>
            <w:tcBorders>
              <w:top w:val="single" w:sz="8" w:color="0000FF"/>
            </w:tcBorders>
            <w:gridSpan w:val="4"/>
          </w:tcPr>
          <w:p>
            <w:pPr>
              <w:spacing w:after="0"/>
              <w:rPr>
                <w:sz w:val="13"/>
                <w:szCs w:val="13"/>
                <w:color w:val="auto"/>
              </w:rPr>
            </w:pPr>
          </w:p>
        </w:tc>
        <w:tc>
          <w:tcPr>
            <w:tcW w:w="320" w:type="dxa"/>
            <w:vAlign w:val="bottom"/>
            <w:gridSpan w:val="8"/>
          </w:tcPr>
          <w:p>
            <w:pPr>
              <w:spacing w:after="0"/>
              <w:rPr>
                <w:sz w:val="13"/>
                <w:szCs w:val="13"/>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27">
              <w:r>
                <w:rPr>
                  <w:rFonts w:ascii="Times New Roman" w:cs="Times New Roman" w:eastAsia="Times New Roman" w:hAnsi="Times New Roman"/>
                  <w:sz w:val="14"/>
                  <w:szCs w:val="14"/>
                  <w:color w:val="0000FF"/>
                </w:rPr>
                <w:t>(Commission File No. 001-35666))</w:t>
              </w:r>
            </w:hyperlink>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10.69</w:t>
            </w:r>
          </w:p>
        </w:tc>
        <w:tc>
          <w:tcPr>
            <w:tcW w:w="660" w:type="dxa"/>
            <w:vAlign w:val="bottom"/>
            <w:tcBorders>
              <w:bottom w:val="single" w:sz="8" w:color="CCEEFF"/>
            </w:tcBorders>
            <w:shd w:val="clear" w:color="auto" w:fill="CCEEFF"/>
          </w:tcPr>
          <w:p>
            <w:pPr>
              <w:spacing w:after="0"/>
              <w:rPr>
                <w:sz w:val="13"/>
                <w:szCs w:val="13"/>
                <w:color w:val="auto"/>
              </w:rPr>
            </w:pPr>
          </w:p>
        </w:tc>
        <w:tc>
          <w:tcPr>
            <w:tcW w:w="9420" w:type="dxa"/>
            <w:vAlign w:val="bottom"/>
            <w:tcBorders>
              <w:bottom w:val="single" w:sz="8" w:color="0000FF"/>
            </w:tcBorders>
            <w:gridSpan w:val="20"/>
            <w:shd w:val="clear" w:color="auto" w:fill="CCEEFF"/>
          </w:tcPr>
          <w:p>
            <w:pPr>
              <w:spacing w:after="0" w:line="159" w:lineRule="exact"/>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Omnibus Amendment, dated June 27, 2023, by and among Summit Permian Transmission, LLC, MUFG Bank, Ltd., Mizuho Bank (USA), Mizuho Bank, Ltd. and the</w:t>
              </w:r>
            </w:hyperlink>
          </w:p>
        </w:tc>
        <w:tc>
          <w:tcPr>
            <w:tcW w:w="14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10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980" w:type="dxa"/>
            <w:vAlign w:val="bottom"/>
            <w:tcBorders>
              <w:bottom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328">
              <w:r>
                <w:rPr>
                  <w:rFonts w:ascii="Times New Roman" w:cs="Times New Roman" w:eastAsia="Times New Roman" w:hAnsi="Times New Roman"/>
                  <w:sz w:val="14"/>
                  <w:szCs w:val="14"/>
                  <w:color w:val="0000FF"/>
                </w:rPr>
                <w:t>lenders party thereto (Incorporated herein by Incorporated herein by reference to Exhibit 10.3 to SMLP’s Quarterly Report on Form 10-Q filed August 9, 2023</w:t>
              </w:r>
            </w:hyperlink>
          </w:p>
        </w:tc>
        <w:tc>
          <w:tcPr>
            <w:tcW w:w="580" w:type="dxa"/>
            <w:vAlign w:val="bottom"/>
            <w:tcBorders>
              <w:bottom w:val="single" w:sz="8" w:color="CCEEFF"/>
            </w:tcBorders>
            <w:gridSpan w:val="14"/>
            <w:shd w:val="clear" w:color="auto" w:fill="CCEEFF"/>
          </w:tcPr>
          <w:p>
            <w:pPr>
              <w:spacing w:after="0"/>
              <w:rPr>
                <w:sz w:val="13"/>
                <w:szCs w:val="13"/>
                <w:color w:val="auto"/>
              </w:rPr>
            </w:pPr>
          </w:p>
        </w:tc>
      </w:tr>
      <w:tr>
        <w:trPr>
          <w:trHeight w:val="183"/>
        </w:trPr>
        <w:tc>
          <w:tcPr>
            <w:tcW w:w="10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0000FF"/>
            </w:tcBorders>
            <w:shd w:val="clear" w:color="auto" w:fill="CCEEFF"/>
          </w:tcPr>
          <w:p>
            <w:pPr>
              <w:spacing w:after="0" w:line="150" w:lineRule="exact"/>
              <w:rPr>
                <w:rFonts w:ascii="Times New Roman" w:cs="Times New Roman" w:eastAsia="Times New Roman" w:hAnsi="Times New Roman"/>
                <w:sz w:val="14"/>
                <w:szCs w:val="14"/>
                <w:color w:val="0000FF"/>
                <w:w w:val="99"/>
              </w:rPr>
            </w:pPr>
            <w:hyperlink r:id="rId328">
              <w:r>
                <w:rPr>
                  <w:rFonts w:ascii="Times New Roman" w:cs="Times New Roman" w:eastAsia="Times New Roman" w:hAnsi="Times New Roman"/>
                  <w:sz w:val="14"/>
                  <w:szCs w:val="14"/>
                  <w:color w:val="0000FF"/>
                  <w:w w:val="99"/>
                </w:rPr>
                <w:t>(Commission File No. 001-35666))</w:t>
              </w:r>
            </w:hyperlink>
          </w:p>
        </w:tc>
        <w:tc>
          <w:tcPr>
            <w:tcW w:w="756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06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color w:val="auto"/>
              </w:rPr>
              <w:t>10.70</w:t>
            </w:r>
          </w:p>
        </w:tc>
        <w:tc>
          <w:tcPr>
            <w:tcW w:w="660" w:type="dxa"/>
            <w:vAlign w:val="bottom"/>
          </w:tcPr>
          <w:p>
            <w:pPr>
              <w:spacing w:after="0"/>
              <w:rPr>
                <w:sz w:val="13"/>
                <w:szCs w:val="13"/>
                <w:color w:val="auto"/>
              </w:rPr>
            </w:pPr>
          </w:p>
        </w:tc>
        <w:tc>
          <w:tcPr>
            <w:tcW w:w="9560" w:type="dxa"/>
            <w:vAlign w:val="bottom"/>
            <w:gridSpan w:val="23"/>
          </w:tcPr>
          <w:p>
            <w:pPr>
              <w:spacing w:after="0" w:line="159"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Indenture, dated as of November 21, 2023, by and among Summit Midstream Holdings, LLC, Summit Midstream Finance Corp., the Guarantors party thereto and</w:t>
              </w:r>
            </w:hyperlink>
          </w:p>
        </w:tc>
      </w:tr>
      <w:tr>
        <w:trPr>
          <w:trHeight w:val="20"/>
        </w:trPr>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4940" w:type="dxa"/>
            <w:vAlign w:val="bottom"/>
            <w:gridSpan w:val="11"/>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60" w:type="dxa"/>
            <w:vAlign w:val="bottom"/>
            <w:gridSpan w:val="23"/>
          </w:tcPr>
          <w:p>
            <w:pPr>
              <w:spacing w:after="0" w:line="150"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Regions Bank, as trustee (including form of the 12.00% Senior Unsecured Notes due 2026) (Incorporated herein by reference to Exhibit 4.1 to SMLP’s Current Report</w:t>
              </w:r>
            </w:hyperlink>
          </w:p>
        </w:tc>
      </w:tr>
      <w:tr>
        <w:trPr>
          <w:trHeight w:val="150"/>
        </w:trPr>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329">
              <w:r>
                <w:rPr>
                  <w:rFonts w:ascii="Times New Roman" w:cs="Times New Roman" w:eastAsia="Times New Roman" w:hAnsi="Times New Roman"/>
                  <w:sz w:val="14"/>
                  <w:szCs w:val="14"/>
                  <w:color w:val="0000FF"/>
                </w:rPr>
                <w:t>on Form 8-K filed November 22, 2023 (Commission File No. 001-35666))</w:t>
              </w:r>
            </w:hyperlink>
          </w:p>
        </w:tc>
        <w:tc>
          <w:tcPr>
            <w:tcW w:w="120" w:type="dxa"/>
            <w:vAlign w:val="bottom"/>
            <w:gridSpan w:val="2"/>
          </w:tcPr>
          <w:p>
            <w:pPr>
              <w:spacing w:after="0"/>
              <w:rPr>
                <w:sz w:val="13"/>
                <w:szCs w:val="13"/>
                <w:color w:val="auto"/>
              </w:rPr>
            </w:pPr>
          </w:p>
        </w:tc>
      </w:tr>
      <w:tr>
        <w:trPr>
          <w:trHeight w:val="733"/>
        </w:trPr>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40" w:type="dxa"/>
            <w:vAlign w:val="bottom"/>
            <w:tcBorders>
              <w:top w:val="single" w:sz="8" w:color="0000FF"/>
            </w:tcBorders>
            <w:gridSpan w:val="2"/>
          </w:tcPr>
          <w:p>
            <w:pPr>
              <w:ind w:left="3820"/>
              <w:spacing w:after="0"/>
              <w:rPr>
                <w:sz w:val="20"/>
                <w:szCs w:val="20"/>
                <w:color w:val="auto"/>
              </w:rPr>
            </w:pPr>
            <w:r>
              <w:rPr>
                <w:rFonts w:ascii="Times New Roman" w:cs="Times New Roman" w:eastAsia="Times New Roman" w:hAnsi="Times New Roman"/>
                <w:sz w:val="14"/>
                <w:szCs w:val="14"/>
                <w:color w:val="auto"/>
              </w:rPr>
              <w:t>141</w:t>
            </w: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10.71</w:t>
            </w:r>
          </w:p>
        </w:tc>
        <w:tc>
          <w:tcPr>
            <w:tcW w:w="660" w:type="dxa"/>
            <w:vAlign w:val="bottom"/>
            <w:tcBorders>
              <w:bottom w:val="single" w:sz="8" w:color="CCEEFF"/>
            </w:tcBorders>
            <w:shd w:val="clear" w:color="auto" w:fill="CCEEFF"/>
          </w:tcPr>
          <w:p>
            <w:pPr>
              <w:spacing w:after="0"/>
              <w:rPr>
                <w:sz w:val="13"/>
                <w:szCs w:val="13"/>
                <w:color w:val="auto"/>
              </w:rPr>
            </w:pPr>
          </w:p>
        </w:tc>
        <w:tc>
          <w:tcPr>
            <w:tcW w:w="9520" w:type="dxa"/>
            <w:vAlign w:val="bottom"/>
            <w:tcBorders>
              <w:bottom w:val="single" w:sz="8" w:color="0000FF"/>
            </w:tcBorders>
            <w:gridSpan w:val="11"/>
            <w:shd w:val="clear" w:color="auto" w:fill="CCEEFF"/>
          </w:tcPr>
          <w:p>
            <w:pPr>
              <w:spacing w:after="0"/>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Third Amendment to Loan and Security Agreement, dated November 21, 2023, among Summit Midstream Partners, LP, Summit Midstream Holdings, LLC, the lenders</w:t>
              </w:r>
            </w:hyperlink>
          </w:p>
        </w:tc>
        <w:tc>
          <w:tcPr>
            <w:tcW w:w="40" w:type="dxa"/>
            <w:vAlign w:val="bottom"/>
            <w:tcBorders>
              <w:bottom w:val="single" w:sz="8" w:color="CCEEFF"/>
            </w:tcBorders>
            <w:shd w:val="clear" w:color="auto" w:fill="CCEEFF"/>
          </w:tcPr>
          <w:p>
            <w:pPr>
              <w:spacing w:after="0"/>
              <w:rPr>
                <w:sz w:val="13"/>
                <w:szCs w:val="13"/>
                <w:color w:val="auto"/>
              </w:rPr>
            </w:pPr>
          </w:p>
        </w:tc>
      </w:tr>
      <w:tr>
        <w:trPr>
          <w:trHeight w:val="150"/>
        </w:trPr>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560" w:type="dxa"/>
            <w:vAlign w:val="bottom"/>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party thereto and Bank of America, N.A., as agent for such lenders (Incorporated herein by reference to Exhibit 10.1 to SMLP’s Current Report on Form 8-K filed</w:t>
              </w:r>
            </w:hyperlink>
          </w:p>
        </w:tc>
      </w:tr>
      <w:tr>
        <w:trPr>
          <w:trHeight w:val="183"/>
        </w:trPr>
        <w:tc>
          <w:tcPr>
            <w:tcW w:w="10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9180" w:type="dxa"/>
            <w:vAlign w:val="bottom"/>
            <w:tcBorders>
              <w:top w:val="single" w:sz="8" w:color="0000FF"/>
            </w:tcBorders>
            <w:gridSpan w:val="9"/>
            <w:shd w:val="clear" w:color="auto" w:fill="CCEEFF"/>
          </w:tcPr>
          <w:p>
            <w:pPr>
              <w:spacing w:after="0" w:line="150" w:lineRule="exact"/>
              <w:rPr>
                <w:rFonts w:ascii="Times New Roman" w:cs="Times New Roman" w:eastAsia="Times New Roman" w:hAnsi="Times New Roman"/>
                <w:sz w:val="14"/>
                <w:szCs w:val="14"/>
                <w:color w:val="0000FF"/>
              </w:rPr>
            </w:pPr>
            <w:hyperlink r:id="rId332">
              <w:r>
                <w:rPr>
                  <w:rFonts w:ascii="Times New Roman" w:cs="Times New Roman" w:eastAsia="Times New Roman" w:hAnsi="Times New Roman"/>
                  <w:sz w:val="14"/>
                  <w:szCs w:val="14"/>
                  <w:color w:val="0000FF"/>
                </w:rPr>
                <w:t>November 22, 2023 (Commission File No. 001-35666))</w:t>
              </w:r>
            </w:hyperlink>
          </w:p>
        </w:tc>
        <w:tc>
          <w:tcPr>
            <w:tcW w:w="380" w:type="dxa"/>
            <w:vAlign w:val="bottom"/>
            <w:tcBorders>
              <w:top w:val="single" w:sz="8" w:color="CCEEFF"/>
            </w:tcBorders>
            <w:gridSpan w:val="3"/>
            <w:shd w:val="clear" w:color="auto" w:fill="CCEEFF"/>
          </w:tcPr>
          <w:p>
            <w:pPr>
              <w:spacing w:after="0"/>
              <w:rPr>
                <w:sz w:val="15"/>
                <w:szCs w:val="15"/>
                <w:color w:val="auto"/>
              </w:rPr>
            </w:pPr>
          </w:p>
        </w:tc>
      </w:tr>
      <w:tr>
        <w:trPr>
          <w:trHeight w:val="159"/>
        </w:trPr>
        <w:tc>
          <w:tcPr>
            <w:tcW w:w="1060" w:type="dxa"/>
            <w:vAlign w:val="bottom"/>
            <w:tcBorders>
              <w:top w:val="single" w:sz="8" w:color="CCEEFF"/>
            </w:tcBorders>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21.1</w:t>
            </w:r>
          </w:p>
        </w:tc>
        <w:tc>
          <w:tcPr>
            <w:tcW w:w="66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160" w:type="dxa"/>
            <w:vAlign w:val="bottom"/>
            <w:tcBorders>
              <w:top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4"/>
                <w:szCs w:val="14"/>
                <w:color w:val="0000FF"/>
              </w:rPr>
              <w:t>List of Subsidiaries</w:t>
            </w:r>
          </w:p>
        </w:tc>
        <w:tc>
          <w:tcPr>
            <w:tcW w:w="6400" w:type="dxa"/>
            <w:vAlign w:val="bottom"/>
            <w:tcBorders>
              <w:top w:val="single" w:sz="8" w:color="CCEEFF"/>
            </w:tcBorders>
            <w:gridSpan w:val="9"/>
          </w:tcPr>
          <w:p>
            <w:pPr>
              <w:spacing w:after="0"/>
              <w:rPr>
                <w:sz w:val="13"/>
                <w:szCs w:val="13"/>
                <w:color w:val="auto"/>
              </w:rPr>
            </w:pPr>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1060" w:type="dxa"/>
            <w:vAlign w:val="bottom"/>
            <w:shd w:val="clear" w:color="auto" w:fill="CCEEFF"/>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22.1</w:t>
            </w:r>
          </w:p>
        </w:tc>
        <w:tc>
          <w:tcPr>
            <w:tcW w:w="6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60" w:type="dxa"/>
            <w:vAlign w:val="bottom"/>
            <w:gridSpan w:val="1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Summit Midstream Partners, LP Subsidiary Issuers and Guarantors of Registered Securities</w:t>
            </w:r>
          </w:p>
        </w:tc>
      </w:tr>
      <w:tr>
        <w:trPr>
          <w:trHeight w:val="159"/>
        </w:trPr>
        <w:tc>
          <w:tcPr>
            <w:tcW w:w="1060" w:type="dxa"/>
            <w:vAlign w:val="bottom"/>
            <w:tcBorders>
              <w:top w:val="single" w:sz="8" w:color="CCEEFF"/>
            </w:tcBorders>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23.1</w:t>
            </w:r>
          </w:p>
        </w:tc>
        <w:tc>
          <w:tcPr>
            <w:tcW w:w="66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180" w:type="dxa"/>
            <w:vAlign w:val="bottom"/>
            <w:tcBorders>
              <w:top w:val="single" w:sz="8" w:color="0000FF"/>
            </w:tcBorders>
            <w:gridSpan w:val="4"/>
          </w:tcPr>
          <w:p>
            <w:pPr>
              <w:spacing w:after="0" w:line="159" w:lineRule="exact"/>
              <w:rPr>
                <w:sz w:val="20"/>
                <w:szCs w:val="20"/>
                <w:color w:val="auto"/>
              </w:rPr>
            </w:pPr>
            <w:r>
              <w:rPr>
                <w:rFonts w:ascii="Times New Roman" w:cs="Times New Roman" w:eastAsia="Times New Roman" w:hAnsi="Times New Roman"/>
                <w:sz w:val="14"/>
                <w:szCs w:val="14"/>
                <w:color w:val="0000FF"/>
              </w:rPr>
              <w:t>Consent of Deloitte &amp; Touche LLP</w:t>
            </w:r>
          </w:p>
        </w:tc>
        <w:tc>
          <w:tcPr>
            <w:tcW w:w="4380" w:type="dxa"/>
            <w:vAlign w:val="bottom"/>
            <w:tcBorders>
              <w:top w:val="single" w:sz="8" w:color="CCEEFF"/>
            </w:tcBorders>
            <w:gridSpan w:val="8"/>
          </w:tcPr>
          <w:p>
            <w:pPr>
              <w:spacing w:after="0"/>
              <w:rPr>
                <w:sz w:val="13"/>
                <w:szCs w:val="13"/>
                <w:color w:val="auto"/>
              </w:rPr>
            </w:pPr>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1060" w:type="dxa"/>
            <w:vAlign w:val="bottom"/>
            <w:tcBorders>
              <w:bottom w:val="single" w:sz="8" w:color="CCEEFF"/>
            </w:tcBorders>
            <w:shd w:val="clear" w:color="auto" w:fill="CCEEFF"/>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66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560" w:type="dxa"/>
            <w:vAlign w:val="bottom"/>
            <w:tcBorders>
              <w:bottom w:val="single" w:sz="8" w:color="0000FF"/>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Rule 13a-14(a)/15d-14(a) Certification, executed by Heath Deneke, President, Chief Executive Officer and Director</w:t>
            </w:r>
          </w:p>
        </w:tc>
        <w:tc>
          <w:tcPr>
            <w:tcW w:w="3000" w:type="dxa"/>
            <w:vAlign w:val="bottom"/>
            <w:tcBorders>
              <w:bottom w:val="single" w:sz="8" w:color="CCEEFF"/>
            </w:tcBorders>
            <w:gridSpan w:val="7"/>
            <w:shd w:val="clear" w:color="auto" w:fill="CCEEFF"/>
          </w:tcPr>
          <w:p>
            <w:pPr>
              <w:spacing w:after="0"/>
              <w:rPr>
                <w:sz w:val="16"/>
                <w:szCs w:val="16"/>
                <w:color w:val="auto"/>
              </w:rPr>
            </w:pPr>
          </w:p>
        </w:tc>
      </w:tr>
      <w:tr>
        <w:trPr>
          <w:trHeight w:val="159"/>
        </w:trPr>
        <w:tc>
          <w:tcPr>
            <w:tcW w:w="106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95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Rule 13a-14(a)/15d-14(a) Certification, executed by William J. Mault, Executive Vice President and Chief Financial Officer</w:t>
            </w:r>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9"/>
        </w:trPr>
        <w:tc>
          <w:tcPr>
            <w:tcW w:w="1060" w:type="dxa"/>
            <w:vAlign w:val="bottom"/>
            <w:tcBorders>
              <w:bottom w:val="single" w:sz="8" w:color="CCEEFF"/>
            </w:tcBorders>
            <w:shd w:val="clear" w:color="auto" w:fill="CCEEFF"/>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32.1</w:t>
            </w:r>
          </w:p>
        </w:tc>
        <w:tc>
          <w:tcPr>
            <w:tcW w:w="66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9480" w:type="dxa"/>
            <w:vAlign w:val="bottom"/>
            <w:tcBorders>
              <w:bottom w:val="single" w:sz="8" w:color="0000FF"/>
            </w:tcBorders>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Certifications required by Rule 13a-14(b) or Rule 15d-14(b) and Section 1350 of Chapter 63 of Title 18 of the United States Code (18 U.S.C. 1350), executed by Heath</w:t>
            </w:r>
          </w:p>
        </w:tc>
        <w:tc>
          <w:tcPr>
            <w:tcW w:w="80" w:type="dxa"/>
            <w:vAlign w:val="bottom"/>
            <w:tcBorders>
              <w:bottom w:val="single" w:sz="8" w:color="CCEEFF"/>
            </w:tcBorders>
            <w:gridSpan w:val="2"/>
            <w:shd w:val="clear" w:color="auto" w:fill="CCEEFF"/>
          </w:tcPr>
          <w:p>
            <w:pPr>
              <w:spacing w:after="0"/>
              <w:rPr>
                <w:sz w:val="13"/>
                <w:szCs w:val="13"/>
                <w:color w:val="auto"/>
              </w:rPr>
            </w:pPr>
          </w:p>
        </w:tc>
      </w:tr>
      <w:tr>
        <w:trPr>
          <w:trHeight w:val="183"/>
        </w:trPr>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560" w:type="dxa"/>
            <w:vAlign w:val="bottom"/>
            <w:gridSpan w:val="12"/>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FF"/>
              </w:rPr>
              <w:t>Deneke, President, Chief Executive Officer and Director, and William J. Mault, Executive Vice President and Chief Financial Officer</w:t>
            </w:r>
          </w:p>
        </w:tc>
      </w:tr>
      <w:tr>
        <w:trPr>
          <w:trHeight w:val="159"/>
        </w:trPr>
        <w:tc>
          <w:tcPr>
            <w:tcW w:w="1060" w:type="dxa"/>
            <w:vAlign w:val="bottom"/>
            <w:tcBorders>
              <w:top w:val="single" w:sz="8" w:color="CCEEFF"/>
            </w:tcBorders>
          </w:tcPr>
          <w:p>
            <w:pPr>
              <w:jc w:val="center"/>
              <w:ind w:left="9"/>
              <w:spacing w:after="0" w:line="159" w:lineRule="exact"/>
              <w:rPr>
                <w:sz w:val="20"/>
                <w:szCs w:val="20"/>
                <w:color w:val="auto"/>
              </w:rPr>
            </w:pPr>
            <w:r>
              <w:rPr>
                <w:rFonts w:ascii="Times New Roman" w:cs="Times New Roman" w:eastAsia="Times New Roman" w:hAnsi="Times New Roman"/>
                <w:sz w:val="14"/>
                <w:szCs w:val="14"/>
                <w:color w:val="auto"/>
              </w:rPr>
              <w:t>97.1</w:t>
            </w:r>
          </w:p>
        </w:tc>
        <w:tc>
          <w:tcPr>
            <w:tcW w:w="66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7540" w:type="dxa"/>
            <w:vAlign w:val="bottom"/>
            <w:tcBorders>
              <w:top w:val="single" w:sz="8" w:color="0000FF"/>
            </w:tcBorders>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Summit Midstream Partners, LP Policy for the Recovery of Erroneously Awarded Compensation, effective as of October 2, 2023.</w:t>
            </w:r>
          </w:p>
        </w:tc>
        <w:tc>
          <w:tcPr>
            <w:tcW w:w="2020" w:type="dxa"/>
            <w:vAlign w:val="bottom"/>
            <w:tcBorders>
              <w:top w:val="single" w:sz="8" w:color="CCEEFF"/>
            </w:tcBorders>
            <w:gridSpan w:val="4"/>
          </w:tcPr>
          <w:p>
            <w:pPr>
              <w:spacing w:after="0"/>
              <w:rPr>
                <w:sz w:val="13"/>
                <w:szCs w:val="13"/>
                <w:color w:val="auto"/>
              </w:rPr>
            </w:pPr>
          </w:p>
        </w:tc>
      </w:tr>
      <w:tr>
        <w:trPr>
          <w:trHeight w:val="33"/>
        </w:trPr>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101.INS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91"/>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22"/>
        </w:trPr>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06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101.CAL</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r>
      <w:tr>
        <w:trPr>
          <w:trHeight w:val="191"/>
        </w:trPr>
        <w:tc>
          <w:tcPr>
            <w:tcW w:w="10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8"/>
              </w:rPr>
              <w:t>101.DEF</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r>
      <w:tr>
        <w:trPr>
          <w:trHeight w:val="22"/>
        </w:trPr>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106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101.LAB</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r>
      <w:tr>
        <w:trPr>
          <w:trHeight w:val="191"/>
        </w:trPr>
        <w:tc>
          <w:tcPr>
            <w:tcW w:w="10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101.PRE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5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34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8" w:lineRule="exact"/>
        <w:rPr>
          <w:sz w:val="20"/>
          <w:szCs w:val="20"/>
          <w:color w:val="auto"/>
        </w:rPr>
      </w:pPr>
    </w:p>
    <w:p>
      <w:pPr>
        <w:ind w:left="1720" w:hanging="1259"/>
        <w:spacing w:after="0"/>
        <w:tabs>
          <w:tab w:leader="none" w:pos="17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Management contract or compensatory plan or arrangement required to be filed as an exhibit pursuant to Item 15(b) of this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Certain portions have been omitted pursuant to a confidential treatment request. Omitted information has been filed separately with the SEC.</w:t>
      </w:r>
    </w:p>
    <w:p>
      <w:pPr>
        <w:spacing w:after="0" w:line="94" w:lineRule="exact"/>
        <w:rPr>
          <w:sz w:val="20"/>
          <w:szCs w:val="20"/>
          <w:color w:val="auto"/>
        </w:rPr>
      </w:pPr>
    </w:p>
    <w:p>
      <w:pPr>
        <w:jc w:val="both"/>
        <w:ind w:right="40" w:firstLine="5"/>
        <w:spacing w:after="0" w:line="270" w:lineRule="auto"/>
        <w:tabs>
          <w:tab w:leader="none" w:pos="177"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3"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94" w:lineRule="exact"/>
        <w:rPr>
          <w:sz w:val="20"/>
          <w:szCs w:val="20"/>
          <w:color w:val="auto"/>
        </w:rPr>
      </w:pPr>
    </w:p>
    <w:p>
      <w:pPr>
        <w:ind w:right="9340" w:firstLine="5"/>
        <w:spacing w:after="0" w:line="378" w:lineRule="auto"/>
        <w:tabs>
          <w:tab w:leader="none" w:pos="19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Not applicable.</w:t>
      </w: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2" w:name="page143"/>
    <w:bookmarkEnd w:id="142"/>
    <w:p>
      <w:pPr>
        <w:ind w:left="5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9092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5">
                      <a:extLst>
                        <a:ext uri="{28A0092B-C50C-407E-A947-70E740481C1C}"/>
                      </a:extLst>
                    </a:blip>
                    <a:srcRect/>
                    <a:stretch>
                      <a:fillRect/>
                    </a:stretch>
                  </pic:blipFill>
                  <pic:spPr bwMode="auto">
                    <a:xfrm>
                      <a:off x="0" y="0"/>
                      <a:ext cx="3590925" cy="6985"/>
                    </a:xfrm>
                    <a:prstGeom prst="rect">
                      <a:avLst/>
                    </a:prstGeom>
                    <a:noFill/>
                  </pic:spPr>
                </pic:pic>
              </a:graphicData>
            </a:graphic>
          </wp:anchor>
        </w:drawing>
      </w:r>
    </w:p>
    <w:p>
      <w:pPr>
        <w:spacing w:after="0" w:line="1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(Registrant)</w:t>
      </w:r>
    </w:p>
    <w:p>
      <w:pPr>
        <w:spacing w:after="0" w:line="1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By: Summit Midstream GP, LLC (its General Partner)</w:t>
      </w:r>
    </w:p>
    <w:p>
      <w:pPr>
        <w:spacing w:after="0" w:line="102" w:lineRule="exact"/>
        <w:rPr>
          <w:sz w:val="20"/>
          <w:szCs w:val="20"/>
          <w:color w:val="auto"/>
        </w:rPr>
      </w:pPr>
    </w:p>
    <w:p>
      <w:pPr>
        <w:ind w:left="2360"/>
        <w:spacing w:after="0"/>
        <w:tabs>
          <w:tab w:leader="none" w:pos="5660" w:val="left"/>
        </w:tabs>
        <w:rPr>
          <w:sz w:val="20"/>
          <w:szCs w:val="20"/>
          <w:color w:val="auto"/>
        </w:rPr>
      </w:pPr>
      <w:r>
        <w:rPr>
          <w:rFonts w:ascii="Times New Roman" w:cs="Times New Roman" w:eastAsia="Times New Roman" w:hAnsi="Times New Roman"/>
          <w:sz w:val="14"/>
          <w:szCs w:val="14"/>
          <w:color w:val="auto"/>
        </w:rPr>
        <w:t>March 15, 2024</w:t>
      </w:r>
      <w:r>
        <w:rPr>
          <w:sz w:val="20"/>
          <w:szCs w:val="20"/>
          <w:color w:val="auto"/>
        </w:rPr>
        <w:tab/>
      </w:r>
      <w:r>
        <w:rPr>
          <w:rFonts w:ascii="Times New Roman" w:cs="Times New Roman" w:eastAsia="Times New Roman" w:hAnsi="Times New Roman"/>
          <w:sz w:val="13"/>
          <w:szCs w:val="13"/>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15875</wp:posOffset>
            </wp:positionV>
            <wp:extent cx="359092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6">
                      <a:extLst>
                        <a:ext uri="{28A0092B-C50C-407E-A947-70E740481C1C}"/>
                      </a:extLst>
                    </a:blip>
                    <a:srcRect/>
                    <a:stretch>
                      <a:fillRect/>
                    </a:stretch>
                  </pic:blipFill>
                  <pic:spPr bwMode="auto">
                    <a:xfrm>
                      <a:off x="0" y="0"/>
                      <a:ext cx="3590925" cy="6985"/>
                    </a:xfrm>
                    <a:prstGeom prst="rect">
                      <a:avLst/>
                    </a:prstGeom>
                    <a:noFill/>
                  </pic:spPr>
                </pic:pic>
              </a:graphicData>
            </a:graphic>
          </wp:anchor>
        </w:drawing>
      </w:r>
    </w:p>
    <w:p>
      <w:pPr>
        <w:spacing w:after="0" w:line="3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William J. Mault, Executive Vice President and Chief Financial Officer (Principal Financial</w:t>
      </w:r>
    </w:p>
    <w:p>
      <w:pPr>
        <w:ind w:left="5680"/>
        <w:spacing w:after="0"/>
        <w:rPr>
          <w:sz w:val="20"/>
          <w:szCs w:val="20"/>
          <w:color w:val="auto"/>
        </w:rPr>
      </w:pPr>
      <w:r>
        <w:rPr>
          <w:rFonts w:ascii="Times New Roman" w:cs="Times New Roman" w:eastAsia="Times New Roman" w:hAnsi="Times New Roman"/>
          <w:sz w:val="14"/>
          <w:szCs w:val="14"/>
          <w:color w:val="auto"/>
        </w:rPr>
        <w:t>Officer)</w:t>
      </w:r>
    </w:p>
    <w:p>
      <w:pPr>
        <w:spacing w:after="0" w:line="15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2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Signature</w:t>
            </w:r>
          </w:p>
        </w:tc>
        <w:tc>
          <w:tcPr>
            <w:tcW w:w="49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Title</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42"/>
        </w:trPr>
        <w:tc>
          <w:tcPr>
            <w:tcW w:w="3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/s/ J. HEATH DENEKE</w:t>
            </w:r>
          </w:p>
        </w:tc>
        <w:tc>
          <w:tcPr>
            <w:tcW w:w="498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Director, President and Chief Executive Officer (Principal Executive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6"/>
                <w:szCs w:val="16"/>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Officer)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 Heath Deneke</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/s/ WILLIAM J. MAULT</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6"/>
                <w:szCs w:val="16"/>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Financial Officer)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William J. Mault</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/s/ MATTHEW B. SICINSKI</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Senior Vice President and Chief Accounting Officer (Principal</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vMerge w:val="continue"/>
          </w:tcPr>
          <w:p>
            <w:pPr>
              <w:spacing w:after="0"/>
              <w:rPr>
                <w:sz w:val="16"/>
                <w:szCs w:val="16"/>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Accounting Officer)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Matthew B. Sicinski</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JAMES J. CLEARY</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James J. Cleary</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LEE JACOBE</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Lee Jacobe</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ROBERT J. MCNALLY</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Robert J. McNally</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ROMMEL M. OATES</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Rommel M. Oates</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JERRY L. PETERS</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Jerry L. Peters</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/s/ MARGUERITE WOUNG-CHAPMAN</w:t>
            </w:r>
          </w:p>
        </w:tc>
        <w:tc>
          <w:tcPr>
            <w:tcW w:w="4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March 15, 2024</w:t>
            </w:r>
          </w:p>
        </w:tc>
        <w:tc>
          <w:tcPr>
            <w:tcW w:w="0" w:type="dxa"/>
            <w:vAlign w:val="bottom"/>
          </w:tcPr>
          <w:p>
            <w:pPr>
              <w:spacing w:after="0"/>
              <w:rPr>
                <w:sz w:val="1"/>
                <w:szCs w:val="1"/>
                <w:color w:val="auto"/>
              </w:rPr>
            </w:pPr>
          </w:p>
        </w:tc>
      </w:tr>
      <w:tr>
        <w:trPr>
          <w:trHeight w:val="175"/>
        </w:trPr>
        <w:tc>
          <w:tcPr>
            <w:tcW w:w="3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Marguerite Woung-Chapman</w:t>
            </w:r>
          </w:p>
        </w:tc>
        <w:tc>
          <w:tcPr>
            <w:tcW w:w="4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8"/>
        </w:trPr>
        <w:tc>
          <w:tcPr>
            <w:tcW w:w="3820" w:type="dxa"/>
            <w:vAlign w:val="bottom"/>
          </w:tcPr>
          <w:p>
            <w:pPr>
              <w:spacing w:after="0"/>
              <w:rPr>
                <w:sz w:val="24"/>
                <w:szCs w:val="24"/>
                <w:color w:val="auto"/>
              </w:rPr>
            </w:pPr>
          </w:p>
        </w:tc>
        <w:tc>
          <w:tcPr>
            <w:tcW w:w="49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143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00" w:top="210" w:right="659" w:bottom="1440"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Calibri" w:cs="Calibri" w:eastAsia="Calibri" w:hAnsi="Calibri"/>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6"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 xml:space="preserve">We consent to the incorporation by reference in Registration Statement Nos., 333-249831 on Form S-1, No. 333-234781 on Form S-3 and Nos. 333-184214, 333-189684, 333-237323 and 333-265857 </w:t>
      </w:r>
      <w:r>
        <w:rPr>
          <w:rFonts w:ascii="Times New Roman" w:cs="Times New Roman" w:eastAsia="Times New Roman" w:hAnsi="Times New Roman"/>
          <w:sz w:val="14"/>
          <w:szCs w:val="14"/>
          <w:color w:val="010101"/>
        </w:rPr>
        <w:t>on</w:t>
      </w:r>
      <w:r>
        <w:rPr>
          <w:rFonts w:ascii="Times New Roman" w:cs="Times New Roman" w:eastAsia="Times New Roman" w:hAnsi="Times New Roman"/>
          <w:sz w:val="14"/>
          <w:szCs w:val="14"/>
          <w:color w:val="auto"/>
        </w:rPr>
        <w:t xml:space="preserve"> Form S-8 of our reports dated March 15, 2024, relating to the consolidated financial statements of Summit Midstream Partners, LP (the “Partnership”), and the effectiveness of the Partnership's internal control over financial reporting, appearing in this Annual Report on Form 10-K of Summit Midstream Partners, LP for the year ended December 31,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15, 2024</w:t>
      </w:r>
    </w:p>
    <w:p>
      <w:pPr>
        <w:sectPr>
          <w:pgSz w:w="11900" w:h="16838" w:orient="portrait"/>
          <w:cols w:equalWidth="0" w:num="1">
            <w:col w:w="11280"/>
          </w:cols>
          <w:pgMar w:left="300" w:top="88"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Heath Deneke, certify that:</w:t>
      </w:r>
    </w:p>
    <w:p>
      <w:pPr>
        <w:spacing w:after="0" w:line="94" w:lineRule="exact"/>
        <w:rPr>
          <w:sz w:val="20"/>
          <w:szCs w:val="20"/>
          <w:color w:val="auto"/>
        </w:rPr>
      </w:pPr>
    </w:p>
    <w:p>
      <w:pPr>
        <w:ind w:left="520" w:hanging="133"/>
        <w:spacing w:after="0"/>
        <w:tabs>
          <w:tab w:leader="none" w:pos="5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Summit Midstream Partners, LP;</w:t>
      </w:r>
    </w:p>
    <w:p>
      <w:pPr>
        <w:spacing w:after="0" w:line="93" w:lineRule="exact"/>
        <w:rPr>
          <w:rFonts w:ascii="Times New Roman" w:cs="Times New Roman" w:eastAsia="Times New Roman" w:hAnsi="Times New Roman"/>
          <w:sz w:val="14"/>
          <w:szCs w:val="14"/>
          <w:color w:val="auto"/>
        </w:rPr>
      </w:pPr>
    </w:p>
    <w:p>
      <w:pPr>
        <w:ind w:left="520" w:right="720" w:hanging="133"/>
        <w:spacing w:after="0" w:line="287" w:lineRule="auto"/>
        <w:tabs>
          <w:tab w:leader="none" w:pos="5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133"/>
        <w:spacing w:after="0" w:line="287" w:lineRule="auto"/>
        <w:tabs>
          <w:tab w:leader="none" w:pos="5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133"/>
        <w:spacing w:after="0" w:line="287" w:lineRule="auto"/>
        <w:tabs>
          <w:tab w:leader="none" w:pos="52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40" w:firstLine="9"/>
        <w:spacing w:after="0" w:line="287" w:lineRule="auto"/>
        <w:tabs>
          <w:tab w:leader="none" w:pos="1012"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00" w:firstLine="9"/>
        <w:spacing w:after="0" w:line="287" w:lineRule="auto"/>
        <w:tabs>
          <w:tab w:leader="none" w:pos="101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180" w:firstLine="9"/>
        <w:spacing w:after="0" w:line="287" w:lineRule="auto"/>
        <w:tabs>
          <w:tab w:leader="none" w:pos="1012"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200" w:firstLine="9"/>
        <w:spacing w:after="0" w:line="287" w:lineRule="auto"/>
        <w:tabs>
          <w:tab w:leader="none" w:pos="101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520" w:firstLine="9"/>
        <w:spacing w:after="0" w:line="287" w:lineRule="auto"/>
        <w:tabs>
          <w:tab w:leader="none" w:pos="1012" w:val="left"/>
        </w:tabs>
        <w:numPr>
          <w:ilvl w:val="2"/>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2"/>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March 15, 2024</w:t>
            </w:r>
          </w:p>
        </w:tc>
        <w:tc>
          <w:tcPr>
            <w:tcW w:w="4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Heath Deneke</w:t>
            </w:r>
          </w:p>
        </w:tc>
      </w:tr>
      <w:tr>
        <w:trPr>
          <w:trHeight w:val="167"/>
        </w:trPr>
        <w:tc>
          <w:tcPr>
            <w:tcW w:w="1500" w:type="dxa"/>
            <w:vAlign w:val="bottom"/>
          </w:tcPr>
          <w:p>
            <w:pPr>
              <w:spacing w:after="0"/>
              <w:rPr>
                <w:sz w:val="14"/>
                <w:szCs w:val="14"/>
                <w:color w:val="auto"/>
              </w:rPr>
            </w:pPr>
          </w:p>
        </w:tc>
        <w:tc>
          <w:tcPr>
            <w:tcW w:w="5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Heath Deneke</w:t>
            </w:r>
          </w:p>
        </w:tc>
      </w:tr>
      <w:tr>
        <w:trPr>
          <w:trHeight w:val="142"/>
        </w:trPr>
        <w:tc>
          <w:tcPr>
            <w:tcW w:w="15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 of Summit Midstream GP,</w:t>
            </w:r>
          </w:p>
        </w:tc>
      </w:tr>
      <w:tr>
        <w:trPr>
          <w:trHeight w:val="184"/>
        </w:trPr>
        <w:tc>
          <w:tcPr>
            <w:tcW w:w="15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LLC (the general partner of Summit Midstream Partners, LP)</w:t>
            </w:r>
          </w:p>
        </w:tc>
      </w:tr>
    </w:tbl>
    <w:p>
      <w:pPr>
        <w:sectPr>
          <w:pgSz w:w="11900" w:h="16838" w:orient="portrait"/>
          <w:cols w:equalWidth="0" w:num="1">
            <w:col w:w="11280"/>
          </w:cols>
          <w:pgMar w:left="300" w:top="812"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Mault, certify that:</w:t>
      </w:r>
    </w:p>
    <w:p>
      <w:pPr>
        <w:spacing w:after="0" w:line="94" w:lineRule="exact"/>
        <w:rPr>
          <w:sz w:val="20"/>
          <w:szCs w:val="20"/>
          <w:color w:val="auto"/>
        </w:rPr>
      </w:pPr>
    </w:p>
    <w:p>
      <w:pPr>
        <w:ind w:left="520" w:hanging="133"/>
        <w:spacing w:after="0"/>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Summit Midstream Partners, LP;</w:t>
      </w:r>
    </w:p>
    <w:p>
      <w:pPr>
        <w:spacing w:after="0" w:line="93" w:lineRule="exact"/>
        <w:rPr>
          <w:rFonts w:ascii="Times New Roman" w:cs="Times New Roman" w:eastAsia="Times New Roman" w:hAnsi="Times New Roman"/>
          <w:sz w:val="14"/>
          <w:szCs w:val="14"/>
          <w:color w:val="auto"/>
        </w:rPr>
      </w:pPr>
    </w:p>
    <w:p>
      <w:pPr>
        <w:ind w:left="520" w:right="720" w:hanging="133"/>
        <w:spacing w:after="0" w:line="287" w:lineRule="auto"/>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133"/>
        <w:spacing w:after="0" w:line="287" w:lineRule="auto"/>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133"/>
        <w:spacing w:after="0" w:line="287" w:lineRule="auto"/>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760" w:right="40" w:firstLine="9"/>
        <w:spacing w:after="0" w:line="287" w:lineRule="auto"/>
        <w:tabs>
          <w:tab w:leader="none" w:pos="1012"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00" w:firstLine="9"/>
        <w:spacing w:after="0" w:line="287" w:lineRule="auto"/>
        <w:tabs>
          <w:tab w:leader="none" w:pos="101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180" w:firstLine="9"/>
        <w:spacing w:after="0" w:line="287" w:lineRule="auto"/>
        <w:tabs>
          <w:tab w:leader="none" w:pos="1012"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200" w:firstLine="9"/>
        <w:spacing w:after="0" w:line="287" w:lineRule="auto"/>
        <w:tabs>
          <w:tab w:leader="none" w:pos="101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133"/>
        <w:spacing w:after="0" w:line="287" w:lineRule="auto"/>
        <w:tabs>
          <w:tab w:leader="none" w:pos="5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520" w:firstLine="9"/>
        <w:spacing w:after="0" w:line="287" w:lineRule="auto"/>
        <w:tabs>
          <w:tab w:leader="none" w:pos="1012"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March 15, 2024</w:t>
            </w:r>
          </w:p>
        </w:tc>
        <w:tc>
          <w:tcPr>
            <w:tcW w:w="4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William J. Mault</w:t>
            </w:r>
          </w:p>
        </w:tc>
      </w:tr>
      <w:tr>
        <w:trPr>
          <w:trHeight w:val="167"/>
        </w:trPr>
        <w:tc>
          <w:tcPr>
            <w:tcW w:w="1500" w:type="dxa"/>
            <w:vAlign w:val="bottom"/>
          </w:tcPr>
          <w:p>
            <w:pPr>
              <w:spacing w:after="0"/>
              <w:rPr>
                <w:sz w:val="14"/>
                <w:szCs w:val="14"/>
                <w:color w:val="auto"/>
              </w:rPr>
            </w:pPr>
          </w:p>
        </w:tc>
        <w:tc>
          <w:tcPr>
            <w:tcW w:w="5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William J. Mault</w:t>
            </w:r>
          </w:p>
        </w:tc>
      </w:tr>
      <w:tr>
        <w:trPr>
          <w:trHeight w:val="142"/>
        </w:trPr>
        <w:tc>
          <w:tcPr>
            <w:tcW w:w="15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Executive Vice President and Chief Financial Officer of Summit Midstream</w:t>
            </w:r>
          </w:p>
        </w:tc>
      </w:tr>
      <w:tr>
        <w:trPr>
          <w:trHeight w:val="184"/>
        </w:trPr>
        <w:tc>
          <w:tcPr>
            <w:tcW w:w="15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GP, LLC (the general partner of Summit Midstream Partners, LP)</w:t>
            </w:r>
          </w:p>
        </w:tc>
      </w:tr>
    </w:tbl>
    <w:p>
      <w:pPr>
        <w:sectPr>
          <w:pgSz w:w="11900" w:h="16838" w:orient="portrait"/>
          <w:cols w:equalWidth="0" w:num="1">
            <w:col w:w="11280"/>
          </w:cols>
          <w:pgMar w:left="300" w:top="812"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7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connection with the annual report on Form 10-K of Summit Midstream Partners, LP (the “Registrant”) for the annual period ended December 31, 2023,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56" w:lineRule="exact"/>
        <w:rPr>
          <w:sz w:val="20"/>
          <w:szCs w:val="20"/>
          <w:color w:val="auto"/>
        </w:rPr>
      </w:pPr>
    </w:p>
    <w:p>
      <w:pPr>
        <w:ind w:left="500" w:hanging="495"/>
        <w:spacing w:after="0"/>
        <w:tabs>
          <w:tab w:leader="none" w:pos="5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93"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/s/ Heath Deneke</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10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Heath Deneke</w:t>
            </w:r>
          </w:p>
        </w:tc>
      </w:tr>
      <w:tr>
        <w:trPr>
          <w:trHeight w:val="18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President, Chief Executive Officer and Director of Summit Midstream GP, LLC (the general partner of Summit Midstream Partners, LP)</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March 15, 2024</w:t>
            </w:r>
          </w:p>
        </w:tc>
      </w:tr>
      <w:tr>
        <w:trPr>
          <w:trHeight w:val="679"/>
        </w:trPr>
        <w:tc>
          <w:tcPr>
            <w:tcW w:w="1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/s/ William J. Mault</w:t>
            </w:r>
          </w:p>
        </w:tc>
      </w:tr>
      <w:tr>
        <w:trPr>
          <w:trHeight w:val="167"/>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William J. Mault</w:t>
            </w:r>
          </w:p>
        </w:tc>
      </w:tr>
      <w:tr>
        <w:trPr>
          <w:trHeight w:val="18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Executive Vice President and Chief Financial Officer of Summit Midstream GP, LLC (the general partner of Summit Midstream Partners, LP)</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March 15, 2024</w:t>
            </w:r>
          </w:p>
        </w:tc>
      </w:tr>
      <w:tr>
        <w:trPr>
          <w:trHeight w:val="881"/>
        </w:trPr>
        <w:tc>
          <w:tcPr>
            <w:tcW w:w="700" w:type="dxa"/>
            <w:vAlign w:val="bottom"/>
          </w:tcPr>
          <w:p>
            <w:pPr>
              <w:spacing w:after="0"/>
              <w:rPr>
                <w:sz w:val="24"/>
                <w:szCs w:val="24"/>
                <w:color w:val="auto"/>
              </w:rPr>
            </w:pPr>
          </w:p>
        </w:tc>
        <w:tc>
          <w:tcPr>
            <w:tcW w:w="1056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EX 32.1-1</w:t>
            </w:r>
          </w:p>
        </w:tc>
      </w:tr>
    </w:tbl>
    <w:p>
      <w:pPr>
        <w:sectPr>
          <w:pgSz w:w="11900" w:h="16838" w:orient="portrait"/>
          <w:cols w:equalWidth="0" w:num="1">
            <w:col w:w="11280"/>
          </w:cols>
          <w:pgMar w:left="300" w:top="812"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color w:val="auto"/>
        </w:rPr>
        <w:t>SUMMIT MIDSTREAM PARTNERS, LP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POLICY FOR THE RECOVERY OF ERRONEOUSLY AWARDED COMPENSATION</w:t>
      </w:r>
    </w:p>
    <w:p>
      <w:pPr>
        <w:spacing w:after="0" w:line="148" w:lineRule="exact"/>
        <w:rPr>
          <w:sz w:val="20"/>
          <w:szCs w:val="20"/>
          <w:color w:val="auto"/>
        </w:rPr>
      </w:pPr>
    </w:p>
    <w:p>
      <w:pPr>
        <w:jc w:val="both"/>
        <w:ind w:firstLine="260"/>
        <w:spacing w:after="0" w:line="223" w:lineRule="auto"/>
        <w:tabs>
          <w:tab w:leader="none" w:pos="50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The purpose of this Policy is to describe circumstances in which the Company will recover Erroneously Awarded Compensation and the process for such recovery. This Policy is intended to comply with (a) Section 954 of the Dodd-Frank Wall Street Reform and Consumer Protection Act of 2010, as codified in Section 10D of the Exchange Act, and implemented by Rule 10D-1 thereunder adopted by the Commission and (b) Section 303A.14 of the Listed Company Manual of the NYSE.</w:t>
      </w:r>
    </w:p>
    <w:p>
      <w:pPr>
        <w:spacing w:after="0" w:line="143" w:lineRule="exact"/>
        <w:rPr>
          <w:rFonts w:ascii="Times New Roman" w:cs="Times New Roman" w:eastAsia="Times New Roman" w:hAnsi="Times New Roman"/>
          <w:sz w:val="17"/>
          <w:szCs w:val="17"/>
          <w:color w:val="auto"/>
        </w:rPr>
      </w:pPr>
    </w:p>
    <w:p>
      <w:pPr>
        <w:ind w:firstLine="260"/>
        <w:spacing w:after="0" w:line="238" w:lineRule="auto"/>
        <w:tabs>
          <w:tab w:leader="none" w:pos="50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This Policy shall be administered by the Compensation Committee. Any determinations made by the Compensation Committee shall be final and binding on all affected individuals.</w:t>
      </w:r>
    </w:p>
    <w:p>
      <w:pPr>
        <w:spacing w:after="0" w:line="12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Policy, the following capitalized terms shall have the meanings set forth below.</w:t>
      </w:r>
    </w:p>
    <w:p>
      <w:pPr>
        <w:spacing w:after="0" w:line="140"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means the Audit Committee of the Board.</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Summit Midstream GP, LLC, a Delaware limited liability company and the general partner of the Company.</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Summit Midstream Partners, LP, a Delaware limited partnership.</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means the Compensation Committee of the Board.</w:t>
      </w:r>
    </w:p>
    <w:p>
      <w:pPr>
        <w:spacing w:after="0" w:line="144"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Compensation Eligible for Recovery</w:t>
      </w:r>
      <w:r>
        <w:rPr>
          <w:rFonts w:ascii="Times New Roman" w:cs="Times New Roman" w:eastAsia="Times New Roman" w:hAnsi="Times New Roman"/>
          <w:sz w:val="17"/>
          <w:szCs w:val="17"/>
          <w:color w:val="auto"/>
        </w:rPr>
        <w:t>” means Incentive-based Compensation received by an individual:</w:t>
      </w:r>
    </w:p>
    <w:p>
      <w:pPr>
        <w:spacing w:after="0" w:line="148" w:lineRule="exact"/>
        <w:rPr>
          <w:rFonts w:ascii="Times New Roman" w:cs="Times New Roman" w:eastAsia="Times New Roman" w:hAnsi="Times New Roman"/>
          <w:sz w:val="17"/>
          <w:szCs w:val="17"/>
          <w:color w:val="auto"/>
        </w:rPr>
      </w:pPr>
    </w:p>
    <w:p>
      <w:pPr>
        <w:ind w:left="1520" w:hanging="115"/>
        <w:spacing w:after="0"/>
        <w:tabs>
          <w:tab w:leader="none" w:pos="1520" w:val="left"/>
        </w:tabs>
        <w:numPr>
          <w:ilvl w:val="3"/>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beginning service as an Executive Officer,</w:t>
      </w:r>
    </w:p>
    <w:p>
      <w:pPr>
        <w:spacing w:after="0" w:line="144" w:lineRule="exact"/>
        <w:rPr>
          <w:rFonts w:ascii="Times New Roman" w:cs="Times New Roman" w:eastAsia="Times New Roman" w:hAnsi="Times New Roman"/>
          <w:sz w:val="17"/>
          <w:szCs w:val="17"/>
          <w:color w:val="auto"/>
        </w:rPr>
      </w:pPr>
    </w:p>
    <w:p>
      <w:pPr>
        <w:jc w:val="both"/>
        <w:ind w:left="1460" w:hanging="118"/>
        <w:spacing w:after="0" w:line="228" w:lineRule="auto"/>
        <w:tabs>
          <w:tab w:leader="none" w:pos="1523"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an Executive Officer at any time during the performance period for the applicable Incentive-based Compensation (regardless of whether such individual is serving as an Executive Officer at the time the Erroneously Awarded Compensation is required to be repaid to the Company),</w:t>
      </w:r>
    </w:p>
    <w:p>
      <w:pPr>
        <w:spacing w:after="0" w:line="121" w:lineRule="exact"/>
        <w:rPr>
          <w:rFonts w:ascii="Times New Roman" w:cs="Times New Roman" w:eastAsia="Times New Roman" w:hAnsi="Times New Roman"/>
          <w:sz w:val="17"/>
          <w:szCs w:val="17"/>
          <w:color w:val="auto"/>
        </w:rPr>
      </w:pPr>
    </w:p>
    <w:p>
      <w:pPr>
        <w:ind w:left="1560" w:hanging="218"/>
        <w:spacing w:after="0"/>
        <w:tabs>
          <w:tab w:leader="none" w:pos="1560"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 had a class of securities listed on a national securities exchange or a national securities association,</w:t>
      </w:r>
    </w:p>
    <w:p>
      <w:pPr>
        <w:spacing w:after="0" w:line="144" w:lineRule="exact"/>
        <w:rPr>
          <w:rFonts w:ascii="Times New Roman" w:cs="Times New Roman" w:eastAsia="Times New Roman" w:hAnsi="Times New Roman"/>
          <w:sz w:val="17"/>
          <w:szCs w:val="17"/>
          <w:color w:val="auto"/>
        </w:rPr>
      </w:pPr>
    </w:p>
    <w:p>
      <w:pPr>
        <w:ind w:left="1560" w:hanging="218"/>
        <w:spacing w:after="0"/>
        <w:tabs>
          <w:tab w:leader="none" w:pos="1560"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applicable Recovery Period, and</w:t>
      </w:r>
    </w:p>
    <w:p>
      <w:pPr>
        <w:spacing w:after="0" w:line="144" w:lineRule="exact"/>
        <w:rPr>
          <w:rFonts w:ascii="Times New Roman" w:cs="Times New Roman" w:eastAsia="Times New Roman" w:hAnsi="Times New Roman"/>
          <w:sz w:val="17"/>
          <w:szCs w:val="17"/>
          <w:color w:val="auto"/>
        </w:rPr>
      </w:pPr>
    </w:p>
    <w:p>
      <w:pPr>
        <w:ind w:left="1560" w:hanging="155"/>
        <w:spacing w:after="0"/>
        <w:tabs>
          <w:tab w:leader="none" w:pos="1560" w:val="left"/>
        </w:tabs>
        <w:numPr>
          <w:ilvl w:val="3"/>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Effective Date.</w:t>
      </w:r>
    </w:p>
    <w:p>
      <w:pPr>
        <w:spacing w:after="0" w:line="140" w:lineRule="exact"/>
        <w:rPr>
          <w:rFonts w:ascii="Times New Roman" w:cs="Times New Roman" w:eastAsia="Times New Roman" w:hAnsi="Times New Roman"/>
          <w:sz w:val="17"/>
          <w:szCs w:val="17"/>
          <w:color w:val="auto"/>
        </w:rPr>
      </w:pPr>
    </w:p>
    <w:p>
      <w:pPr>
        <w:ind w:left="1020" w:hanging="251"/>
        <w:spacing w:after="0"/>
        <w:tabs>
          <w:tab w:leader="none" w:pos="102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means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122" w:right="319" w:bottom="1440" w:gutter="0" w:footer="0" w:header="0"/>
        </w:sectPr>
      </w:pPr>
    </w:p>
    <w:bookmarkStart w:id="152" w:name="page153"/>
    <w:bookmarkEnd w:id="152"/>
    <w:p>
      <w:pPr>
        <w:ind w:left="-249" w:firstLine="249"/>
        <w:spacing w:after="0" w:line="242" w:lineRule="auto"/>
        <w:tabs>
          <w:tab w:leader="none" w:pos="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Compensation Eligible for Recovery less the amount of such compensation as it would have been determined based on the restated amounts, computed without regard to any taxes paid.</w:t>
      </w:r>
    </w:p>
    <w:p>
      <w:pPr>
        <w:spacing w:after="0" w:line="115" w:lineRule="exact"/>
        <w:rPr>
          <w:rFonts w:ascii="Times New Roman" w:cs="Times New Roman" w:eastAsia="Times New Roman" w:hAnsi="Times New Roman"/>
          <w:sz w:val="17"/>
          <w:szCs w:val="17"/>
          <w:color w:val="auto"/>
        </w:rPr>
      </w:pPr>
    </w:p>
    <w:p>
      <w:pPr>
        <w:ind w:left="251" w:hanging="251"/>
        <w:spacing w:after="0"/>
        <w:tabs>
          <w:tab w:leader="none" w:pos="2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4" w:lineRule="exact"/>
        <w:rPr>
          <w:rFonts w:ascii="Times New Roman" w:cs="Times New Roman" w:eastAsia="Times New Roman" w:hAnsi="Times New Roman"/>
          <w:sz w:val="17"/>
          <w:szCs w:val="17"/>
          <w:color w:val="auto"/>
        </w:rPr>
      </w:pPr>
    </w:p>
    <w:p>
      <w:pPr>
        <w:jc w:val="both"/>
        <w:ind w:left="-249" w:firstLine="249"/>
        <w:spacing w:after="0" w:line="221" w:lineRule="auto"/>
        <w:tabs>
          <w:tab w:leader="none" w:pos="25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Executive Officer</w:t>
      </w:r>
      <w:r>
        <w:rPr>
          <w:rFonts w:ascii="Times New Roman" w:cs="Times New Roman" w:eastAsia="Times New Roman" w:hAnsi="Times New Roman"/>
          <w:sz w:val="17"/>
          <w:szCs w:val="17"/>
          <w:color w:val="auto"/>
        </w:rPr>
        <w:t>” means the Company’s principal executive officer, principal financial officer, principal accounting officer (or if there is no such accounting officer, the controller), any vice president of the Company in charge of a principal business unit, division, or function (such as sales, administration or finance) and any other officer who performs a significant policy-making function, and any other person who performs similar policy-making functions for the Company. For purposes of this policy, Executive Officers would include, at a minimum, executive officers identified pursuant to 17 C.F.R. 229.401(b).</w:t>
      </w:r>
    </w:p>
    <w:p>
      <w:pPr>
        <w:spacing w:after="0" w:line="118" w:lineRule="exact"/>
        <w:rPr>
          <w:rFonts w:ascii="Times New Roman" w:cs="Times New Roman" w:eastAsia="Times New Roman" w:hAnsi="Times New Roman"/>
          <w:sz w:val="17"/>
          <w:szCs w:val="17"/>
          <w:color w:val="auto"/>
        </w:rPr>
      </w:pPr>
    </w:p>
    <w:p>
      <w:pPr>
        <w:jc w:val="both"/>
        <w:ind w:left="-249" w:firstLine="249"/>
        <w:spacing w:after="0" w:line="224" w:lineRule="auto"/>
        <w:tabs>
          <w:tab w:leader="none" w:pos="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considered Financial Reporting Measures. For the avoidance of doubt, a Financial Reporting Measure need not be presented within the financial statements or included in a filing with the Commission.</w:t>
      </w:r>
    </w:p>
    <w:p>
      <w:pPr>
        <w:spacing w:after="0" w:line="118" w:lineRule="exact"/>
        <w:rPr>
          <w:rFonts w:ascii="Times New Roman" w:cs="Times New Roman" w:eastAsia="Times New Roman" w:hAnsi="Times New Roman"/>
          <w:sz w:val="17"/>
          <w:szCs w:val="17"/>
          <w:color w:val="auto"/>
        </w:rPr>
      </w:pPr>
    </w:p>
    <w:p>
      <w:pPr>
        <w:ind w:left="-249" w:firstLine="249"/>
        <w:spacing w:after="0" w:line="242" w:lineRule="auto"/>
        <w:tabs>
          <w:tab w:leader="none" w:pos="25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15" w:lineRule="exact"/>
        <w:rPr>
          <w:rFonts w:ascii="Times New Roman" w:cs="Times New Roman" w:eastAsia="Times New Roman" w:hAnsi="Times New Roman"/>
          <w:sz w:val="17"/>
          <w:szCs w:val="17"/>
          <w:color w:val="auto"/>
        </w:rPr>
      </w:pPr>
    </w:p>
    <w:p>
      <w:pPr>
        <w:ind w:left="251" w:hanging="251"/>
        <w:spacing w:after="0"/>
        <w:tabs>
          <w:tab w:leader="none" w:pos="2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NYSE</w:t>
      </w:r>
      <w:r>
        <w:rPr>
          <w:rFonts w:ascii="Times New Roman" w:cs="Times New Roman" w:eastAsia="Times New Roman" w:hAnsi="Times New Roman"/>
          <w:sz w:val="17"/>
          <w:szCs w:val="17"/>
          <w:color w:val="auto"/>
        </w:rPr>
        <w:t>” means the New York Stock Exchange LLC.</w:t>
      </w:r>
    </w:p>
    <w:p>
      <w:pPr>
        <w:spacing w:after="0" w:line="144" w:lineRule="exact"/>
        <w:rPr>
          <w:rFonts w:ascii="Times New Roman" w:cs="Times New Roman" w:eastAsia="Times New Roman" w:hAnsi="Times New Roman"/>
          <w:sz w:val="17"/>
          <w:szCs w:val="17"/>
          <w:color w:val="auto"/>
        </w:rPr>
      </w:pPr>
    </w:p>
    <w:p>
      <w:pPr>
        <w:ind w:left="-249" w:firstLine="249"/>
        <w:spacing w:after="0" w:line="242" w:lineRule="auto"/>
        <w:tabs>
          <w:tab w:leader="none" w:pos="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means this Policy for the Recovery of Erroneously Awarded Compensation, as the same may be amended or amended and restated from time to time.</w:t>
      </w:r>
    </w:p>
    <w:p>
      <w:pPr>
        <w:spacing w:after="0" w:line="115" w:lineRule="exact"/>
        <w:rPr>
          <w:rFonts w:ascii="Times New Roman" w:cs="Times New Roman" w:eastAsia="Times New Roman" w:hAnsi="Times New Roman"/>
          <w:sz w:val="17"/>
          <w:szCs w:val="17"/>
          <w:color w:val="auto"/>
        </w:rPr>
      </w:pPr>
    </w:p>
    <w:p>
      <w:pPr>
        <w:ind w:left="-249" w:firstLine="249"/>
        <w:spacing w:after="0" w:line="242" w:lineRule="auto"/>
        <w:tabs>
          <w:tab w:leader="none" w:pos="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means the three completed fiscal years immediately preceding the Restatement Date and any transition period (that results from a change in the Company’s fiscal year) of less than nine months within or immediately following those three completed fiscal years.</w:t>
      </w:r>
    </w:p>
    <w:p>
      <w:pPr>
        <w:spacing w:after="0" w:line="115" w:lineRule="exact"/>
        <w:rPr>
          <w:rFonts w:ascii="Times New Roman" w:cs="Times New Roman" w:eastAsia="Times New Roman" w:hAnsi="Times New Roman"/>
          <w:sz w:val="17"/>
          <w:szCs w:val="17"/>
          <w:color w:val="auto"/>
        </w:rPr>
      </w:pPr>
    </w:p>
    <w:p>
      <w:pPr>
        <w:ind w:left="251" w:hanging="251"/>
        <w:spacing w:after="0"/>
        <w:tabs>
          <w:tab w:leader="none" w:pos="2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w:t>
      </w:r>
    </w:p>
    <w:p>
      <w:pPr>
        <w:spacing w:after="0" w:line="148" w:lineRule="exact"/>
        <w:rPr>
          <w:rFonts w:ascii="Times New Roman" w:cs="Times New Roman" w:eastAsia="Times New Roman" w:hAnsi="Times New Roman"/>
          <w:sz w:val="17"/>
          <w:szCs w:val="17"/>
          <w:color w:val="auto"/>
        </w:rPr>
      </w:pPr>
    </w:p>
    <w:p>
      <w:pPr>
        <w:jc w:val="both"/>
        <w:ind w:left="771" w:hanging="135"/>
        <w:spacing w:after="0" w:line="228" w:lineRule="auto"/>
        <w:tabs>
          <w:tab w:leader="none" w:pos="765"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material noncompliance of the Company with any financial reporting requirement under the securities laws, including any required accounting restatement to correct an error in previously issued financial statements that is material to the previously issued financial statements, or</w:t>
      </w:r>
    </w:p>
    <w:p>
      <w:pPr>
        <w:spacing w:after="0" w:line="121" w:lineRule="exact"/>
        <w:rPr>
          <w:rFonts w:ascii="Times New Roman" w:cs="Times New Roman" w:eastAsia="Times New Roman" w:hAnsi="Times New Roman"/>
          <w:sz w:val="17"/>
          <w:szCs w:val="17"/>
          <w:color w:val="auto"/>
        </w:rPr>
      </w:pPr>
    </w:p>
    <w:p>
      <w:pPr>
        <w:ind w:left="771" w:hanging="262"/>
        <w:spacing w:after="0"/>
        <w:tabs>
          <w:tab w:leader="none" w:pos="771"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would result in a material misstatement if the error were corrected in the current period or left uncorrected in the current period.</w:t>
      </w:r>
    </w:p>
    <w:p>
      <w:pPr>
        <w:spacing w:after="0" w:line="140" w:lineRule="exact"/>
        <w:rPr>
          <w:rFonts w:ascii="Times New Roman" w:cs="Times New Roman" w:eastAsia="Times New Roman" w:hAnsi="Times New Roman"/>
          <w:sz w:val="17"/>
          <w:szCs w:val="17"/>
          <w:color w:val="auto"/>
        </w:rPr>
      </w:pPr>
    </w:p>
    <w:p>
      <w:pPr>
        <w:ind w:left="251" w:hanging="251"/>
        <w:spacing w:after="0"/>
        <w:tabs>
          <w:tab w:leader="none" w:pos="25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 Date</w:t>
      </w:r>
      <w:r>
        <w:rPr>
          <w:rFonts w:ascii="Times New Roman" w:cs="Times New Roman" w:eastAsia="Times New Roman" w:hAnsi="Times New Roman"/>
          <w:sz w:val="17"/>
          <w:szCs w:val="17"/>
          <w:color w:val="auto"/>
        </w:rPr>
        <w:t>” means the earlier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51"/>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11"/>
          </w:cols>
          <w:pgMar w:left="1069" w:top="1123" w:right="319" w:bottom="1440" w:gutter="0" w:footer="0" w:header="0"/>
        </w:sectPr>
      </w:pPr>
    </w:p>
    <w:bookmarkStart w:id="153" w:name="page154"/>
    <w:bookmarkEnd w:id="153"/>
    <w:p>
      <w:pPr>
        <w:ind w:left="1140"/>
        <w:spacing w:after="0"/>
        <w:rPr>
          <w:sz w:val="20"/>
          <w:szCs w:val="20"/>
          <w:color w:val="auto"/>
        </w:rPr>
      </w:pPr>
      <w:r>
        <w:rPr>
          <w:rFonts w:ascii="Times New Roman" w:cs="Times New Roman" w:eastAsia="Times New Roman" w:hAnsi="Times New Roman"/>
          <w:sz w:val="17"/>
          <w:szCs w:val="17"/>
          <w:color w:val="auto"/>
        </w:rPr>
        <w:t>i. the date the Audit Committee concludes, or reasonably should have concluded, that the Company is required to prepare a Restatement, or</w:t>
      </w:r>
    </w:p>
    <w:p>
      <w:pPr>
        <w:spacing w:after="0" w:line="144" w:lineRule="exact"/>
        <w:rPr>
          <w:sz w:val="20"/>
          <w:szCs w:val="20"/>
          <w:color w:val="auto"/>
        </w:rPr>
      </w:pPr>
    </w:p>
    <w:p>
      <w:pPr>
        <w:ind w:left="1280" w:hanging="198"/>
        <w:spacing w:after="0"/>
        <w:tabs>
          <w:tab w:leader="none" w:pos="1280"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 court, regulator, or other legally authorized body directs the Company to prepare a Restatement.</w:t>
      </w:r>
    </w:p>
    <w:p>
      <w:pPr>
        <w:spacing w:after="0" w:line="144" w:lineRule="exact"/>
        <w:rPr>
          <w:rFonts w:ascii="Times New Roman" w:cs="Times New Roman" w:eastAsia="Times New Roman" w:hAnsi="Times New Roman"/>
          <w:sz w:val="17"/>
          <w:szCs w:val="17"/>
          <w:color w:val="auto"/>
        </w:rPr>
      </w:pPr>
    </w:p>
    <w:p>
      <w:pPr>
        <w:ind w:left="260" w:hanging="260"/>
        <w:spacing w:after="0"/>
        <w:tabs>
          <w:tab w:leader="none" w:pos="2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Recovery of Erroneously Awarded Compensation</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260" w:firstLine="249"/>
        <w:spacing w:after="0" w:line="238" w:lineRule="auto"/>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Financial Officer or Chief Accounting Officer of the Company shall promptly report to the Audit Committee any instance in which the Company is required to prepare a Restatement.</w:t>
      </w:r>
    </w:p>
    <w:p>
      <w:pPr>
        <w:spacing w:after="0" w:line="142" w:lineRule="exact"/>
        <w:rPr>
          <w:rFonts w:ascii="Times New Roman" w:cs="Times New Roman" w:eastAsia="Times New Roman" w:hAnsi="Times New Roman"/>
          <w:sz w:val="17"/>
          <w:szCs w:val="17"/>
          <w:color w:val="auto"/>
        </w:rPr>
      </w:pPr>
    </w:p>
    <w:p>
      <w:pPr>
        <w:ind w:left="260" w:firstLine="249"/>
        <w:spacing w:after="0" w:line="238" w:lineRule="auto"/>
        <w:tabs>
          <w:tab w:leader="none" w:pos="77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learning of a required Restatement, the Audit Committee shall determine the Restatement Date and shall promptly report to the Compensation Committee such determination.</w:t>
      </w:r>
    </w:p>
    <w:p>
      <w:pPr>
        <w:spacing w:after="0" w:line="142" w:lineRule="exact"/>
        <w:rPr>
          <w:rFonts w:ascii="Times New Roman" w:cs="Times New Roman" w:eastAsia="Times New Roman" w:hAnsi="Times New Roman"/>
          <w:sz w:val="17"/>
          <w:szCs w:val="17"/>
          <w:color w:val="auto"/>
        </w:rPr>
      </w:pPr>
    </w:p>
    <w:p>
      <w:pPr>
        <w:jc w:val="both"/>
        <w:ind w:left="260" w:firstLine="249"/>
        <w:spacing w:after="0" w:line="228" w:lineRule="auto"/>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Financial Officer or Chief Accounting Officer (or another appropriate officer or third party designated by the Compensation Committee) shall promptly (but in any event within 90 days following the Restatement) calculate the Erroneously Awarded Compensation for each affected individual, which calculation shall be subject to Compensation Committee approval. For purposes of calculating Erroneously Awarded Compensation:</w:t>
      </w:r>
    </w:p>
    <w:p>
      <w:pPr>
        <w:spacing w:after="0" w:line="143" w:lineRule="exact"/>
        <w:rPr>
          <w:rFonts w:ascii="Times New Roman" w:cs="Times New Roman" w:eastAsia="Times New Roman" w:hAnsi="Times New Roman"/>
          <w:sz w:val="17"/>
          <w:szCs w:val="17"/>
          <w:color w:val="auto"/>
        </w:rPr>
      </w:pPr>
    </w:p>
    <w:p>
      <w:pPr>
        <w:jc w:val="both"/>
        <w:ind w:left="1280" w:hanging="135"/>
        <w:spacing w:after="0" w:line="228" w:lineRule="auto"/>
        <w:tabs>
          <w:tab w:leader="none" w:pos="1275" w:val="left"/>
        </w:tabs>
        <w:numPr>
          <w:ilvl w:val="3"/>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43" w:lineRule="exact"/>
        <w:rPr>
          <w:rFonts w:ascii="Times New Roman" w:cs="Times New Roman" w:eastAsia="Times New Roman" w:hAnsi="Times New Roman"/>
          <w:sz w:val="17"/>
          <w:szCs w:val="17"/>
          <w:color w:val="auto"/>
        </w:rPr>
      </w:pPr>
    </w:p>
    <w:p>
      <w:pPr>
        <w:jc w:val="both"/>
        <w:ind w:left="1200" w:hanging="118"/>
        <w:spacing w:after="0" w:line="220" w:lineRule="auto"/>
        <w:tabs>
          <w:tab w:leader="none" w:pos="1263"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based on (or derived from) stock price or total shareholder return, where the amount of Erroneously Awarded Compensation is not subject to mathematical recalculation directly from the information in a Restatement, shall be based on a reasonable estimate of the effect of the Restatement on the stock price or total shareholder return upon which the Incentive-based Compensation was received. The Secretary of the Company or their designee shall maintain documentation of the determination of such reasonable estimate and provide such documentation to the NYSE.</w:t>
      </w:r>
    </w:p>
    <w:p>
      <w:pPr>
        <w:spacing w:after="0" w:line="143" w:lineRule="exact"/>
        <w:rPr>
          <w:rFonts w:ascii="Times New Roman" w:cs="Times New Roman" w:eastAsia="Times New Roman" w:hAnsi="Times New Roman"/>
          <w:sz w:val="17"/>
          <w:szCs w:val="17"/>
          <w:color w:val="auto"/>
        </w:rPr>
      </w:pPr>
    </w:p>
    <w:p>
      <w:pPr>
        <w:jc w:val="both"/>
        <w:ind w:left="260" w:firstLine="249"/>
        <w:spacing w:after="0" w:line="213" w:lineRule="auto"/>
        <w:tabs>
          <w:tab w:leader="none" w:pos="77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the Compensation Committee’s approval of the Erroneously Awarded Compensation calculated by the Chief Financial Officer or Chief Accounting Officer (or another appropriate officer or third party designated by the Compensation Committee), the Secretary of the Company or their designee shall notify in writing each individual who received Erroneously Awarded Compensation of the amount of Erroneously Awarded Compensation received by such individual and shall demand payment or return, as applicable, of such Erroneously Award Compensation.</w:t>
      </w:r>
    </w:p>
    <w:p>
      <w:pPr>
        <w:spacing w:after="0" w:line="3" w:lineRule="exact"/>
        <w:rPr>
          <w:rFonts w:ascii="Times New Roman" w:cs="Times New Roman" w:eastAsia="Times New Roman" w:hAnsi="Times New Roman"/>
          <w:sz w:val="17"/>
          <w:szCs w:val="17"/>
          <w:color w:val="auto"/>
        </w:rPr>
      </w:pPr>
    </w:p>
    <w:p>
      <w:pPr>
        <w:jc w:val="both"/>
        <w:ind w:left="260" w:firstLine="249"/>
        <w:spacing w:after="0" w:line="221" w:lineRule="auto"/>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Secretary of the Company or their designee shall demand recovery and recover Erroneously Awarded Compensation in compliance with this Policy except to the extent that the Compensation Committee determines that (I) recovery of the Erroneously Awarded Compensation would be duplicative of compensation recovered by the Company from the individual pursuant to Section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20"/>
          </w:cols>
          <w:pgMar w:left="560" w:top="1127" w:right="319" w:bottom="1440" w:gutter="0" w:footer="0" w:header="0"/>
        </w:sectPr>
      </w:pPr>
    </w:p>
    <w:bookmarkStart w:id="154" w:name="page155"/>
    <w:bookmarkEnd w:id="154"/>
    <w:p>
      <w:pPr>
        <w:ind w:left="520"/>
        <w:spacing w:after="0" w:line="238" w:lineRule="auto"/>
        <w:rPr>
          <w:sz w:val="20"/>
          <w:szCs w:val="20"/>
          <w:color w:val="auto"/>
        </w:rPr>
      </w:pPr>
      <w:r>
        <w:rPr>
          <w:rFonts w:ascii="Times New Roman" w:cs="Times New Roman" w:eastAsia="Times New Roman" w:hAnsi="Times New Roman"/>
          <w:sz w:val="17"/>
          <w:szCs w:val="17"/>
          <w:color w:val="auto"/>
        </w:rPr>
        <w:t>304 of the Sarbanes-Oxley Act or pursuant to other recovery obligations (in which case, the amount of Erroneously Awarded Compensation shall be appropriately reduced to avoid such duplication), or (II) recovery would be impracticable, and one of the following conditions applies:</w:t>
      </w:r>
    </w:p>
    <w:p>
      <w:pPr>
        <w:spacing w:after="0" w:line="143" w:lineRule="exact"/>
        <w:rPr>
          <w:sz w:val="20"/>
          <w:szCs w:val="20"/>
          <w:color w:val="auto"/>
        </w:rPr>
      </w:pPr>
    </w:p>
    <w:p>
      <w:pPr>
        <w:jc w:val="both"/>
        <w:ind w:left="1540" w:hanging="126"/>
        <w:spacing w:after="0" w:line="223" w:lineRule="auto"/>
        <w:rPr>
          <w:sz w:val="20"/>
          <w:szCs w:val="20"/>
          <w:color w:val="auto"/>
        </w:rPr>
      </w:pPr>
      <w:r>
        <w:rPr>
          <w:rFonts w:ascii="Times New Roman" w:cs="Times New Roman" w:eastAsia="Times New Roman" w:hAnsi="Times New Roman"/>
          <w:sz w:val="17"/>
          <w:szCs w:val="17"/>
          <w:color w:val="auto"/>
        </w:rPr>
        <w:t>i.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NYSE;</w:t>
      </w:r>
    </w:p>
    <w:p>
      <w:pPr>
        <w:spacing w:after="0" w:line="143" w:lineRule="exact"/>
        <w:rPr>
          <w:sz w:val="20"/>
          <w:szCs w:val="20"/>
          <w:color w:val="auto"/>
        </w:rPr>
      </w:pPr>
    </w:p>
    <w:p>
      <w:pPr>
        <w:jc w:val="both"/>
        <w:ind w:left="1400" w:hanging="122"/>
        <w:spacing w:after="0" w:line="223" w:lineRule="auto"/>
        <w:tabs>
          <w:tab w:leader="none" w:pos="1526"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 or</w:t>
      </w:r>
    </w:p>
    <w:p>
      <w:pPr>
        <w:spacing w:after="0" w:line="143" w:lineRule="exact"/>
        <w:rPr>
          <w:rFonts w:ascii="Times New Roman" w:cs="Times New Roman" w:eastAsia="Times New Roman" w:hAnsi="Times New Roman"/>
          <w:sz w:val="17"/>
          <w:szCs w:val="17"/>
          <w:color w:val="auto"/>
        </w:rPr>
      </w:pPr>
    </w:p>
    <w:p>
      <w:pPr>
        <w:ind w:left="1460" w:hanging="118"/>
        <w:spacing w:after="0" w:line="238" w:lineRule="auto"/>
        <w:tabs>
          <w:tab w:leader="none" w:pos="1589" w:val="left"/>
        </w:tabs>
        <w:numPr>
          <w:ilvl w:val="3"/>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42" w:lineRule="exact"/>
        <w:rPr>
          <w:rFonts w:ascii="Times New Roman" w:cs="Times New Roman" w:eastAsia="Times New Roman" w:hAnsi="Times New Roman"/>
          <w:sz w:val="17"/>
          <w:szCs w:val="17"/>
          <w:color w:val="auto"/>
        </w:rPr>
      </w:pPr>
    </w:p>
    <w:p>
      <w:pPr>
        <w:ind w:left="520" w:firstLine="249"/>
        <w:spacing w:after="0" w:line="238" w:lineRule="auto"/>
        <w:tabs>
          <w:tab w:leader="none" w:pos="1022"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4(e), in no event may the Company accept repayment from the affected individual of less than the full amount of the Erroneously Awarded Compensation received by such individual.</w:t>
      </w:r>
    </w:p>
    <w:p>
      <w:pPr>
        <w:spacing w:after="0" w:line="142" w:lineRule="exact"/>
        <w:rPr>
          <w:rFonts w:ascii="Times New Roman" w:cs="Times New Roman" w:eastAsia="Times New Roman" w:hAnsi="Times New Roman"/>
          <w:sz w:val="17"/>
          <w:szCs w:val="17"/>
          <w:color w:val="auto"/>
        </w:rPr>
      </w:pPr>
    </w:p>
    <w:p>
      <w:pPr>
        <w:jc w:val="both"/>
        <w:ind w:left="520" w:firstLine="249"/>
        <w:spacing w:after="0" w:line="228" w:lineRule="auto"/>
        <w:tabs>
          <w:tab w:leader="none" w:pos="102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shall determine, in its sole discretion, the method of recovering any Erroneously Awarded Compensation pursuant to this Policy, taking into account all facts and circumstances (including the time value of money and the cost to shareholders of delayed recovery), so long as such method complies with the terms of Section 303A.14 of the NYSE Listing Standards.</w:t>
      </w:r>
    </w:p>
    <w:p>
      <w:pPr>
        <w:spacing w:after="0" w:line="143" w:lineRule="exact"/>
        <w:rPr>
          <w:rFonts w:ascii="Times New Roman" w:cs="Times New Roman" w:eastAsia="Times New Roman" w:hAnsi="Times New Roman"/>
          <w:sz w:val="17"/>
          <w:szCs w:val="17"/>
          <w:color w:val="auto"/>
        </w:rPr>
      </w:pPr>
    </w:p>
    <w:p>
      <w:pPr>
        <w:jc w:val="both"/>
        <w:ind w:left="520" w:firstLine="249"/>
        <w:spacing w:after="0" w:line="228" w:lineRule="auto"/>
        <w:tabs>
          <w:tab w:leader="none" w:pos="102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affected individual fails to repay to the Company when due the full amount of the Erroneously Awarded Compensation received by such affected individual, the Company shall take all actions reasonable and appropriate to recover the full amount of the Erroneously Awarded Compensation from the affected individual.</w:t>
      </w:r>
    </w:p>
    <w:p>
      <w:pPr>
        <w:spacing w:after="0" w:line="143" w:lineRule="exact"/>
        <w:rPr>
          <w:rFonts w:ascii="Times New Roman" w:cs="Times New Roman" w:eastAsia="Times New Roman" w:hAnsi="Times New Roman"/>
          <w:sz w:val="17"/>
          <w:szCs w:val="17"/>
          <w:color w:val="auto"/>
        </w:rPr>
      </w:pPr>
    </w:p>
    <w:p>
      <w:pPr>
        <w:ind w:firstLine="260"/>
        <w:spacing w:after="0" w:line="238" w:lineRule="auto"/>
        <w:tabs>
          <w:tab w:leader="none" w:pos="50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Company shall file all disclosures with respect to this Policy in accordance with the requirements of the securities laws, including the disclosure required by the applicable Commission filings.</w:t>
      </w:r>
    </w:p>
    <w:p>
      <w:pPr>
        <w:spacing w:after="0" w:line="142" w:lineRule="exact"/>
        <w:rPr>
          <w:rFonts w:ascii="Times New Roman" w:cs="Times New Roman" w:eastAsia="Times New Roman" w:hAnsi="Times New Roman"/>
          <w:sz w:val="17"/>
          <w:szCs w:val="17"/>
          <w:color w:val="auto"/>
        </w:rPr>
      </w:pPr>
    </w:p>
    <w:p>
      <w:pPr>
        <w:jc w:val="both"/>
        <w:ind w:firstLine="260"/>
        <w:spacing w:after="0" w:line="228" w:lineRule="auto"/>
        <w:tabs>
          <w:tab w:leader="none" w:pos="50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Indemnification</w:t>
      </w:r>
      <w:r>
        <w:rPr>
          <w:rFonts w:ascii="Times New Roman" w:cs="Times New Roman" w:eastAsia="Times New Roman" w:hAnsi="Times New Roman"/>
          <w:sz w:val="17"/>
          <w:szCs w:val="17"/>
          <w:color w:val="auto"/>
        </w:rPr>
        <w:t>. The Company shall not indemnify any current or former Executive Officer against the loss of Erroneously Awarded Compensation, and shall not pay, or reimburse any current or former Executive Officers for premiums for any insurance policy to fund such Executive Officer’s potential recovery obligations.</w:t>
      </w:r>
    </w:p>
    <w:p>
      <w:pPr>
        <w:spacing w:after="0" w:line="143"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This Policy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7" w:right="319" w:bottom="1440" w:gutter="0" w:footer="0" w:header="0"/>
        </w:sectPr>
      </w:pPr>
    </w:p>
    <w:bookmarkStart w:id="155" w:name="page156"/>
    <w:bookmarkEnd w:id="155"/>
    <w:p>
      <w:pPr>
        <w:jc w:val="both"/>
        <w:ind w:firstLine="260"/>
        <w:spacing w:after="0" w:line="217" w:lineRule="auto"/>
        <w:tabs>
          <w:tab w:leader="none" w:pos="50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Interpretation</w:t>
      </w:r>
      <w:r>
        <w:rPr>
          <w:rFonts w:ascii="Times New Roman" w:cs="Times New Roman" w:eastAsia="Times New Roman" w:hAnsi="Times New Roman"/>
          <w:sz w:val="17"/>
          <w:szCs w:val="17"/>
          <w:color w:val="auto"/>
        </w:rPr>
        <w:t>. The Compensation Committee may amend this Policy from time to time in its discretion and shall amend this Policy as it deems necessary or advisable to reflect the regulations adopted by the Commission and to comply with any rules or standards adopted by the NYSE. The Compensation Committee may at any time in its sole discretion, supplement, amend or terminate any provision of this Policy in any respect as the Compensation Committee determines to be necessary or appropriate. The Compensation Committee shall interpret and construe this Policy and make all determinations necessary or advisable for the administration of this Policy. It is intended that this Policy be interpreted in a manner that is consistent with the requirements of Section 10D of the Exchange Act and Rule 10D-1 thereunder and Section 303A.14 of the NYSE Listed Company Manual and any other applicable rules adopted by the Commission.</w:t>
      </w:r>
    </w:p>
    <w:p>
      <w:pPr>
        <w:spacing w:after="0" w:line="142" w:lineRule="exact"/>
        <w:rPr>
          <w:rFonts w:ascii="Times New Roman" w:cs="Times New Roman" w:eastAsia="Times New Roman" w:hAnsi="Times New Roman"/>
          <w:sz w:val="17"/>
          <w:szCs w:val="17"/>
          <w:color w:val="auto"/>
        </w:rPr>
      </w:pPr>
    </w:p>
    <w:p>
      <w:pPr>
        <w:jc w:val="both"/>
        <w:ind w:firstLine="260"/>
        <w:spacing w:after="0" w:line="218" w:lineRule="auto"/>
        <w:tabs>
          <w:tab w:leader="none" w:pos="50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Recoupment Rights</w:t>
      </w:r>
      <w:r>
        <w:rPr>
          <w:rFonts w:ascii="Times New Roman" w:cs="Times New Roman" w:eastAsia="Times New Roman" w:hAnsi="Times New Roman"/>
          <w:sz w:val="17"/>
          <w:szCs w:val="17"/>
          <w:color w:val="auto"/>
        </w:rPr>
        <w:t>. The Compensation Committee intends that this Policy will be applied to the fullest extent of the law. The Compensation Committee may require that any employment agreement, equity award agreement or similar agreement entered into on or after the Effective Date shall, as a condition to the grant of any benefit thereunder, require the party thereto to agree to abide by the terms of this Policy or implement arrangements designed to facilitate the administration hereof. Any right of recovery under this Policy is in addition to, and not in lieu of, any other remedies or rights of recovery that may be available to the Company pursuant to the terms of any employment agreement, equity award agreement, or similar agreement and any other legal remedies available to the Company.</w:t>
      </w:r>
    </w:p>
    <w:p>
      <w:pPr>
        <w:spacing w:after="0" w:line="144" w:lineRule="exact"/>
        <w:rPr>
          <w:rFonts w:ascii="Times New Roman" w:cs="Times New Roman" w:eastAsia="Times New Roman" w:hAnsi="Times New Roman"/>
          <w:sz w:val="17"/>
          <w:szCs w:val="17"/>
          <w:color w:val="auto"/>
        </w:rPr>
      </w:pPr>
    </w:p>
    <w:p>
      <w:pPr>
        <w:ind w:firstLine="260"/>
        <w:spacing w:after="0" w:line="238" w:lineRule="auto"/>
        <w:tabs>
          <w:tab w:leader="none" w:pos="50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This Policy shall be binding and enforceable against all current and former Executive Officers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5</w:t>
      </w:r>
    </w:p>
    <w:sectPr>
      <w:pgSz w:w="11900" w:h="16838" w:orient="portrait"/>
      <w:cols w:equalWidth="0" w:num="1">
        <w:col w:w="11280"/>
      </w:cols>
      <w:pgMar w:left="300" w:top="13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1)"/>
      <w:numFmt w:val="lowerRoman"/>
      <w:start w:val="4"/>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lvl w:ilvl="1">
      <w:lvlJc w:val="left"/>
      <w:lvlText w:val="%2."/>
      <w:numFmt w:val="lowerRoman"/>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lvl w:ilvl="1">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lowerRoman"/>
      <w:start w:val="2"/>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lowerRoman"/>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decimal"/>
      <w:start w:val="260"/>
    </w:lvl>
  </w:abstractNum>
  <w:abstractNum w:abstractNumId="82">
    <w:nsid w:val="39EE015C"/>
    <w:multiLevelType w:val="hybridMultilevel"/>
    <w:lvl w:ilvl="0">
      <w:lvlJc w:val="left"/>
      <w:lvlText w:val="*"/>
      <w:numFmt w:val="bullet"/>
      <w:start w:val="1"/>
    </w:lvl>
    <w:lvl w:ilvl="1">
      <w:lvlJc w:val="left"/>
      <w:lvlText w:val="%2"/>
      <w:numFmt w:val="decimal"/>
      <w:start w:val="104"/>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lowerLetter"/>
      <w:start w:val="3"/>
    </w:lvl>
  </w:abstractNum>
  <w:abstractNum w:abstractNumId="87">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8">
    <w:nsid w:val="7F01579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9">
    <w:nsid w:val="49DA307D"/>
    <w:multiLevelType w:val="hybridMultilevel"/>
    <w:lvl w:ilvl="0">
      <w:lvlJc w:val="left"/>
      <w:lvlText w:val="%1."/>
      <w:numFmt w:val="decimal"/>
      <w:start w:val="1"/>
    </w:lvl>
    <w:lvl w:ilvl="1">
      <w:lvlJc w:val="left"/>
      <w:lvlText w:val="(%2)"/>
      <w:numFmt w:val="lowerLetter"/>
      <w:start w:val="1"/>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92">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93">
    <w:nsid w:val="488AC1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lowerRoman"/>
      <w:start w:val="1"/>
    </w:lvl>
  </w:abstractNum>
  <w:abstractNum w:abstractNumId="94">
    <w:nsid w:val="5FB8011C"/>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95">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abstractNum>
  <w:abstractNum w:abstractNumId="96">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4"/>
    </w:lvl>
    <w:lvl w:ilvl="3">
      <w:lvlJc w:val="left"/>
      <w:lvlText w:val="%4."/>
      <w:numFmt w:val="lowerLetter"/>
      <w:start w:val="9"/>
    </w:lvl>
  </w:abstractNum>
  <w:abstractNum w:abstractNumId="9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Letter"/>
      <w:start w:val="61"/>
    </w:lvl>
  </w:abstractNum>
  <w:abstractNum w:abstractNumId="98">
    <w:nsid w:val="6A5F702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1"/>
    </w:lvl>
  </w:abstractNum>
  <w:abstractNum w:abstractNumId="99">
    <w:nsid w:val="7D5E18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00">
    <w:nsid w:val="5F3534A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14" Type="http://schemas.openxmlformats.org/officeDocument/2006/relationships/image" Target="media/image239.png"/><Relationship Id="rId315" Type="http://schemas.openxmlformats.org/officeDocument/2006/relationships/image" Target="media/image240.png"/><Relationship Id="rId330" Type="http://schemas.openxmlformats.org/officeDocument/2006/relationships/image" Target="media/image241.png"/><Relationship Id="rId331" Type="http://schemas.openxmlformats.org/officeDocument/2006/relationships/image" Target="media/image242.png"/><Relationship Id="rId333" Type="http://schemas.openxmlformats.org/officeDocument/2006/relationships/image" Target="media/image243.png"/><Relationship Id="rId334" Type="http://schemas.openxmlformats.org/officeDocument/2006/relationships/image" Target="media/image244.png"/><Relationship Id="rId335" Type="http://schemas.openxmlformats.org/officeDocument/2006/relationships/image" Target="media/image245.png"/><Relationship Id="rId336" Type="http://schemas.openxmlformats.org/officeDocument/2006/relationships/image" Target="media/image246.png"/><Relationship Id="rId337" Type="http://schemas.openxmlformats.org/officeDocument/2006/relationships/image" Target="media/image247.png"/><Relationship Id="rId338" Type="http://schemas.openxmlformats.org/officeDocument/2006/relationships/image" Target="media/image248.png"/><Relationship Id="rId238" Type="http://schemas.openxmlformats.org/officeDocument/2006/relationships/hyperlink" Target="https://www.sec.gov/Archives/edgar/data/1549922/000119312520133180/d921511dex21.htm" TargetMode="External"/><Relationship Id="rId239" Type="http://schemas.openxmlformats.org/officeDocument/2006/relationships/hyperlink" Target="https://www.sec.gov/Archives/edgar/data/1549922/000154992222000020/projectlonemountainspurcha.htm" TargetMode="External"/><Relationship Id="rId240" Type="http://schemas.openxmlformats.org/officeDocument/2006/relationships/hyperlink" Target="https://www.sec.gov/Archives/edgar/data/1549922/000154992222000032/projectalamo_purchaseandsa.htm" TargetMode="External"/><Relationship Id="rId241" Type="http://schemas.openxmlformats.org/officeDocument/2006/relationships/hyperlink" Target="https://www.sec.gov/Archives/edgar/data/1549922/000154992223000006/membershipinterestpurcha.htm" TargetMode="External"/><Relationship Id="rId242" Type="http://schemas.openxmlformats.org/officeDocument/2006/relationships/hyperlink" Target="https://www.sec.gov/Archives/edgar/data/1549922/000154992223000006/summitpurchaseandsaleagr.htm" TargetMode="External"/><Relationship Id="rId243" Type="http://schemas.openxmlformats.org/officeDocument/2006/relationships/hyperlink" Target="https://www.sec.gov/Archives/edgar/data/1549922/000119312520158609/d933187dex31.htm" TargetMode="External"/><Relationship Id="rId244" Type="http://schemas.openxmlformats.org/officeDocument/2006/relationships/hyperlink" Target="https://www.sec.gov/Archives/edgar/data/1549922/000154992223000006/smlp-firstamendtofourthame.htm" TargetMode="External"/><Relationship Id="rId245" Type="http://schemas.openxmlformats.org/officeDocument/2006/relationships/hyperlink" Target="https://www.sec.gov/Archives/edgar/data/1549922/000119312520158609/d933187dex32.htm" TargetMode="External"/><Relationship Id="rId246" Type="http://schemas.openxmlformats.org/officeDocument/2006/relationships/hyperlink" Target="https://www.sec.gov/Archives/edgar/data/1549922/000104746912008450/a2209444zex-3_1.htm" TargetMode="External"/><Relationship Id="rId247" Type="http://schemas.openxmlformats.org/officeDocument/2006/relationships/hyperlink" Target="https://www.sec.gov/Archives/edgar/data/1549922/000104746912008450/a2209444zex-3_4.htm" TargetMode="External"/><Relationship Id="rId248" Type="http://schemas.openxmlformats.org/officeDocument/2006/relationships/hyperlink" Target="https://www.sec.gov/Archives/edgar/data/1549922/000119312521131643/d152070dex41.htm" TargetMode="External"/><Relationship Id="rId251" Type="http://schemas.openxmlformats.org/officeDocument/2006/relationships/hyperlink" Target="https://www.sec.gov/Archives/edgar/data/1549922/000110465912067606/a12-22459_2ex4d1.htm" TargetMode="External"/><Relationship Id="rId252" Type="http://schemas.openxmlformats.org/officeDocument/2006/relationships/hyperlink" Target="https://www.sec.gov/Archives/edgar/data/1549922/000119312520296323/d92241dex101.htm" TargetMode="External"/><Relationship Id="rId253" Type="http://schemas.openxmlformats.org/officeDocument/2006/relationships/hyperlink" Target="https://www.sec.gov/Archives/edgar/data/1549922/000119312520296323/d92241dex102.htm" TargetMode="External"/><Relationship Id="rId254" Type="http://schemas.openxmlformats.org/officeDocument/2006/relationships/hyperlink" Target="https://www.sec.gov/Archives/edgar/data/1549922/000119312520296323/d92241dex103.htm" TargetMode="External"/><Relationship Id="rId255" Type="http://schemas.openxmlformats.org/officeDocument/2006/relationships/hyperlink" Target="https://www.sec.gov/Archives/edgar/data/1549922/000119312520158609/d933187dex101.htm" TargetMode="External"/><Relationship Id="rId256" Type="http://schemas.openxmlformats.org/officeDocument/2006/relationships/hyperlink" Target="https://www.sec.gov/Archives/edgar/data/1549922/000119312520158609/d933187dex102.htm" TargetMode="External"/><Relationship Id="rId257" Type="http://schemas.openxmlformats.org/officeDocument/2006/relationships/hyperlink" Target="https://www.sec.gov/Archives/edgar/data/0001549922/000119312520158609/d933187dex103.htm" TargetMode="External"/><Relationship Id="rId258" Type="http://schemas.openxmlformats.org/officeDocument/2006/relationships/hyperlink" Target="https://www.sec.gov/Archives/edgar/data/0001549922/000119312520158609/d933187dex104.htm" TargetMode="External"/><Relationship Id="rId259" Type="http://schemas.openxmlformats.org/officeDocument/2006/relationships/hyperlink" Target="https://www.sec.gov/Archives/edgar/data/0001549922/000119312520158609/d933187dex105.htm" TargetMode="External"/><Relationship Id="rId260" Type="http://schemas.openxmlformats.org/officeDocument/2006/relationships/hyperlink" Target="https://www.sec.gov/Archives/edgar/data/0001549922/000119312520158609/d933187dex106.htm" TargetMode="External"/><Relationship Id="rId261" Type="http://schemas.openxmlformats.org/officeDocument/2006/relationships/hyperlink" Target="https://www.sec.gov/Archives/edgar/data/0001549922/000119312520158609/d933187dex107.htm" TargetMode="External"/><Relationship Id="rId262" Type="http://schemas.openxmlformats.org/officeDocument/2006/relationships/hyperlink" Target="https://www.sec.gov/Archives/edgar/data/0001549922/000119312520158609/d933187dex108.htm" TargetMode="External"/><Relationship Id="rId263" Type="http://schemas.openxmlformats.org/officeDocument/2006/relationships/hyperlink" Target="https://www.sec.gov/Archives/edgar/data/0001549922/000119312520158609/d933187dex109.htm" TargetMode="External"/><Relationship Id="rId264" Type="http://schemas.openxmlformats.org/officeDocument/2006/relationships/hyperlink" Target="https://www.sec.gov/Archives/edgar/data/0001549922/000119312520158609/d933187dex1010.htm" TargetMode="External"/><Relationship Id="rId267" Type="http://schemas.openxmlformats.org/officeDocument/2006/relationships/hyperlink" Target="https://www.sec.gov/Archives/edgar/data/1549922/000156459020038480/smlp-ex1011_238.htm" TargetMode="External"/><Relationship Id="rId268" Type="http://schemas.openxmlformats.org/officeDocument/2006/relationships/hyperlink" Target="https://www.sec.gov/Archives/edgar/data/1549922/000119312520259668/d822819dex101.htm" TargetMode="External"/><Relationship Id="rId269" Type="http://schemas.openxmlformats.org/officeDocument/2006/relationships/hyperlink" Target="https://www.sec.gov/Archives/edgar/data/1549922/000110465913049675/a13-15045_1ex1d1.htm" TargetMode="External"/><Relationship Id="rId270" Type="http://schemas.openxmlformats.org/officeDocument/2006/relationships/hyperlink" Target="https://www.sec.gov/Archives/edgar/data/1549922/000156459019004248/smlp-ex101_11.htm" TargetMode="External"/><Relationship Id="rId271" Type="http://schemas.openxmlformats.org/officeDocument/2006/relationships/hyperlink" Target="https://www.sec.gov/Archives/edgar/data/1549922/000156459019004248/smlp-ex102_9.htm" TargetMode="External"/><Relationship Id="rId272" Type="http://schemas.openxmlformats.org/officeDocument/2006/relationships/hyperlink" Target="https://www.sec.gov/Archives/edgar/data/1549922/000110465913049675/a13-15045_1ex4d1.htm" TargetMode="External"/><Relationship Id="rId273" Type="http://schemas.openxmlformats.org/officeDocument/2006/relationships/hyperlink" Target="https://www.sec.gov/Archives/edgar/data/1549922/000110465913049675/a13-15045_1ex4d2.htm" TargetMode="External"/><Relationship Id="rId274" Type="http://schemas.openxmlformats.org/officeDocument/2006/relationships/hyperlink" Target="https://www.sec.gov/Archives/edgar/data/1549922/000110465913046980/a13-14380_1ex10d2.htm" TargetMode="External"/><Relationship Id="rId275" Type="http://schemas.openxmlformats.org/officeDocument/2006/relationships/hyperlink" Target="https://www.sec.gov/Archives/edgar/data/1549922/000154992217000042/a143281ks.htm" TargetMode="External"/><Relationship Id="rId276" Type="http://schemas.openxmlformats.org/officeDocument/2006/relationships/hyperlink" Target="https://www.sec.gov/Archives/edgar/data/0001549922/000156459018003135/smlp-ex107_356.htm" TargetMode="External"/><Relationship Id="rId277" Type="http://schemas.openxmlformats.org/officeDocument/2006/relationships/hyperlink" Target="https://www.sec.gov/Archives/edgar/data/0001549922/000156459019031250/smlp-ex102_7.htm" TargetMode="External"/><Relationship Id="rId278" Type="http://schemas.openxmlformats.org/officeDocument/2006/relationships/hyperlink" Target="https://www.sec.gov/Archives/edgar/data/0001549922/000156459020009360/smlp-ex1011_356.htm" TargetMode="External"/><Relationship Id="rId279" Type="http://schemas.openxmlformats.org/officeDocument/2006/relationships/hyperlink" Target="https://www.sec.gov/Archives/edgar/data/1549922/000156459020057616/smlp-ex101_74.htm" TargetMode="External"/><Relationship Id="rId280" Type="http://schemas.openxmlformats.org/officeDocument/2006/relationships/hyperlink" Target="https://www.sec.gov/Archives/edgar/data/1549922/000156459020009360/smlp-ex1012_357.htm" TargetMode="External"/><Relationship Id="rId283" Type="http://schemas.openxmlformats.org/officeDocument/2006/relationships/hyperlink" Target="https://www.sec.gov/Archives/edgar/data/1549922/000154992214000024/exh1071213.htm" TargetMode="External"/><Relationship Id="rId284" Type="http://schemas.openxmlformats.org/officeDocument/2006/relationships/hyperlink" Target="https://www.sec.gov/Archives/edgar/data/1549922/000110465914051636/a14-16933_1ex4d1.htm" TargetMode="External"/><Relationship Id="rId285" Type="http://schemas.openxmlformats.org/officeDocument/2006/relationships/hyperlink" Target="https://www.sec.gov/Archives/edgar/data/1549922/000110465914051636/a14-16933_1ex4d2.htm" TargetMode="External"/><Relationship Id="rId286" Type="http://schemas.openxmlformats.org/officeDocument/2006/relationships/hyperlink" Target="https://www.sec.gov/Archives/edgar/data/1549922/000154992217000020/ex4-2.htm" TargetMode="External"/><Relationship Id="rId287" Type="http://schemas.openxmlformats.org/officeDocument/2006/relationships/hyperlink" Target="https://www.sec.gov/Archives/edgar/data/1549922/000110465915045168/a15-13975_1ex1d1.htm" TargetMode="External"/><Relationship Id="rId288" Type="http://schemas.openxmlformats.org/officeDocument/2006/relationships/hyperlink" Target="https://www.sec.gov/Archives/edgar/data/1549922/000154992216000117/smlpex101a01.htm" TargetMode="External"/><Relationship Id="rId289" Type="http://schemas.openxmlformats.org/officeDocument/2006/relationships/hyperlink" Target="https://www.sec.gov/Archives/edgar/data/1549922/000156459019004248/smlp-ex103_10.htm" TargetMode="External"/><Relationship Id="rId290" Type="http://schemas.openxmlformats.org/officeDocument/2006/relationships/hyperlink" Target="https://www.sec.gov/Archives/edgar/data/1549922/000156459019042016/smlp-ex101_131.htm" TargetMode="External"/><Relationship Id="rId291" Type="http://schemas.openxmlformats.org/officeDocument/2006/relationships/hyperlink" Target="https://www.sec.gov/Archives/edgar/data/1549922/000119312520296323/d92241dex104.htm" TargetMode="External"/><Relationship Id="rId292" Type="http://schemas.openxmlformats.org/officeDocument/2006/relationships/hyperlink" Target="https://www.sec.gov/Archives/edgar/data/1549922/000156459021025535/smlp-ex101_79.htm" TargetMode="External"/><Relationship Id="rId293" Type="http://schemas.openxmlformats.org/officeDocument/2006/relationships/hyperlink" Target="https://www.sec.gov/Archives/edgar/data/1549922/000154992221000007/jointfactualstatement.htm" TargetMode="External"/><Relationship Id="rId294" Type="http://schemas.openxmlformats.org/officeDocument/2006/relationships/hyperlink" Target="https://www.sec.gov/Archives/edgar/data/1549922/000154992221000007/criminalpleaagreement.htm" TargetMode="External"/><Relationship Id="rId295" Type="http://schemas.openxmlformats.org/officeDocument/2006/relationships/hyperlink" Target="https://www.sec.gov/Archives/edgar/data/1549922/000154992221000007/consentdecree.htm" TargetMode="External"/><Relationship Id="rId296" Type="http://schemas.openxmlformats.org/officeDocument/2006/relationships/hyperlink" Target="https://www.sec.gov/Archives/edgar/data/1549922/000154992221000010/smlp-2026notesindenture202.htm" TargetMode="External"/><Relationship Id="rId297" Type="http://schemas.openxmlformats.org/officeDocument/2006/relationships/hyperlink" Target="https://www.sec.gov/Archives/edgar/data/1549922/000154992221000010/smlp-collateralagreement20.htm" TargetMode="External"/><Relationship Id="rId300" Type="http://schemas.openxmlformats.org/officeDocument/2006/relationships/hyperlink" Target="https://www.sec.gov/Archives/edgar/data/1549922/000154992221000010/smlp-ablcreditagreement202.htm" TargetMode="External"/><Relationship Id="rId301" Type="http://schemas.openxmlformats.org/officeDocument/2006/relationships/hyperlink" Target="https://www.sec.gov/Archives/edgar/data/1549922/000154992221000010/smlp-intercreditoragreemen.htm" TargetMode="External"/><Relationship Id="rId302" Type="http://schemas.openxmlformats.org/officeDocument/2006/relationships/hyperlink" Target="https://www.sec.gov/Archives/edgar/data/1549922/000156459019004248/smlp-ex104_8.htm" TargetMode="External"/><Relationship Id="rId303" Type="http://schemas.openxmlformats.org/officeDocument/2006/relationships/hyperlink" Target="https://www.sec.gov/Archives/edgar/data/1549922/000156459021011012/smlp-ex1041_764.htm" TargetMode="External"/><Relationship Id="rId304" Type="http://schemas.openxmlformats.org/officeDocument/2006/relationships/hyperlink" Target="https://www.sec.gov/Archives/edgar/data/1549922/000156459019022240/smlp-ex101_7.htm" TargetMode="External"/><Relationship Id="rId305" Type="http://schemas.openxmlformats.org/officeDocument/2006/relationships/hyperlink" Target="https://www.sec.gov/Archives/edgar/data/1549922/000156459020051994/smlp-ex104_80.htm" TargetMode="External"/><Relationship Id="rId306" Type="http://schemas.openxmlformats.org/officeDocument/2006/relationships/hyperlink" Target="https://www.sec.gov/Archives/edgar/data/1549922/000156459020012024/smlp-ex101_6.htm" TargetMode="External"/><Relationship Id="rId307" Type="http://schemas.openxmlformats.org/officeDocument/2006/relationships/hyperlink" Target="https://www.sec.gov/Archives/edgar/data/1549922/000154992214000028/ex101formofsltagmt.htm" TargetMode="External"/><Relationship Id="rId308" Type="http://schemas.openxmlformats.org/officeDocument/2006/relationships/hyperlink" Target="https://www.sec.gov/Archives/edgar/data/1549922/000110465912067606/a12-22459_2ex10d3.htm" TargetMode="External"/><Relationship Id="rId309" Type="http://schemas.openxmlformats.org/officeDocument/2006/relationships/hyperlink" Target="https://www.sec.gov/Archives/edgar/data/1549922/000154992213000021/ex43-smlpxdcplan.htm" TargetMode="External"/><Relationship Id="rId310" Type="http://schemas.openxmlformats.org/officeDocument/2006/relationships/hyperlink" Target="https://www.sec.gov/Archives/edgar/data/1549922/000154992222000008/formofltipagreementforempl.htm" TargetMode="External"/><Relationship Id="rId311" Type="http://schemas.openxmlformats.org/officeDocument/2006/relationships/hyperlink" Target="https://www.sec.gov/Archives/edgar/data/1549922/000138713122004480/summit-def14a_051021.htm#summit-def14a_051021a367" TargetMode="External"/><Relationship Id="rId312" Type="http://schemas.openxmlformats.org/officeDocument/2006/relationships/hyperlink" Target="https://www.sec.gov/Archives/edgar/data/1549922/000154992222000011/amendedandrestatedemployme.htm" TargetMode="External"/><Relationship Id="rId313" Type="http://schemas.openxmlformats.org/officeDocument/2006/relationships/hyperlink" Target="https://www.sec.gov/Archives/edgar/data/1549922/000154992222000033/exhibit101-smlpxcollateral.htm" TargetMode="External"/><Relationship Id="rId316" Type="http://schemas.openxmlformats.org/officeDocument/2006/relationships/hyperlink" Target="https://www.sec.gov/Archives/edgar/data/1549922/000154992222000033/exhibit102-smlpxintercredi.htm" TargetMode="External"/><Relationship Id="rId317" Type="http://schemas.openxmlformats.org/officeDocument/2006/relationships/hyperlink" Target="https://www.sec.gov/Archives/edgar/data/1549922/000154992223000006/employmentagreementdeneke_.htm" TargetMode="External"/><Relationship Id="rId318" Type="http://schemas.openxmlformats.org/officeDocument/2006/relationships/hyperlink" Target="https://www.sec.gov/Archives/edgar/data/1549922/000154992223000006/agreementmault_activex1023.htm" TargetMode="External"/><Relationship Id="rId319" Type="http://schemas.openxmlformats.org/officeDocument/2006/relationships/hyperlink" Target="https://www.sec.gov/Archives/edgar/data/1549922/000154992223000006/agreementjohnston_activex1.htm" TargetMode="External"/><Relationship Id="rId320" Type="http://schemas.openxmlformats.org/officeDocument/2006/relationships/hyperlink" Target="https://www.sec.gov/Archives/edgar/data/1549922/000154992223000006/agreementsicinski_activex1.htm" TargetMode="External"/><Relationship Id="rId321" Type="http://schemas.openxmlformats.org/officeDocument/2006/relationships/hyperlink" Target="https://www.sec.gov/Archives/edgar/data/1549922/000154992223000006/smlp-formofperformancexb.htm" TargetMode="External"/><Relationship Id="rId322" Type="http://schemas.openxmlformats.org/officeDocument/2006/relationships/hyperlink" Target="https://www.sec.gov/Archives/edgar/data/1549922/000154992223000006/smlp-formoftimexbasedphant.htm" TargetMode="External"/><Relationship Id="rId323" Type="http://schemas.openxmlformats.org/officeDocument/2006/relationships/hyperlink" Target="https://www.sec.gov/Archives/edgar/data/1549922/000154992223000006/a2021ltipagreement.htm" TargetMode="External"/><Relationship Id="rId324" Type="http://schemas.openxmlformats.org/officeDocument/2006/relationships/hyperlink" Target="https://www.sec.gov/Archives/edgar/data/1549922/000154992223000006/ex1066-smlpxformof2022ltip.htm" TargetMode="External"/><Relationship Id="rId325" Type="http://schemas.openxmlformats.org/officeDocument/2006/relationships/hyperlink" Target="https://www.sec.gov/Archives/edgar/data/1549922/000154992223000006/smlp-formof2023ltipagreeme.htm" TargetMode="External"/><Relationship Id="rId326" Type="http://schemas.openxmlformats.org/officeDocument/2006/relationships/hyperlink" Target="https://www.sec.gov/Archives/edgar/data/1549922/000154992223000011/smlp-firstamendmenttoloa.htm" TargetMode="External"/><Relationship Id="rId327" Type="http://schemas.openxmlformats.org/officeDocument/2006/relationships/hyperlink" Target="https://www.sec.gov/Archives/edgar/data/1549922/000154992223000011/smlp-secondamendmenttolo.htm" TargetMode="External"/><Relationship Id="rId328" Type="http://schemas.openxmlformats.org/officeDocument/2006/relationships/hyperlink" Target="https://www.sec.gov/Archives/edgar/data/1549922/000154992223000011/doublee-omnibusamendment.htm" TargetMode="External"/><Relationship Id="rId329" Type="http://schemas.openxmlformats.org/officeDocument/2006/relationships/hyperlink" Target="https://www.sec.gov/Archives/edgar/data/1549922/000154992223000018/indenture_2023noteexchan.htm" TargetMode="External"/><Relationship Id="rId332" Type="http://schemas.openxmlformats.org/officeDocument/2006/relationships/hyperlink" Target="https://www.sec.gov/Archives/edgar/data/1549922/000154992223000018/thirdamendmenttol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2024-03-15T08:41:00Z</dcterms:created>
  <dcterms:modified xsi:type="dcterms:W3CDTF">2024-03-15T08:41:00Z</dcterms:modified>
</cp:coreProperties>
</file>