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8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March 31, 2025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001-42201</w:t>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Summit Midstream Corporation</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Delaware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910 Louisiana Street, Suite 4200</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Houston, TX</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99-3056990</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77002</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(832) 413-4770</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355" w:type="dxa"/>
        <w:jc w:val="left"/>
        <w:tblInd w:w="0" w:type="dxa"/>
        <w:tblLayout w:type="fixed"/>
        <w:tblCellMar>
          <w:top w:w="28" w:type="dxa"/>
          <w:left w:w="28" w:type="dxa"/>
          <w:bottom w:w="28" w:type="dxa"/>
          <w:right w:w="28" w:type="dxa"/>
        </w:tblCellMar>
      </w:tblPr>
      <w:tblGrid>
        <w:gridCol w:w="1119"/>
        <w:gridCol w:w="986"/>
        <w:gridCol w:w="1000"/>
        <w:gridCol w:w="484"/>
        <w:gridCol w:w="484"/>
        <w:gridCol w:w="486"/>
        <w:gridCol w:w="685"/>
        <w:gridCol w:w="685"/>
        <w:gridCol w:w="685"/>
        <w:gridCol w:w="509"/>
        <w:gridCol w:w="509"/>
        <w:gridCol w:w="723"/>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796"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SMC</w:t>
            </w:r>
          </w:p>
        </w:tc>
        <w:tc>
          <w:tcPr>
            <w:tcW w:w="20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c>
          <w:tcPr>
            <w:tcW w:w="1741"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36"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r>
    </w:tbl>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3"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674"/>
        <w:gridCol w:w="674"/>
        <w:gridCol w:w="677"/>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val="false"/>
          <w:color w:val="000000"/>
          <w:sz w:val="18"/>
        </w:rPr>
        <w:t>.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5515" w:type="dxa"/>
        <w:jc w:val="left"/>
        <w:tblInd w:w="0" w:type="dxa"/>
        <w:tblLayout w:type="fixed"/>
        <w:tblCellMar>
          <w:top w:w="28" w:type="dxa"/>
          <w:left w:w="28" w:type="dxa"/>
          <w:bottom w:w="28" w:type="dxa"/>
          <w:right w:w="28" w:type="dxa"/>
        </w:tblCellMar>
      </w:tblPr>
      <w:tblGrid>
        <w:gridCol w:w="1333"/>
        <w:gridCol w:w="1176"/>
        <w:gridCol w:w="1195"/>
        <w:gridCol w:w="109"/>
        <w:gridCol w:w="109"/>
        <w:gridCol w:w="109"/>
        <w:gridCol w:w="432"/>
        <w:gridCol w:w="432"/>
        <w:gridCol w:w="620"/>
      </w:tblGrid>
      <w:tr>
        <w:trPr/>
        <w:tc>
          <w:tcPr>
            <w:tcW w:w="133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May 1, 2025</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12,241,098 shares</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6,524,467 shares</w:t>
            </w:r>
          </w:p>
        </w:tc>
      </w:tr>
    </w:tbl>
    <w:p>
      <w:pPr>
        <w:pStyle w:val="TextBody"/>
        <w:bidi w:val="0"/>
        <w:spacing w:before="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663" w:type="dxa"/>
        <w:jc w:val="left"/>
        <w:tblInd w:w="0" w:type="dxa"/>
        <w:tblLayout w:type="fixed"/>
        <w:tblCellMar>
          <w:top w:w="28" w:type="dxa"/>
          <w:left w:w="28" w:type="dxa"/>
          <w:bottom w:w="28" w:type="dxa"/>
          <w:right w:w="28" w:type="dxa"/>
        </w:tblCellMar>
      </w:tblPr>
      <w:tblGrid>
        <w:gridCol w:w="683"/>
        <w:gridCol w:w="599"/>
        <w:gridCol w:w="599"/>
        <w:gridCol w:w="2457"/>
        <w:gridCol w:w="2457"/>
        <w:gridCol w:w="2496"/>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c03a3af6a058433da353c898413f6ce4_10">
              <w:r>
                <w:rPr>
                  <w:rStyle w:val="InternetLink"/>
                  <w:rFonts w:ascii="Times New Roman;sans-serif" w:hAnsi="Times New Roman;sans-serif"/>
                  <w:b w:val="false"/>
                  <w:color w:val="0000FF"/>
                  <w:sz w:val="20"/>
                  <w:u w:val="single"/>
                </w:rPr>
                <w:t>COMMONLY USED OR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0">
              <w:r>
                <w:rPr>
                  <w:rStyle w:val="InternetLink"/>
                  <w:rFonts w:ascii="Times New Roman;sans-serif" w:hAnsi="Times New Roman;sans-serif"/>
                  <w:b w:val="false"/>
                  <w:color w:val="0000FF"/>
                  <w:sz w:val="20"/>
                  <w:u w:val="single"/>
                </w:rPr>
                <w:t>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3">
              <w:r>
                <w:rPr>
                  <w:rStyle w:val="InternetLink"/>
                  <w:rFonts w:ascii="Times New Roman;sans-serif" w:hAnsi="Times New Roman;sans-serif"/>
                  <w:b w:val="false"/>
                  <w:color w:val="0000FF"/>
                  <w:sz w:val="20"/>
                  <w:u w:val="single"/>
                </w:rPr>
                <w:t>PART 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3">
              <w:r>
                <w:rPr>
                  <w:rStyle w:val="InternetLink"/>
                  <w:rFonts w:ascii="Times New Roman;sans-serif" w:hAnsi="Times New Roman;sans-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
              <w:r>
                <w:rPr>
                  <w:rStyle w:val="InternetLink"/>
                  <w:rFonts w:ascii="Times New Roman;sans-serif" w:hAnsi="Times New Roman;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9">
              <w:r>
                <w:rPr>
                  <w:rStyle w:val="InternetLink"/>
                  <w:rFonts w:ascii="Times New Roman;sans-serif" w:hAnsi="Times New Roman;sans-serif"/>
                  <w:b w:val="false"/>
                  <w:color w:val="0000FF"/>
                  <w:sz w:val="20"/>
                  <w:u w:val="single"/>
                </w:rPr>
                <w:t>Unaudited 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9">
              <w:r>
                <w:rPr>
                  <w:rStyle w:val="InternetLink"/>
                  <w:rFonts w:ascii="Times New Roman;sans-serif" w:hAnsi="Times New Roman;sans-serif"/>
                  <w:b w:val="false"/>
                  <w:color w:val="0000FF"/>
                  <w:sz w:val="20"/>
                  <w:u w:val="single"/>
                </w:rPr>
                <w:t>7</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22">
              <w:r>
                <w:rPr>
                  <w:rStyle w:val="InternetLink"/>
                  <w:rFonts w:ascii="Times New Roman;sans-serif" w:hAnsi="Times New Roman;sans-serif"/>
                  <w:b w:val="false"/>
                  <w:color w:val="0000FF"/>
                  <w:sz w:val="20"/>
                  <w:u w:val="single"/>
                </w:rPr>
                <w:t>Unaudited 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22">
              <w:r>
                <w:rPr>
                  <w:rStyle w:val="InternetLink"/>
                  <w:rFonts w:ascii="Times New Roman;sans-serif" w:hAnsi="Times New Roman;sans-serif"/>
                  <w:b w:val="false"/>
                  <w:color w:val="0000FF"/>
                  <w:sz w:val="20"/>
                  <w:u w:val="single"/>
                </w:rPr>
                <w:t>8</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25">
              <w:r>
                <w:rPr>
                  <w:rStyle w:val="InternetLink"/>
                  <w:rFonts w:ascii="Times New Roman;sans-serif" w:hAnsi="Times New Roman;sans-serif"/>
                  <w:b w:val="false"/>
                  <w:color w:val="0000FF"/>
                  <w:sz w:val="20"/>
                  <w:u w:val="single"/>
                </w:rPr>
                <w:t>Unaudited Condensed Consolidated Statements of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25">
              <w:r>
                <w:rPr>
                  <w:rStyle w:val="InternetLink"/>
                  <w:rFonts w:ascii="Times New Roman;sans-serif" w:hAnsi="Times New Roman;sans-serif"/>
                  <w:b w:val="false"/>
                  <w:color w:val="0000FF"/>
                  <w:sz w:val="20"/>
                  <w:u w:val="single"/>
                </w:rPr>
                <w:t>9</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28">
              <w:r>
                <w:rPr>
                  <w:rStyle w:val="InternetLink"/>
                  <w:rFonts w:ascii="Times New Roman;sans-serif" w:hAnsi="Times New Roman;sans-serif"/>
                  <w:b w:val="false"/>
                  <w:color w:val="0000FF"/>
                  <w:sz w:val="20"/>
                  <w:u w:val="single"/>
                </w:rPr>
                <w:t>Unaudited 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28">
              <w:r>
                <w:rPr>
                  <w:rStyle w:val="InternetLink"/>
                  <w:rFonts w:ascii="Times New Roman;sans-serif" w:hAnsi="Times New Roman;sans-serif"/>
                  <w:b w:val="false"/>
                  <w:color w:val="0000FF"/>
                  <w:sz w:val="20"/>
                  <w:u w:val="single"/>
                </w:rPr>
                <w:t>10</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31">
              <w:r>
                <w:rPr>
                  <w:rStyle w:val="InternetLink"/>
                  <w:rFonts w:ascii="Times New Roman;sans-serif" w:hAnsi="Times New Roman;sans-serif"/>
                  <w:b w:val="false"/>
                  <w:color w:val="0000FF"/>
                  <w:sz w:val="20"/>
                  <w:u w:val="single"/>
                </w:rPr>
                <w:t>Notes to Unaudited Condensed Consolidated Financial Statements</w:t>
              </w:r>
            </w:hyperlink>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31">
              <w:r>
                <w:rPr>
                  <w:rStyle w:val="InternetLink"/>
                  <w:rFonts w:ascii="Times New Roman;sans-serif" w:hAnsi="Times New Roman;sans-serif"/>
                  <w:b w:val="false"/>
                  <w:color w:val="0000FF"/>
                  <w:sz w:val="20"/>
                  <w:u w:val="single"/>
                </w:rPr>
                <w:t>11</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91">
              <w:r>
                <w:rPr>
                  <w:rStyle w:val="InternetLink"/>
                  <w:rFonts w:ascii="Times New Roman;sans-serif" w:hAnsi="Times New Roman;sans-serif"/>
                  <w:b w:val="false"/>
                  <w:strike w:val="false"/>
                  <w:dstrike w:val="false"/>
                  <w:color w:val="000000"/>
                  <w:sz w:val="20"/>
                  <w:u w:val="none"/>
                  <w:effect w:val="none"/>
                </w:rPr>
                <w:t>Item 2.</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91">
              <w:r>
                <w:rPr>
                  <w:rStyle w:val="InternetLink"/>
                  <w:rFonts w:ascii="Times New Roman;sans-serif" w:hAnsi="Times New Roman;sans-serif"/>
                  <w:b w:val="false"/>
                  <w:color w:val="0000FF"/>
                  <w:sz w:val="20"/>
                  <w:u w:val="single"/>
                </w:rPr>
                <w:t>30</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0">
              <w:r>
                <w:rPr>
                  <w:rStyle w:val="InternetLink"/>
                  <w:rFonts w:ascii="Times New Roman;sans-serif" w:hAnsi="Times New Roman;sans-serif"/>
                  <w:b w:val="false"/>
                  <w:strike w:val="false"/>
                  <w:dstrike w:val="false"/>
                  <w:color w:val="000000"/>
                  <w:sz w:val="20"/>
                  <w:u w:val="none"/>
                  <w:effect w:val="none"/>
                </w:rPr>
                <w:t>Item 3.</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0">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60">
              <w:r>
                <w:rPr>
                  <w:rStyle w:val="InternetLink"/>
                  <w:rFonts w:ascii="Times New Roman;sans-serif" w:hAnsi="Times New Roman;sans-serif"/>
                  <w:b w:val="false"/>
                  <w:color w:val="0000FF"/>
                  <w:sz w:val="20"/>
                  <w:u w:val="single"/>
                </w:rPr>
                <w:t>48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3">
              <w:r>
                <w:rPr>
                  <w:rStyle w:val="InternetLink"/>
                  <w:rFonts w:ascii="Times New Roman;sans-serif" w:hAnsi="Times New Roman;sans-serif"/>
                  <w:b w:val="false"/>
                  <w:strike w:val="false"/>
                  <w:dstrike w:val="false"/>
                  <w:color w:val="000000"/>
                  <w:sz w:val="20"/>
                  <w:u w:val="none"/>
                  <w:effect w:val="none"/>
                </w:rPr>
                <w:t>Item 4.</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3">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63">
              <w:r>
                <w:rPr>
                  <w:rStyle w:val="InternetLink"/>
                  <w:rFonts w:ascii="Times New Roman;sans-serif" w:hAnsi="Times New Roman;sans-serif"/>
                  <w:b w:val="false"/>
                  <w:color w:val="0000FF"/>
                  <w:sz w:val="20"/>
                  <w:u w:val="single"/>
                </w:rPr>
                <w:t>48</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6">
              <w:r>
                <w:rPr>
                  <w:rStyle w:val="InternetLink"/>
                  <w:rFonts w:ascii="Times New Roman;sans-serif" w:hAnsi="Times New Roman;sans-serif"/>
                  <w:b w:val="false"/>
                  <w:color w:val="0000FF"/>
                  <w:sz w:val="20"/>
                  <w:u w:val="single"/>
                </w:rPr>
                <w:t>PART II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6">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66">
              <w:r>
                <w:rPr>
                  <w:rStyle w:val="InternetLink"/>
                  <w:rFonts w:ascii="Times New Roman;sans-serif" w:hAnsi="Times New Roman;sans-serif"/>
                  <w:b w:val="false"/>
                  <w:color w:val="0000FF"/>
                  <w:sz w:val="20"/>
                  <w:u w:val="single"/>
                </w:rPr>
                <w:t>49</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9">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69">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69">
              <w:r>
                <w:rPr>
                  <w:rStyle w:val="InternetLink"/>
                  <w:rFonts w:ascii="Times New Roman;sans-serif" w:hAnsi="Times New Roman;sans-serif"/>
                  <w:b w:val="false"/>
                  <w:color w:val="0000FF"/>
                  <w:sz w:val="20"/>
                  <w:u w:val="single"/>
                </w:rPr>
                <w:t>49</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72">
              <w:r>
                <w:rPr>
                  <w:rStyle w:val="InternetLink"/>
                  <w:rFonts w:ascii="Times New Roman;sans-serif" w:hAnsi="Times New Roman;sans-serif"/>
                  <w:b w:val="false"/>
                  <w:strike w:val="false"/>
                  <w:dstrike w:val="false"/>
                  <w:color w:val="000000"/>
                  <w:sz w:val="20"/>
                  <w:u w:val="none"/>
                  <w:effect w:val="none"/>
                </w:rPr>
                <w:t>Item 1A.</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72">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72">
              <w:r>
                <w:rPr>
                  <w:rStyle w:val="InternetLink"/>
                  <w:rFonts w:ascii="Times New Roman;sans-serif" w:hAnsi="Times New Roman;sans-serif"/>
                  <w:b w:val="false"/>
                  <w:color w:val="0000FF"/>
                  <w:sz w:val="20"/>
                  <w:u w:val="single"/>
                </w:rPr>
                <w:t>49</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75">
              <w:r>
                <w:rPr>
                  <w:rStyle w:val="InternetLink"/>
                  <w:rFonts w:ascii="Times New Roman;sans-serif" w:hAnsi="Times New Roman;sans-serif"/>
                  <w:b w:val="false"/>
                  <w:strike w:val="false"/>
                  <w:dstrike w:val="false"/>
                  <w:color w:val="000000"/>
                  <w:sz w:val="20"/>
                  <w:u w:val="none"/>
                  <w:effect w:val="none"/>
                </w:rPr>
                <w:t>Item 5.</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75">
              <w:r>
                <w:rPr>
                  <w:rStyle w:val="InternetLink"/>
                  <w:rFonts w:ascii="Times New Roman;sans-serif" w:hAnsi="Times New Roman;sans-serif"/>
                  <w:b w:val="false"/>
                  <w:color w:val="0000FF"/>
                  <w:sz w:val="20"/>
                  <w:u w:val="single"/>
                </w:rPr>
                <w:t>Other Information</w:t>
              </w:r>
            </w:hyperlink>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75">
              <w:r>
                <w:rPr>
                  <w:rStyle w:val="InternetLink"/>
                  <w:rFonts w:ascii="Times New Roman;sans-serif" w:hAnsi="Times New Roman;sans-serif"/>
                  <w:b w:val="false"/>
                  <w:color w:val="0000FF"/>
                  <w:sz w:val="20"/>
                  <w:u w:val="single"/>
                </w:rPr>
                <w:t>50</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81">
              <w:r>
                <w:rPr>
                  <w:rStyle w:val="InternetLink"/>
                  <w:rFonts w:ascii="Times New Roman;sans-serif" w:hAnsi="Times New Roman;sans-serif"/>
                  <w:b w:val="false"/>
                  <w:strike w:val="false"/>
                  <w:dstrike w:val="false"/>
                  <w:color w:val="000000"/>
                  <w:sz w:val="20"/>
                  <w:u w:val="none"/>
                  <w:effect w:val="none"/>
                </w:rPr>
                <w:t>Item 6.</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81">
              <w:r>
                <w:rPr>
                  <w:rStyle w:val="InternetLink"/>
                  <w:rFonts w:ascii="Times New Roman;sans-serif" w:hAnsi="Times New Roman;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81">
              <w:r>
                <w:rPr>
                  <w:rStyle w:val="InternetLink"/>
                  <w:rFonts w:ascii="Times New Roman;sans-serif" w:hAnsi="Times New Roman;sans-serif"/>
                  <w:b w:val="false"/>
                  <w:color w:val="0000FF"/>
                  <w:sz w:val="20"/>
                  <w:u w:val="single"/>
                </w:rPr>
                <w:t>51</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3a3af6a058433da353c898413f6ce4_184">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03a3af6a058433da353c898413f6ce4_184">
              <w:r>
                <w:rPr>
                  <w:rStyle w:val="InternetLink"/>
                  <w:rFonts w:ascii="Times New Roman;sans-serif" w:hAnsi="Times New Roman;sans-serif"/>
                  <w:b w:val="false"/>
                  <w:color w:val="0000FF"/>
                  <w:sz w:val="20"/>
                  <w:u w:val="single"/>
                </w:rPr>
                <w:t>52</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COMMONLY USED OR DEFINED TERMS</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44"/>
        <w:gridCol w:w="438"/>
        <w:gridCol w:w="441"/>
        <w:gridCol w:w="2707"/>
        <w:gridCol w:w="2384"/>
        <w:gridCol w:w="3391"/>
      </w:tblGrid>
      <w:tr>
        <w:trPr/>
        <w:tc>
          <w:tcPr>
            <w:tcW w:w="84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Blacktail Release</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2015 rupture of our four-inch produced water gathering pipeline near Williston, North Dakota</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5.75% senior unsecured notes due April 2025, which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were fully repaid on August 16, 2024</w:t>
            </w:r>
          </w:p>
          <w:p>
            <w:pPr>
              <w:pStyle w:val="TableContents"/>
              <w:bidi w:val="0"/>
              <w:spacing w:before="0" w:after="0"/>
              <w:jc w:val="left"/>
              <w:rPr/>
            </w:pPr>
            <w:r>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8.500% senior secured second lien notes due October 2026, which were fully repaid on October 15, 2024</w:t>
            </w:r>
          </w:p>
          <w:p>
            <w:pPr>
              <w:pStyle w:val="TableContents"/>
              <w:bidi w:val="0"/>
              <w:spacing w:before="0" w:after="0"/>
              <w:jc w:val="left"/>
              <w:rPr/>
            </w:pPr>
            <w:r>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12.00% senior unsecured notes due October 2026, which were fully repaid on June 24, 2024</w:t>
            </w:r>
          </w:p>
          <w:p>
            <w:pPr>
              <w:pStyle w:val="TableContents"/>
              <w:bidi w:val="0"/>
              <w:spacing w:before="0" w:after="0"/>
              <w:jc w:val="left"/>
              <w:rPr/>
            </w:pPr>
            <w:r>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Secured Notes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8.625% Senior Secured Second Lien Notes due October 2029</w:t>
            </w:r>
          </w:p>
          <w:p>
            <w:pPr>
              <w:pStyle w:val="TableContents"/>
              <w:bidi w:val="0"/>
              <w:spacing w:before="0" w:after="0"/>
              <w:jc w:val="left"/>
              <w:rPr/>
            </w:pPr>
            <w:r>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bidi w:val="0"/>
              <w:spacing w:before="0" w:after="0"/>
              <w:jc w:val="left"/>
              <w:rPr/>
            </w:pPr>
            <w:r>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ABL Agreement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2029 Secured</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$250,000,000 in aggregate principal amount of 2029 Secured Notes issued on January</w:t>
              <w:br/>
              <w:t>10, 2025</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ABL Agreement</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Loan and Security Agreement, dated as of July 26, 2024, among Summit Holdings, as borrower, SMLP and certain subsidiaries from time to time party thereto, as guarantors, Bank of America, N.A., as agent, and Bank of America, N.A., Royal Bank of Canada, Regions Capital Markets, TD Securities (USA) LLC, JPMorgan Chase Bank, N.A, Citizens Bank, N.A., and Truist Bank, as joint lead arrangers and joint bookrunners</w:t>
            </w:r>
          </w:p>
          <w:p>
            <w:pPr>
              <w:pStyle w:val="TableContents"/>
              <w:bidi w:val="0"/>
              <w:spacing w:before="0" w:after="0"/>
              <w:jc w:val="left"/>
              <w:rPr/>
            </w:pPr>
            <w:r>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Amended and Restated ABL Facility </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Amended and Restated ABL Agreement</w:t>
            </w:r>
          </w:p>
          <w:p>
            <w:pPr>
              <w:pStyle w:val="TableContents"/>
              <w:bidi w:val="0"/>
              <w:spacing w:before="0" w:after="0"/>
              <w:jc w:val="left"/>
              <w:rPr/>
            </w:pPr>
            <w:r>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Bcf/d</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equivalent of one billion cubic feet per day; generally calculated when liquids are converted into natural gas; determined using a ratio of six thousand cubic feet of natural gas to one barrel of liquids</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Summit Midstream Corporation</w:t>
            </w:r>
          </w:p>
          <w:p>
            <w:pPr>
              <w:pStyle w:val="TableContents"/>
              <w:bidi w:val="0"/>
              <w:spacing w:before="0" w:after="0"/>
              <w:jc w:val="left"/>
              <w:rPr/>
            </w:pPr>
            <w:r>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of the Company, par value $0.01 per share</w:t>
            </w:r>
          </w:p>
          <w:p>
            <w:pPr>
              <w:pStyle w:val="TableContents"/>
              <w:bidi w:val="0"/>
              <w:spacing w:before="0" w:after="0"/>
              <w:jc w:val="left"/>
              <w:rPr/>
            </w:pPr>
            <w:r>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 the Company, par value $0.01 per share</w:t>
            </w:r>
          </w:p>
          <w:p>
            <w:pPr>
              <w:pStyle w:val="TableContents"/>
              <w:bidi w:val="0"/>
              <w:spacing w:before="0" w:after="0"/>
              <w:jc w:val="left"/>
              <w:rPr/>
            </w:pPr>
            <w:r>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the Board of Directors</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condensate</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liquid with a low vapor pressure, mainly composed of propane, butane, pentane and heavier hydrocarbon fractions</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66"/>
        <w:gridCol w:w="498"/>
        <w:gridCol w:w="499"/>
        <w:gridCol w:w="2653"/>
        <w:gridCol w:w="2474"/>
        <w:gridCol w:w="3515"/>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Reorganization</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August 1, 2024 consummation of a transaction that resulted in SMLP becoming a wholly owned subsidiary of a newly formed Delaware corporation, Summit Midstream Corporation (taxed as a C-corporation)</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DJ Basin</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Denver-Julesburg Basin</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DOJ</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Justice</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135 mile, 1.5 Bcf/d, FERC-regulated interstate natural gas transmission pipeline that commenced operations in November 2021 and provides transportation service from multiple receipt points in the Delaware Basin to various delivery points in and around the Waha hub in Texas </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Agency</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or loss per share</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FERC</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Corp.</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Finance Corp.</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GP, LLC</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hub</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geographic location of a storage facility and multiple pipeline interconnections</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Initial 2029 Secured Notes</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$575,000,000 in aggregate principal amount of 2029 Secured Notes issued on July 26,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p>
            <w:pPr>
              <w:pStyle w:val="TableContents"/>
              <w:bidi w:val="0"/>
              <w:spacing w:before="0" w:after="0"/>
              <w:jc w:val="left"/>
              <w:rPr/>
            </w:pPr>
            <w:r>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Intercreditor Agreement</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Intercreditor Agreement, dated as of November 2, 2021, by and among Bank of America, N.A., as first lien representative and collateral agent for the initial first lien claimholders, Regions Bank, as second lien representative for the initial second lien claimholders and as collateral agent for the initial second lien claimholders, acknowledged and agreed to by Summit Holdings and the other grantors referred to therein as reaffirmed and modified by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Notice of Reaffirmation</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Mbbl/d</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thousand barrels per day</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 Company,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million British thermal units</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MMcf/d</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 per day</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Moonrise</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Moonrise Midstream, LLC</w:t>
            </w:r>
          </w:p>
          <w:p>
            <w:pPr>
              <w:pStyle w:val="TableContents"/>
              <w:bidi w:val="0"/>
              <w:spacing w:before="0" w:after="0"/>
              <w:jc w:val="left"/>
              <w:rPr/>
            </w:pPr>
            <w:r>
              <w:rPr/>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8"/>
        <w:gridCol w:w="502"/>
        <w:gridCol w:w="506"/>
        <w:gridCol w:w="2484"/>
        <w:gridCol w:w="2484"/>
        <w:gridCol w:w="3531"/>
      </w:tblGrid>
      <w:tr>
        <w:trPr/>
        <w:tc>
          <w:tcPr>
            <w:tcW w:w="6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Moonrise Acquisition</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consummation of the transaction contemplated by the Moonrise Acquisition Agreement</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Moonrise Acquisition Agreement</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Membership Interest Purchase Agreement, dated as of March 10, 2025, by and among the Company, Summit Holdings, Fundare Resources Company HoldCo, LLC, and solely for</w:t>
              <w:br/>
              <w:t>purposes of Section 9.19 thereto, Fundare Resources Company, LLC, pursuant to which</w:t>
              <w:br/>
              <w:t>Fundare Resources Company HoldCo, LLC contributed all of its equity interests in</w:t>
              <w:br/>
              <w:t>Moonrise to Summit Holdings in exchange for total consideration equal to $90.0 million</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 Company, LLC</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Transaction</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the Mountaineer Midstream system to Antero Midstream LLC for a cash sale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price of $70 million, subject to customary post-closing adjustments</w:t>
            </w:r>
          </w:p>
          <w:p>
            <w:pPr>
              <w:pStyle w:val="TableContents"/>
              <w:bidi w:val="0"/>
              <w:spacing w:before="0" w:after="0"/>
              <w:jc w:val="left"/>
              <w:rPr/>
            </w:pPr>
            <w:r>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MVC</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volume commitment</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NGLs</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Notice of Reaffirmation</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Notice and Reaffirmation of Intercreditor Agreement, dated as of July 26, 2024, by and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among Bank of America, N.A., as first lien representative and collateral agent for the initial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lien claimholders, Regions Bank, as second lien representative and collateral agent for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second lien claimholders, acknowledged and agreed to by Summit Holdings and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other grantors referred to therein</w:t>
            </w:r>
          </w:p>
          <w:p>
            <w:pPr>
              <w:pStyle w:val="TableContents"/>
              <w:bidi w:val="0"/>
              <w:spacing w:before="0" w:after="0"/>
              <w:jc w:val="left"/>
              <w:rPr/>
            </w:pPr>
            <w:r>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OCC</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Condensate Company, L.L.C.</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OGC</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 and Ohio Condensate Company, L.L.C.</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Common Units</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representing limited partner interests of SMLP</w:t>
            </w:r>
          </w:p>
          <w:p>
            <w:pPr>
              <w:pStyle w:val="TableContents"/>
              <w:bidi w:val="0"/>
              <w:spacing w:before="0" w:after="0"/>
              <w:jc w:val="left"/>
              <w:rPr/>
            </w:pPr>
            <w:r>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play</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proven geological formation that contains commercial amounts of hydrocarbons</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Holdco, LLC</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Term Loan Facility</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Permian Transmission Credit Facilities</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governed by the Credit Agreement, dated as of March 8, 2021, among Summit Permian Transmission, as borrower, MUFG Bank Ltd., as administrative agent, Mizuho Bank (USA), as collateral agent, ING Capital LLC, Mizuho Bank, Ltd. and MUFG Union Bank, N.A., as L/C issuers, coordinating lead arrangers and joint bookrunners, and the lenders from time to time party thereto</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produced water</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from underground geologic formations that is a by-product of natural gas and crude oil production</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42"/>
        <w:gridCol w:w="462"/>
        <w:gridCol w:w="467"/>
        <w:gridCol w:w="2736"/>
        <w:gridCol w:w="2400"/>
        <w:gridCol w:w="3398"/>
      </w:tblGrid>
      <w:tr>
        <w:trPr/>
        <w:tc>
          <w:tcPr>
            <w:tcW w:w="74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stock-based and noncash compensation, (vii) impairments and (viii) other noncash expenses or losses, less other noncash income or gains</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Certificate of Designation</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 of Series A Floating Rate Cumulative Redeemable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Perpetual Preferred Stock of the Company</w:t>
            </w:r>
          </w:p>
          <w:p>
            <w:pPr>
              <w:pStyle w:val="TableContents"/>
              <w:bidi w:val="0"/>
              <w:spacing w:before="0" w:after="0"/>
              <w:jc w:val="left"/>
              <w:rPr/>
            </w:pPr>
            <w:r>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Stock issued</w:t>
              <w:br/>
              <w:t>by the Company</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Units issued by SMLP</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shortfall payment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received from a counterparty when its volume throughput does not meet its MVC for the applicable period</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SMC LTIP</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 2024 Long-Term Incentive Plan</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SMLP</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SMLP LTIP</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2022 Long-Term Incentive Plan</w:t>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Secured Overnight Financing Rate </w:t>
            </w:r>
          </w:p>
          <w:p>
            <w:pPr>
              <w:pStyle w:val="TableContents"/>
              <w:bidi w:val="0"/>
              <w:spacing w:before="0" w:after="0"/>
              <w:ind w:left="0" w:right="0" w:hanging="180"/>
              <w:jc w:val="left"/>
              <w:rPr/>
            </w:pPr>
            <w:r>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 Rate Cumulative Redeemable Preferred Units issued by Permian Holdco</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Holdings, LLC</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Investments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LLC</w:t>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LLC</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Utica</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Utica, LLC</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Midstream Operating, LLC</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Acquisition</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consummation of the transaction contemplated by the Tall Oak Business Contribution Agreement</w:t>
            </w:r>
          </w:p>
          <w:p>
            <w:pPr>
              <w:pStyle w:val="TableContents"/>
              <w:bidi w:val="0"/>
              <w:spacing w:before="0" w:after="0"/>
              <w:jc w:val="left"/>
              <w:rPr/>
            </w:pPr>
            <w:r>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Business Contribution Agreement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 Contribution Agreement, dated as of October 1, 2024, by and among the Company, SMLP, and Tall Oak Parent, pursuant to which Tall Oak Parent contributed all of its equity interests in Tall Oak to SMLP in exchange for total consideration equal to $425.0 million</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Parent</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Tall Oak Midstream Holdings, LLC</w:t>
            </w:r>
          </w:p>
          <w:p>
            <w:pPr>
              <w:pStyle w:val="TableContents"/>
              <w:bidi w:val="0"/>
              <w:spacing w:before="0" w:after="0"/>
              <w:jc w:val="left"/>
              <w:rPr/>
            </w:pPr>
            <w:r>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 and its subsidiaries</w:t>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3"/>
        <w:gridCol w:w="495"/>
        <w:gridCol w:w="496"/>
        <w:gridCol w:w="2670"/>
        <w:gridCol w:w="2419"/>
        <w:gridCol w:w="3432"/>
      </w:tblGrid>
      <w:tr>
        <w:trPr/>
        <w:tc>
          <w:tcPr>
            <w:tcW w:w="6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throughput volume</w:t>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volume of natural gas, crude oil or produced water gathered, transported or passing through a pipeline, plant or other facility during a particular period; also referred to as volume throughput</w:t>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unconventional resource basin</w:t>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Utica Sale</w:t>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Summit Utica to a subsidiary of MPLX LP for a cash sale price of $625.0 million,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customary post-closing adjustments</w:t>
            </w:r>
          </w:p>
          <w:p>
            <w:pPr>
              <w:pStyle w:val="TableContents"/>
              <w:bidi w:val="0"/>
              <w:spacing w:before="0" w:after="0"/>
              <w:jc w:val="left"/>
              <w:rPr/>
            </w:pPr>
            <w:r>
              <w:rPr/>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wellhead</w:t>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equipment at the surface of a well, used to control the well’s pressure; also, the point at which the hydrocarbons and water exit the ground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795"/>
        <w:gridCol w:w="2305"/>
        <w:gridCol w:w="2334"/>
        <w:gridCol w:w="199"/>
        <w:gridCol w:w="885"/>
        <w:gridCol w:w="110"/>
        <w:gridCol w:w="110"/>
        <w:gridCol w:w="110"/>
        <w:gridCol w:w="110"/>
        <w:gridCol w:w="199"/>
        <w:gridCol w:w="885"/>
        <w:gridCol w:w="163"/>
      </w:tblGrid>
      <w:tr>
        <w:trPr/>
        <w:tc>
          <w:tcPr>
            <w:tcW w:w="279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b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br/>
              <w:t>2024</w:t>
            </w:r>
          </w:p>
        </w:tc>
      </w:tr>
      <w:tr>
        <w:trPr/>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 except share amounts)</w:t>
            </w:r>
          </w:p>
        </w:tc>
      </w:tr>
      <w:tr>
        <w:trPr/>
        <w:tc>
          <w:tcPr>
            <w:tcW w:w="7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ASSETS</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83,918 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77,058 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assets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119,763 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118,271 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plant and equipment,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1,852,458 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1,785,029 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assets, net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163,182 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154,279 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equity method investee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270,196 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269,561 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noncurrent assets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2,434,175 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2,359,484 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LIABILITIES AND EQUITY</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 accounts payable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46,397 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 valorem taxes payable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compensation and employee benefits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interest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environmental remediation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settlement payable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portion of long-term debt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150,607 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174,801 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75,840 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 net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1,067,172 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976,995 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Noncurrent deferred revenue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Noncurrent accrued environmental remediation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noncurrent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1,331,305 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1,261,413 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17"/>
              </w:rPr>
              <w:t>Commitments and contingencies (Note</w:t>
            </w:r>
            <w:r>
              <w:rPr>
                <w:color w:val="000000"/>
              </w:rPr>
              <w:t xml:space="preserve"> </w:t>
            </w:r>
            <w:r>
              <w:rPr>
                <w:rFonts w:ascii="Times New Roman;sans-serif" w:hAnsi="Times New Roman;sans-serif"/>
                <w:b w:val="false"/>
                <w:color w:val="000000"/>
                <w:sz w:val="17"/>
              </w:rPr>
              <w:t>9)</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Mezzanine Equity</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Subsidiary Series A Preferred Units (93,039 issued and outstanding as of March 31, 2025 and December 31, 2024)</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134,909 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132,946 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Equity</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A Preferred Stock (65,508 authorized as of March 31, 2025 and December 31, 2024; 65,508 issued and outstanding as of March 31, 2025 and December 31, 2024)</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110,789 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110,230 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(42,000,000 authorized as of March 31, 2025 and December 31, 2024; 12,241,098 and 10,659,220 issued and outstanding as of March 31, 2025 and December 31, 2024, respectively)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Class B Common Stock, $0.01 par value (7,471,008 shares authorized as of March 31, 2025 and December 31, 2024; 6,524,467 and 7,471,008 issued and outstanding as of March 31, 2025 and December 31, 2024, respectively)</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632,387 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540,714 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deficit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(185,220)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(183,333)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Company Stockholders’ equity</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558,143 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467,792 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409,818 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497,333 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967,961 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965,125 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EQUITY</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2,434,175 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2,359,484 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OPERATIONS</w:t>
      </w:r>
    </w:p>
    <w:tbl>
      <w:tblPr>
        <w:tblW w:w="9192" w:type="dxa"/>
        <w:jc w:val="left"/>
        <w:tblInd w:w="0" w:type="dxa"/>
        <w:tblLayout w:type="fixed"/>
        <w:tblCellMar>
          <w:top w:w="28" w:type="dxa"/>
          <w:left w:w="28" w:type="dxa"/>
          <w:bottom w:w="28" w:type="dxa"/>
          <w:right w:w="28" w:type="dxa"/>
        </w:tblCellMar>
      </w:tblPr>
      <w:tblGrid>
        <w:gridCol w:w="2019"/>
        <w:gridCol w:w="1774"/>
        <w:gridCol w:w="1786"/>
        <w:gridCol w:w="109"/>
        <w:gridCol w:w="109"/>
        <w:gridCol w:w="139"/>
        <w:gridCol w:w="139"/>
        <w:gridCol w:w="295"/>
        <w:gridCol w:w="1008"/>
        <w:gridCol w:w="152"/>
        <w:gridCol w:w="119"/>
        <w:gridCol w:w="119"/>
        <w:gridCol w:w="119"/>
        <w:gridCol w:w="231"/>
        <w:gridCol w:w="906"/>
        <w:gridCol w:w="168"/>
      </w:tblGrid>
      <w:tr>
        <w:trPr/>
        <w:tc>
          <w:tcPr>
            <w:tcW w:w="201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662" w:type="dxa"/>
            <w:gridSpan w:val="6"/>
            <w:tcBorders/>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132,697 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Subsidiary Series A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loss attributable to noncontrolling interest in SMLP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Summit Midstream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EQUITY</w:t>
      </w:r>
    </w:p>
    <w:tbl>
      <w:tblPr>
        <w:tblW w:w="11298" w:type="dxa"/>
        <w:jc w:val="center"/>
        <w:tblInd w:w="0" w:type="dxa"/>
        <w:tblLayout w:type="fixed"/>
        <w:tblCellMar>
          <w:top w:w="28" w:type="dxa"/>
          <w:left w:w="28" w:type="dxa"/>
          <w:bottom w:w="28" w:type="dxa"/>
          <w:right w:w="28" w:type="dxa"/>
        </w:tblCellMar>
      </w:tblPr>
      <w:tblGrid>
        <w:gridCol w:w="576"/>
        <w:gridCol w:w="177"/>
        <w:gridCol w:w="178"/>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81"/>
        <w:gridCol w:w="361"/>
        <w:gridCol w:w="109"/>
        <w:gridCol w:w="109"/>
        <w:gridCol w:w="109"/>
        <w:gridCol w:w="109"/>
        <w:gridCol w:w="198"/>
        <w:gridCol w:w="313"/>
        <w:gridCol w:w="120"/>
        <w:gridCol w:w="109"/>
        <w:gridCol w:w="109"/>
        <w:gridCol w:w="109"/>
        <w:gridCol w:w="181"/>
        <w:gridCol w:w="616"/>
        <w:gridCol w:w="109"/>
        <w:gridCol w:w="109"/>
        <w:gridCol w:w="109"/>
        <w:gridCol w:w="109"/>
        <w:gridCol w:w="181"/>
        <w:gridCol w:w="631"/>
        <w:gridCol w:w="109"/>
        <w:gridCol w:w="109"/>
        <w:gridCol w:w="109"/>
        <w:gridCol w:w="109"/>
        <w:gridCol w:w="212"/>
        <w:gridCol w:w="724"/>
        <w:gridCol w:w="130"/>
        <w:gridCol w:w="109"/>
        <w:gridCol w:w="109"/>
        <w:gridCol w:w="109"/>
        <w:gridCol w:w="181"/>
        <w:gridCol w:w="616"/>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Partners’ Capital </w:t>
              <w:br/>
              <w:t>(Before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br/>
              <w:t>(After Corporate Reorganization)</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Summit Midstream Corporation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7"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Equity,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497,333 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 paid on 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 withholdings and associated payments on vested Summit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Moonrise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Common Stock and Partnership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 impact of Up-C 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(12,280)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shift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(86,526)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Equity,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409,818 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967,961 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tbl>
      <w:tblPr>
        <w:tblW w:w="11238" w:type="dxa"/>
        <w:jc w:val="center"/>
        <w:tblInd w:w="0" w:type="dxa"/>
        <w:tblLayout w:type="fixed"/>
        <w:tblCellMar>
          <w:top w:w="28" w:type="dxa"/>
          <w:left w:w="28" w:type="dxa"/>
          <w:bottom w:w="28" w:type="dxa"/>
          <w:right w:w="28" w:type="dxa"/>
        </w:tblCellMar>
      </w:tblPr>
      <w:tblGrid>
        <w:gridCol w:w="500"/>
        <w:gridCol w:w="215"/>
        <w:gridCol w:w="216"/>
        <w:gridCol w:w="109"/>
        <w:gridCol w:w="109"/>
        <w:gridCol w:w="109"/>
        <w:gridCol w:w="181"/>
        <w:gridCol w:w="616"/>
        <w:gridCol w:w="109"/>
        <w:gridCol w:w="109"/>
        <w:gridCol w:w="109"/>
        <w:gridCol w:w="109"/>
        <w:gridCol w:w="181"/>
        <w:gridCol w:w="616"/>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95"/>
        <w:gridCol w:w="438"/>
        <w:gridCol w:w="118"/>
        <w:gridCol w:w="109"/>
        <w:gridCol w:w="109"/>
        <w:gridCol w:w="109"/>
        <w:gridCol w:w="181"/>
        <w:gridCol w:w="406"/>
        <w:gridCol w:w="109"/>
        <w:gridCol w:w="109"/>
        <w:gridCol w:w="109"/>
        <w:gridCol w:w="109"/>
        <w:gridCol w:w="277"/>
        <w:gridCol w:w="621"/>
        <w:gridCol w:w="168"/>
        <w:gridCol w:w="109"/>
        <w:gridCol w:w="109"/>
        <w:gridCol w:w="109"/>
        <w:gridCol w:w="181"/>
        <w:gridCol w:w="61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Partners’ Capital </w:t>
              <w:br/>
              <w:t>(Before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br/>
              <w:t>(After Corporate Reorganization)</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Summit Midstream Corporation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7"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Partners’ capital,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 withholdings and associated payments on vested Summit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Partners’ capital,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848,614 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CASH FLOWS</w:t>
      </w:r>
    </w:p>
    <w:tbl>
      <w:tblPr>
        <w:tblW w:w="7931" w:type="dxa"/>
        <w:jc w:val="left"/>
        <w:tblInd w:w="0" w:type="dxa"/>
        <w:tblLayout w:type="fixed"/>
        <w:tblCellMar>
          <w:top w:w="28" w:type="dxa"/>
          <w:left w:w="28" w:type="dxa"/>
          <w:bottom w:w="28" w:type="dxa"/>
          <w:right w:w="28" w:type="dxa"/>
        </w:tblCellMar>
      </w:tblPr>
      <w:tblGrid>
        <w:gridCol w:w="2054"/>
        <w:gridCol w:w="1808"/>
        <w:gridCol w:w="1822"/>
        <w:gridCol w:w="187"/>
        <w:gridCol w:w="592"/>
        <w:gridCol w:w="113"/>
        <w:gridCol w:w="113"/>
        <w:gridCol w:w="113"/>
        <w:gridCol w:w="113"/>
        <w:gridCol w:w="187"/>
        <w:gridCol w:w="670"/>
        <w:gridCol w:w="159"/>
      </w:tblGrid>
      <w:tr>
        <w:trPr/>
        <w:tc>
          <w:tcPr>
            <w:tcW w:w="2054"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Three Months Ended March 31,</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operating activities: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Net income </w:t>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132,927 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Adjustments to reconcile net income (loss) to net cash provided by operating activities: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Deferred income taxes </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28,752 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28,102 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Amortization of debt issuance costs and other</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Equity compensation</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from equity method investees</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(10,638)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from equity method investees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on asset sales, net</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gain and other</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on fair value of earn-out</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loss on sale of business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(86,202)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on sale of equity method investment</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(126,261)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loss on interest rate swaps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Long-lived asset impairment</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67,916 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Changes in operating assets and liabilities: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(3,378)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Trade accounts payable</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7,114 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 net</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 valorem taxes payable</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(4,449)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(5,261)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interest</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(12,730)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25,528 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environmental remediation, net</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net</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operating activities</w:t>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16,030 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43,616 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investing activities:</w:t>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 expenditures</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(20,606)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Utica Sale (excluding Ohio Gathering)</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Ohio Gathering</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332,734 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consideration paid for the acquisition of Moonrise, net of cash acquired</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(69,997)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asset sale</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Investment in Double E equity method investee</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(used in) investing activities</w:t>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(93,091)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608,629 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financing activities:</w:t>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ABL Facility</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(313,000)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Permian Transmission Term Loan</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Borrowings on Amended and Restated ABL Facility</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Additional 2029 Secured Notes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258,438 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on Subsidiary Series A Preferred Units</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issuance costs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on Series A Preferred Shareholders</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net</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(used in) financing activities</w:t>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81,466 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(320,846)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change in cash, cash equivalents and restricted cash</w:t>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4,405 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331,399 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cash equivalents and restricted cash, beginning of period</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25,199 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16,645 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cash equivalents and restricted cash, end of period</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29,604 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348,044 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BUSINESS OPERATIONS, CORPORATE REORGANIZATION AND PRESENTATION AND CONSOLIDATION</w:t>
      </w:r>
    </w:p>
    <w:p>
      <w:pPr>
        <w:pStyle w:val="TextBody"/>
        <w:bidi w:val="0"/>
        <w:spacing w:lineRule="auto" w:line="288" w:before="120" w:after="283"/>
        <w:jc w:val="left"/>
        <w:rPr/>
      </w:pPr>
      <w:r>
        <w:rPr>
          <w:rFonts w:ascii="Times New Roman;sans-serif" w:hAnsi="Times New Roman;sans-serif"/>
          <w:b/>
          <w:i/>
          <w:color w:val="000000"/>
          <w:sz w:val="20"/>
        </w:rPr>
        <w:t>Organization.</w:t>
      </w:r>
      <w:r>
        <w:rPr>
          <w:color w:val="000000"/>
        </w:rPr>
        <w:t> </w:t>
      </w:r>
      <w:r>
        <w:rPr>
          <w:rFonts w:ascii="Times New Roman;sans-serif" w:hAnsi="Times New Roman;sans-serif"/>
          <w:b w:val="false"/>
          <w:color w:val="000000"/>
          <w:sz w:val="20"/>
        </w:rPr>
        <w:t>Summit Midstream Corporation (including its subsidiaries, collectively the “Company”) was incorporated under the laws of the State of Delaware on May 14, 2024 for the purpose of effecting the reorganization (the “Corporate Reorganization”) of Summit Midstream Partners, LP, a Delaware master limited partnership (“SMLP”), in which the Company was incorporated to serve as the new parent holding company of SMLP. The Company’s common stock, par value $0.01 per share (“common stock”), is listed on the New York Stock Exchange (“NYSE”) under the ticker symbol “SMC.” SMLP was formed in May 2012, and prior to August 1, 2024, SMLP’s common units were listed on the NYSE under the ticker symbol “SMLP.” Upon completion of the Tall Oak Acquisition (as defined herein) on December 2, 2024, ownership of SMLP shifted to an Up</w:t>
        <w:noBreakHyphen/>
        <w:t>C tax structure, with the Company owning SMLP alongside holders of a noncontrolling limited partnership interest.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value-oriented company focused on developing, owning and operating midstream energy infrastructure assets that are strategically located in the core producing areas of unconventional resource basins, primarily shale formations, in the continental United States. The Company’s business activities are primarily conducted through various operating subsidiaries, each of which is owned or controlled by its subsidiary holding company, Summit Midstream Holdings, LLC, a Delaware limited liability company (“Summit Holdings”).</w:t>
      </w:r>
    </w:p>
    <w:p>
      <w:pPr>
        <w:pStyle w:val="TextBody"/>
        <w:bidi w:val="0"/>
        <w:spacing w:lineRule="auto" w:line="288" w:before="120" w:after="283"/>
        <w:jc w:val="left"/>
        <w:rPr/>
      </w:pPr>
      <w:r>
        <w:rPr>
          <w:rFonts w:ascii="Times New Roman;sans-serif" w:hAnsi="Times New Roman;sans-serif"/>
          <w:b/>
          <w:i/>
          <w:color w:val="000000"/>
          <w:sz w:val="20"/>
        </w:rPr>
        <w:t>Business Operations.</w:t>
      </w:r>
      <w:r>
        <w:rPr>
          <w:color w:val="000000"/>
        </w:rPr>
        <w:t> </w:t>
      </w:r>
      <w:r>
        <w:rPr>
          <w:rFonts w:ascii="Times New Roman;sans-serif" w:hAnsi="Times New Roman;sans-serif"/>
          <w:b w:val="false"/>
          <w:color w:val="000000"/>
          <w:sz w:val="20"/>
        </w:rPr>
        <w:t>The Company provides natural gas gathering, compression, treating and processing services as well as crude oil and produced water gathering services pursuant to primarily long-term, fee-based agreements with its customers. In addition to these services, the Company also provides freshwater delivery services pursuant to short-term agreements with customers. The Company’s results are primarily driven by the volumes of natural gas that it transports, gathers, compresses, treats and/or processes as well as by the volumes of crude oil and produced water that it gathers.</w:t>
      </w:r>
    </w:p>
    <w:p>
      <w:pPr>
        <w:pStyle w:val="TextBody"/>
        <w:bidi w:val="0"/>
        <w:spacing w:lineRule="auto" w:line="288" w:before="120" w:after="283"/>
        <w:jc w:val="left"/>
        <w:rPr/>
      </w:pPr>
      <w:r>
        <w:rPr>
          <w:rFonts w:ascii="Times New Roman;sans-serif" w:hAnsi="Times New Roman;sans-serif"/>
          <w:b/>
          <w:i/>
          <w:color w:val="000000"/>
          <w:sz w:val="20"/>
        </w:rPr>
        <w:t>Corporate Reorganization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In connection with the Corporate Reorganization, SMLP entered into an Agreement and Plan of Merger (the “Merger Agreement”), by and among SMLP, the Company, Summit SMC NewCo, LLC (“Merger Sub”), a wholly owned subsidiary of the Company, and the General Partner. Pursuant to the Merger Agreement, Merger Sub merged with and into SMLP (the “Merger”), with SMLP continuing as the surviving entity and a wholly owned subsidiary of the Company, with (i) each then outstanding common unit representing limited partner interests in SMLP automatically converting into the right to receive one share of the Company’s common stock and (ii) each then outstanding Series A Preferred Unit automatically converting into the right to receive one share of Series A Preferred Stock. The Merger was accounted for as a common-control transaction between SMLP and Summit Midstream Corporation as a result of SMLP’s unitholders controlling both SMLP and Summit Midstream Corporation before and after the Merger. Upon consummation of the Corporate Reorganization, Summit Midstream Corporation recognized (i) income tax expense in its consolidated statements of operations for temporary differences that existed as of the date of the Corporate Reorganization, (ii) a tax benefit to equity due to changes in tax bases of assets and liabilities and (iii) a net deferred tax liability in its consolidated balance sheets. Upon completion of the Merger, SMLP’s common limited partner capital accounts were eliminated and replaced with shares of common stock, paid in capital, and retained deficit. Additionally, the Series A Preferred Units were exchanged for an equivalent number of shares of Series A Preferred Stock, with no substantive changes in contractual terms or investor cash flows.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Corporate Reorganization, periods prior to August 1, 2024 reflect Summit Midstream as a limited partnership, not a corporation. References to common units for periods prior to the Corporate Reorganization refer to common units of SMLP, and references to common stock for periods following the Corporate Reorganization refer to shares of common stock of the Company. The primary financial impacts of the Corporate Reorganization to the consolidated financial statements were (i) reclassification of the partnership capital accounts to equity accounts reflective of a corporation and (ii) income tax effects.</w:t>
      </w:r>
    </w:p>
    <w:p>
      <w:pPr>
        <w:pStyle w:val="TextBody"/>
        <w:bidi w:val="0"/>
        <w:spacing w:lineRule="auto" w:line="288" w:before="120" w:after="283"/>
        <w:jc w:val="left"/>
        <w:rPr/>
      </w:pPr>
      <w:r>
        <w:rPr>
          <w:rFonts w:ascii="Times New Roman;sans-serif" w:hAnsi="Times New Roman;sans-serif"/>
          <w:b/>
          <w:i/>
          <w:color w:val="000000"/>
          <w:sz w:val="20"/>
        </w:rPr>
        <w:t>Presentation and Consolidation.</w:t>
      </w:r>
      <w:r>
        <w:rPr>
          <w:color w:val="000000"/>
        </w:rPr>
        <w:t> </w:t>
      </w:r>
      <w:r>
        <w:rPr>
          <w:rFonts w:ascii="Times New Roman;sans-serif" w:hAnsi="Times New Roman;sans-serif"/>
          <w:b w:val="false"/>
          <w:color w:val="000000"/>
          <w:sz w:val="20"/>
        </w:rPr>
        <w:t>The Company prepares its condensed consolidated financial statements in accordance with GAAP as established by the 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Company’s Annual Report on Form 10-K for the year ended December 31, 2024 (the “2024 Annual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assets, liabilities and results of operations of the Company.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RECENTLY ISSUED ACCOUNTING STANDARDS APPLICABLE TO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Company’s significant accounting policies since December 31, 2024.</w:t>
      </w:r>
    </w:p>
    <w:p>
      <w:pPr>
        <w:pStyle w:val="TextBody"/>
        <w:bidi w:val="0"/>
        <w:spacing w:lineRule="auto" w:line="288" w:before="120" w:after="120"/>
        <w:jc w:val="left"/>
        <w:rPr/>
      </w:pPr>
      <w:r>
        <w:rPr>
          <w:rFonts w:ascii="Times New Roman;sans-serif" w:hAnsi="Times New Roman;sans-serif"/>
          <w:b/>
          <w:i/>
          <w:color w:val="000000"/>
          <w:sz w:val="20"/>
        </w:rPr>
        <w:t xml:space="preserve">New accounting standards not yet implemented. </w:t>
      </w:r>
      <w:r>
        <w:rPr>
          <w:rFonts w:ascii="Times New Roman;sans-serif" w:hAnsi="Times New Roman;sans-serif"/>
          <w:b w:val="false"/>
          <w:color w:val="000000"/>
          <w:sz w:val="20"/>
        </w:rPr>
        <w:t>ASU 2023-09, Income Taxes (Topic 740): Improvements to Income Tax Disclosures (“ASU 2023-09”). ASU 2023-09 requires additional transparency for income tax disclosures, including the income tax rate reconciliation table and cash taxes paid both in the United States and foreign jurisdictions. This standard is effective for annual periods beginning after December 15, 2024. The Company is currently assessing the impact this standard will have on our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2024-03, Income Statement - Reporting Comprehensive Income - Expense Disaggregation Disclosures (Subtopic 220-40): Disaggregation of Income Statement Expenses (“ASU 2024-03”). ASU 2024-03 is 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assessing the impact this standard will have on our disclosures within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ACQUISITIONS AND DIVESTITURES</w:t>
      </w:r>
    </w:p>
    <w:p>
      <w:pPr>
        <w:pStyle w:val="TextBody"/>
        <w:bidi w:val="0"/>
        <w:spacing w:lineRule="auto" w:line="288" w:before="120" w:after="120"/>
        <w:jc w:val="left"/>
        <w:rPr/>
      </w:pPr>
      <w:r>
        <w:rPr>
          <w:rFonts w:ascii="Times New Roman;sans-serif" w:hAnsi="Times New Roman;sans-serif"/>
          <w:b/>
          <w:i/>
          <w:color w:val="000000"/>
          <w:sz w:val="20"/>
        </w:rPr>
        <w:t xml:space="preserve">Moonrise Acquisition. </w:t>
      </w:r>
      <w:r>
        <w:rPr>
          <w:rFonts w:ascii="Times New Roman;sans-serif" w:hAnsi="Times New Roman;sans-serif"/>
          <w:b w:val="false"/>
          <w:color w:val="000000"/>
          <w:sz w:val="20"/>
        </w:rPr>
        <w:t>On March 10, 2025, the Company completed the transaction contemplated in the Membership Interest Purchase Agreement, dated as of March 10, 2025, by and among the Company, Summit Holdings, Fundare Resources Company HoldCo, LLC, a Delaware limited liability company (“Fundare”), and solely for purposes of Section 9.19 thereto, Fundare Resources Company, LLC, a Delaware limited liability company, pursuant to which Fundare contributed all of its equity interests in Moonrise Midstream, LLC, a Delaware limited liability company (“Moonrise”), to Summit Holdings in exchange for total consideration equal to approximately $90.0 million (the “Moonrise Acquisition”). Total consideration consisted of (i) a $70.0 million cash payment and (ii) the issuance of 462,265 shares of common stock of the Company.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certain assets and liabilities, including property, plant and equipment and other intangible assets required the use of significant judgements and estimates. As a result, the provisional measurements below are preliminary and subject to change during the measurement period and such changes could be material. The Company continues to assess the fair values of the assets acquired and liabilities assumed.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preliminary fair value of the assets acquired and liabilities assumed as of the acquisition date. Certain data and assessments necessary to complete the purchase price allocation are still under evaluation, including, but not limited to, the final actualization of accrued liabilities and receivable balances and the valuation of property, plant and equipment and intangible assets. The Company will finalize the purchase price allocation during the twelve-month period following the acquisition date, during which time the value of the assets and liabilities may be revised as appropriate.</w:t>
      </w:r>
    </w:p>
    <w:tbl>
      <w:tblPr>
        <w:tblW w:w="7712" w:type="dxa"/>
        <w:jc w:val="left"/>
        <w:tblInd w:w="0" w:type="dxa"/>
        <w:tblLayout w:type="fixed"/>
        <w:tblCellMar>
          <w:top w:w="28" w:type="dxa"/>
          <w:left w:w="28" w:type="dxa"/>
          <w:bottom w:w="28" w:type="dxa"/>
          <w:right w:w="28" w:type="dxa"/>
        </w:tblCellMar>
      </w:tblPr>
      <w:tblGrid>
        <w:gridCol w:w="2281"/>
        <w:gridCol w:w="2003"/>
        <w:gridCol w:w="2015"/>
        <w:gridCol w:w="109"/>
        <w:gridCol w:w="109"/>
        <w:gridCol w:w="109"/>
        <w:gridCol w:w="211"/>
        <w:gridCol w:w="721"/>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Moonrise Preliminary Purchase Price Allocation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Total consideration paid for Moonrise </w:t>
            </w:r>
            <w:r>
              <w:rPr>
                <w:rFonts w:ascii="Times New Roman;sans-serif" w:hAnsi="Times New Roman;sans-serif"/>
                <w:b/>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Recognized amounts of identifiable assets acquired and liabilities assumed: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 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Purchase price consideration includes $17.9 million of equity consideration (462,265 shares valued at $38.71 per share on March 10, 2025) as well as $1.9 million of cash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assets acquired and liabilities assumed were recorded at their preliminary estimated fair values at the date of the acquisition. Acquired working capital amounts are expected to approximate fair value due to their short-term nature. The valuation of certain assets, including property, are based on preliminary appraisals. The fair value of acquired equipment is based on both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 for industry peers.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acquired consist of rights-of-way with a weighted average amortization period of approximately 30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the date of the Moonrise Acquisition through March 31, 2025, revenues and operating income associated with the operations acquired through the acquisition totaled $6.1 million and $0.9 million, respectively.</w:t>
      </w:r>
    </w:p>
    <w:p>
      <w:pPr>
        <w:pStyle w:val="TextBody"/>
        <w:bidi w:val="0"/>
        <w:spacing w:lineRule="auto" w:line="288" w:before="120" w:after="120"/>
        <w:jc w:val="left"/>
        <w:rPr/>
      </w:pPr>
      <w:r>
        <w:rPr>
          <w:rFonts w:ascii="Times New Roman;sans-serif" w:hAnsi="Times New Roman;sans-serif"/>
          <w:b/>
          <w:i/>
          <w:color w:val="000000"/>
          <w:sz w:val="20"/>
        </w:rPr>
        <w:t>Tall Oak Business Contribution Agreement.</w:t>
      </w:r>
      <w:r>
        <w:rPr>
          <w:color w:val="000000"/>
        </w:rPr>
        <w:t xml:space="preserve"> </w:t>
      </w:r>
      <w:r>
        <w:rPr>
          <w:rFonts w:ascii="Times New Roman;sans-serif" w:hAnsi="Times New Roman;sans-serif"/>
          <w:b w:val="false"/>
          <w:color w:val="000000"/>
          <w:sz w:val="20"/>
        </w:rPr>
        <w:t>On December 2, 2024, the Company completed the transaction contemplated in the Business Contribution Agreement (the “Tall Oak Business Contribution Agreement”), by and among the Company, SMLP, and Tall Oak Midstream Holdings, LLC, a Delaware limited liability company (“Tall Oak Parent”), pursuant to which Tall Oak Parent contributed all of its equity interests in Tall Oak Midstream Operating, LLC, a Delaware limited liability company (“Tall Oak”), to the Company in exchange for an aggregate amount equal to (i) $425.0 million, consisting of (a) $155.0 million in cash consideration, subject to certain adjustments contemplated by the Tall Oak Business Contribution Agreement, and (b) 7,471,008 shares of Class B Common Stock and 7,471,008 Partnership Common Units, plus (ii) potential cumulative earn-out payments continuing through March 31, 2026, not to exceed $25.0 million in the aggregate, that Tall Oak Parent may become entitled to receive pursuant to the Tall Oak Business Contribution Agreement, subject to Tall Oak and its customers meeting certain development requirements (the “Tall Oak Acquisition”). During the year ended December 31, 2024 the Company paid $0.8 million to Tall Oak Midstream Management, LLC for transition services in connection with the Tall Oak acquisition, which is recorded within general and administrative expense on the consolidated statements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material changes were made during the three months ended March 31, 2025 to the provisional purchase accounting measurements initially recorded in December 2024 for the Tall Oak Acquisition. The provisional measurements are subject to change during the measurement period and such changes could be material. The Company continues to assess the fair values of the assets acquired and liabilities assumed. Certain data and assessments necessary to complete the purchase price allocation are still under evaluation, including, but not limited to, the final actualization of accrued liabilities and receivable balances and the valuation of property, plant and equipment and intangible assets. The Company will finalize the purchase price allocation during the twelve-month period following the acquisition date, during which time the value of the assets and liabilities may be revised as appropriate.</w:t>
      </w:r>
    </w:p>
    <w:p>
      <w:pPr>
        <w:pStyle w:val="TextBody"/>
        <w:bidi w:val="0"/>
        <w:spacing w:lineRule="auto" w:line="288" w:before="120" w:after="283"/>
        <w:jc w:val="left"/>
        <w:rPr/>
      </w:pPr>
      <w:r>
        <w:rPr>
          <w:rFonts w:ascii="Times New Roman;sans-serif" w:hAnsi="Times New Roman;sans-serif"/>
          <w:b/>
          <w:i/>
          <w:color w:val="000000"/>
          <w:sz w:val="20"/>
        </w:rPr>
        <w:t xml:space="preserve">Pro Forma Information (Unaudited). </w:t>
      </w:r>
      <w:r>
        <w:rPr>
          <w:rFonts w:ascii="Times New Roman;sans-serif" w:hAnsi="Times New Roman;sans-serif"/>
          <w:b w:val="false"/>
          <w:color w:val="000000"/>
          <w:sz w:val="20"/>
        </w:rPr>
        <w:t xml:space="preserve">The following table summarizes the unaudited pro forma condensed financial information of the Company as if the Moonrise Acquisition and Tall Oak Acquisition had occurred on January 1, 2024: </w:t>
      </w:r>
    </w:p>
    <w:tbl>
      <w:tblPr>
        <w:tblW w:w="3713" w:type="dxa"/>
        <w:jc w:val="left"/>
        <w:tblInd w:w="0" w:type="dxa"/>
        <w:tblLayout w:type="fixed"/>
        <w:tblCellMar>
          <w:top w:w="28" w:type="dxa"/>
          <w:left w:w="28" w:type="dxa"/>
          <w:bottom w:w="28" w:type="dxa"/>
          <w:right w:w="28" w:type="dxa"/>
        </w:tblCellMar>
      </w:tblPr>
      <w:tblGrid>
        <w:gridCol w:w="380"/>
        <w:gridCol w:w="333"/>
        <w:gridCol w:w="336"/>
        <w:gridCol w:w="211"/>
        <w:gridCol w:w="826"/>
        <w:gridCol w:w="109"/>
        <w:gridCol w:w="109"/>
        <w:gridCol w:w="109"/>
        <w:gridCol w:w="109"/>
        <w:gridCol w:w="211"/>
        <w:gridCol w:w="826"/>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information is for information purposes only and is not necessarily indicative of the operating results that would have occurred had the Moonrise Acquisition and Tall Oak Acquisition been completed at January 1, 2024, nor is it necessarily indicative of future operating results. </w:t>
      </w:r>
    </w:p>
    <w:p>
      <w:pPr>
        <w:pStyle w:val="TextBody"/>
        <w:bidi w:val="0"/>
        <w:spacing w:lineRule="auto" w:line="288" w:before="120" w:after="120"/>
        <w:jc w:val="left"/>
        <w:rPr/>
      </w:pPr>
      <w:r>
        <w:rPr>
          <w:rFonts w:ascii="Times New Roman;sans-serif" w:hAnsi="Times New Roman;sans-serif"/>
          <w:b/>
          <w:i/>
          <w:color w:val="000000"/>
          <w:sz w:val="20"/>
        </w:rPr>
        <w:t>Summit Utica Sale.</w:t>
      </w:r>
      <w:r>
        <w:rPr>
          <w:color w:val="000000"/>
        </w:rPr>
        <w:t xml:space="preserve"> </w:t>
      </w:r>
      <w:r>
        <w:rPr>
          <w:rFonts w:ascii="Times New Roman;sans-serif" w:hAnsi="Times New Roman;sans-serif"/>
          <w:b w:val="false"/>
          <w:color w:val="000000"/>
          <w:sz w:val="20"/>
        </w:rPr>
        <w:t xml:space="preserve">On March 22, 2024, SMLP completed the disposition of Summit Utica to a subsidiary of MPLX LP for a cash sale price of $625.0 million, subject to customary post-closing adjustments (the “Utica Sale”). Summit Utica was the owner of (i) approximately 36% of the issued and outstanding equity interests in OGC, (ii) approximately 38% of the issued and outstanding equity interests in OCC and (iii) midstream assets located in the Utica Shale. Ohio Gathering was the owner of a natural gas gathering system and condensate stabilization facility located in Belmont and Monroe counties in the Utica Shale in southeastern Ohio.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quarterly period ended March 31, 2024, SMLP recognized a total gain on the disposition of Summit Utica of $212.5 million based on total cash proceeds received of $625.0 million and net assets sold of $412.5 million. A portion of the cash proceeds was used to reduce amounts outstanding under the ABL Facility and pay the costs and expenses in connection with the Asset Sale Offer (as defined below; see Note 8 - Debt, for additional information) and are subject to final working capital adjustments.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$625.0 million sale price did not discretely list values for OGC, OCC or SMLP’s midstream assets located in the Utica Shale. Using fair value methods allowed by GAAP, SMLP derived a preliminary fair value estimate for the disposed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then determined the appropriate gain recognition amount for each disposal to include in its consolidated financial statements. The fair values were determined utilizing a discounted cash flow technique based on estimated revenues, costs, capital expenditures and an appropriate discount rate. Given the unobservable nature of the inputs, the fair value measurement is deemed to use Level 3 inputs. Based on these fair values, SMLP recognized a gain on the disposition of the Utica midstream business of $86.2 million, which is recorded within gain on sale of business in the Company’s consolidated statements of operations, and a gain of $126.3 million related to the disposition of Ohio Gathering, which is recorded within gain on sale of Ohio Gathering in the Company’s consolidated statements of operations. </w:t>
      </w:r>
    </w:p>
    <w:p>
      <w:pPr>
        <w:pStyle w:val="TextBody"/>
        <w:bidi w:val="0"/>
        <w:spacing w:lineRule="auto" w:line="288" w:before="120" w:after="120"/>
        <w:jc w:val="left"/>
        <w:rPr/>
      </w:pPr>
      <w:r>
        <w:rPr>
          <w:rFonts w:ascii="Times New Roman;sans-serif" w:hAnsi="Times New Roman;sans-serif"/>
          <w:b/>
          <w:i/>
          <w:color w:val="000000"/>
          <w:sz w:val="20"/>
        </w:rPr>
        <w:t>Mountaineer Midstream System.</w:t>
      </w:r>
      <w:r>
        <w:rPr>
          <w:color w:val="000000"/>
        </w:rPr>
        <w:t xml:space="preserve"> </w:t>
      </w:r>
      <w:r>
        <w:rPr>
          <w:rFonts w:ascii="Times New Roman;sans-serif" w:hAnsi="Times New Roman;sans-serif"/>
          <w:b w:val="false"/>
          <w:color w:val="000000"/>
          <w:sz w:val="20"/>
        </w:rPr>
        <w:t>On May 1, 2024, SMLP completed the sale of its Mountaineer Midstream system, to Antero Midstream LLC for a cash sale price of $70.0 million, (the “Mountaineer Transaction”). Mountaineer Midstream was the owner of midstream assets located in the Marcellus Shale. Prior to closing the Mountaineer Transaction, SMLP sold related compression assets located in the Marcellus Shale to a compression service provider for cash consideration of approximately $5 million in April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SMLP recognized an impairment of $68.0 million in connection with the Mountaineer Transaction and the sale of compression assets based on their estimated fair value and net assets of approximately $143.0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estimated revenue, as of March 31, 2025, expected to be recognized during the remainder of 2025 and over the remaining contract period related to performance obligations that are unsatisfied and are comprised of estimated MVC shortfall payments.</w:t>
      </w:r>
    </w:p>
    <w:tbl>
      <w:tblPr>
        <w:tblW w:w="10171" w:type="dxa"/>
        <w:jc w:val="left"/>
        <w:tblInd w:w="0" w:type="dxa"/>
        <w:tblLayout w:type="fixed"/>
        <w:tblCellMar>
          <w:top w:w="28" w:type="dxa"/>
          <w:left w:w="28" w:type="dxa"/>
          <w:bottom w:w="28" w:type="dxa"/>
          <w:right w:w="28" w:type="dxa"/>
        </w:tblCellMar>
      </w:tblPr>
      <w:tblGrid>
        <w:gridCol w:w="1058"/>
        <w:gridCol w:w="930"/>
        <w:gridCol w:w="93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54"/>
        <w:gridCol w:w="490"/>
        <w:gridCol w:w="187"/>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Revenue by category.</w:t>
      </w:r>
      <w:r>
        <w:rPr>
          <w:color w:val="000000"/>
        </w:rPr>
        <w:t> </w:t>
      </w:r>
      <w:r>
        <w:rPr>
          <w:rFonts w:ascii="Times New Roman;sans-serif" w:hAnsi="Times New Roman;sans-serif"/>
          <w:b w:val="false"/>
          <w:color w:val="000000"/>
          <w:sz w:val="20"/>
        </w:rPr>
        <w:t>In the following tables, revenue is disaggregated by geographic area and major products and services. For more detailed information about reportable segments, see Note 16 – Segment Information.</w:t>
      </w:r>
    </w:p>
    <w:tbl>
      <w:tblPr>
        <w:tblW w:w="10205" w:type="dxa"/>
        <w:jc w:val="left"/>
        <w:tblInd w:w="0" w:type="dxa"/>
        <w:tblLayout w:type="fixed"/>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132,697 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PROPERTY, PLANT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on the Company’s property, plant and equipment follow.</w:t>
      </w:r>
    </w:p>
    <w:tbl>
      <w:tblPr>
        <w:tblW w:w="7893" w:type="dxa"/>
        <w:jc w:val="left"/>
        <w:tblInd w:w="0" w:type="dxa"/>
        <w:tblLayout w:type="fixed"/>
        <w:tblCellMar>
          <w:top w:w="28" w:type="dxa"/>
          <w:left w:w="28" w:type="dxa"/>
          <w:bottom w:w="28" w:type="dxa"/>
          <w:right w:w="28" w:type="dxa"/>
        </w:tblCellMar>
      </w:tblPr>
      <w:tblGrid>
        <w:gridCol w:w="1712"/>
        <w:gridCol w:w="1502"/>
        <w:gridCol w:w="1511"/>
        <w:gridCol w:w="211"/>
        <w:gridCol w:w="976"/>
        <w:gridCol w:w="109"/>
        <w:gridCol w:w="109"/>
        <w:gridCol w:w="109"/>
        <w:gridCol w:w="109"/>
        <w:gridCol w:w="243"/>
        <w:gridCol w:w="1125"/>
        <w:gridCol w:w="17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2,372,881 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line fill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2,509,611 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(724,582)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1,785,029 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and capitalized interest for the Company follow.</w:t>
      </w:r>
    </w:p>
    <w:tbl>
      <w:tblPr>
        <w:tblW w:w="4765" w:type="dxa"/>
        <w:jc w:val="left"/>
        <w:tblInd w:w="0" w:type="dxa"/>
        <w:tblLayout w:type="fixed"/>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721"/>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EQUITY METHOD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has an equity method investment in Double E, the balance of which is included in the Investment in equity method investees caption on the unaudited condensed consolidated balance sheets. On March 22, 2024, in connection with the Utica Sale, the Company sold its investment in Ohio Gathering and recognized $126.3 million gain, which is recorded within Gain on sale of equity method investment within the unaudited condensed consolidated statements of operations. See Note 3 - Acquisitions and Divestitures for additional information.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DEFERRED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in deferred revenue as of March 31, 2025 and December 31, 2024 are primarily related to contributions in aid of construction which will be recognized as revenue over the life of the contract. An update of current deferred revenue follows.</w:t>
      </w:r>
    </w:p>
    <w:tbl>
      <w:tblPr>
        <w:tblW w:w="5174" w:type="dxa"/>
        <w:jc w:val="left"/>
        <w:tblInd w:w="0" w:type="dxa"/>
        <w:tblLayout w:type="fixed"/>
        <w:tblCellMar>
          <w:top w:w="28" w:type="dxa"/>
          <w:left w:w="28" w:type="dxa"/>
          <w:bottom w:w="28" w:type="dxa"/>
          <w:right w:w="28" w:type="dxa"/>
        </w:tblCellMar>
      </w:tblPr>
      <w:tblGrid>
        <w:gridCol w:w="1442"/>
        <w:gridCol w:w="1271"/>
        <w:gridCol w:w="1276"/>
        <w:gridCol w:w="255"/>
        <w:gridCol w:w="744"/>
        <w:gridCol w:w="186"/>
      </w:tblGrid>
      <w:tr>
        <w:trPr/>
        <w:tc>
          <w:tcPr>
            <w:tcW w:w="14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December 31, 2024</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and other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March 31, 2025</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noncurrent deferred revenue follows.</w:t>
      </w:r>
    </w:p>
    <w:tbl>
      <w:tblPr>
        <w:tblW w:w="6030" w:type="dxa"/>
        <w:jc w:val="left"/>
        <w:tblInd w:w="0" w:type="dxa"/>
        <w:tblLayout w:type="fixed"/>
        <w:tblCellMar>
          <w:top w:w="28" w:type="dxa"/>
          <w:left w:w="28" w:type="dxa"/>
          <w:bottom w:w="28" w:type="dxa"/>
          <w:right w:w="28" w:type="dxa"/>
        </w:tblCellMar>
      </w:tblPr>
      <w:tblGrid>
        <w:gridCol w:w="1755"/>
        <w:gridCol w:w="1543"/>
        <w:gridCol w:w="1547"/>
        <w:gridCol w:w="230"/>
        <w:gridCol w:w="787"/>
        <w:gridCol w:w="168"/>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December 31, 2024</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to current deferred revenue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March 31, 2025</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for the Company at March 31, 2025 and December 31, 2024, follows:</w:t>
      </w:r>
    </w:p>
    <w:tbl>
      <w:tblPr>
        <w:tblW w:w="10205" w:type="dxa"/>
        <w:jc w:val="left"/>
        <w:tblInd w:w="0" w:type="dxa"/>
        <w:tblLayout w:type="fixed"/>
        <w:tblCellMar>
          <w:top w:w="28" w:type="dxa"/>
          <w:left w:w="28" w:type="dxa"/>
          <w:bottom w:w="28" w:type="dxa"/>
          <w:right w:w="28" w:type="dxa"/>
        </w:tblCellMar>
      </w:tblPr>
      <w:tblGrid>
        <w:gridCol w:w="2683"/>
        <w:gridCol w:w="2231"/>
        <w:gridCol w:w="2246"/>
        <w:gridCol w:w="211"/>
        <w:gridCol w:w="976"/>
        <w:gridCol w:w="109"/>
        <w:gridCol w:w="109"/>
        <w:gridCol w:w="109"/>
        <w:gridCol w:w="109"/>
        <w:gridCol w:w="251"/>
        <w:gridCol w:w="985"/>
        <w:gridCol w:w="186"/>
      </w:tblGrid>
      <w:tr>
        <w:trPr/>
        <w:tc>
          <w:tcPr>
            <w:tcW w:w="2683"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Amended and Restated ABL Facility</w:t>
            </w:r>
            <w:r>
              <w:rPr>
                <w:rFonts w:ascii="Times New Roman;sans-serif" w:hAnsi="Times New Roman;sans-serif"/>
                <w:b w:val="false"/>
                <w:color w:val="000000"/>
                <w:sz w:val="20"/>
              </w:rPr>
              <w:t>: Summit Holdings’ asset based credit facility due July 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Permian Transmission Term Loan</w:t>
            </w:r>
            <w:r>
              <w:rPr>
                <w:rFonts w:ascii="Times New Roman;sans-serif" w:hAnsi="Times New Roman;sans-serif"/>
                <w:b w:val="false"/>
                <w:color w:val="000000"/>
                <w:sz w:val="20"/>
              </w:rPr>
              <w:t>: Summit Permian Transmission’s variable rate senior secured term loan due January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2029 Secured Notes</w:t>
            </w:r>
            <w:r>
              <w:rPr>
                <w:rFonts w:ascii="Times New Roman;sans-serif" w:hAnsi="Times New Roman;sans-serif"/>
                <w:b w:val="false"/>
                <w:color w:val="000000"/>
                <w:sz w:val="20"/>
              </w:rPr>
              <w:t>: 8.625% senior secured second lien notes due October 2029</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 premium and debt issuance costs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unamortized debt discount, premium and debt issuance costs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993,575 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Permian Transmission Term Loan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976,995 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Amended and Restated ABL Facility.</w:t>
      </w:r>
      <w:r>
        <w:rPr>
          <w:color w:val="000000"/>
        </w:rPr>
        <w:t xml:space="preserve"> </w:t>
      </w:r>
      <w:r>
        <w:rPr>
          <w:rFonts w:ascii="Times New Roman;sans-serif" w:hAnsi="Times New Roman;sans-serif"/>
          <w:b w:val="false"/>
          <w:color w:val="000000"/>
          <w:sz w:val="20"/>
        </w:rPr>
        <w:t xml:space="preserve">Concurrently with the issuance of the 2029 Secured Notes, as discussed below, on July 26, 2024, Summit Holdings, as borrower, amended and restated its existing first-lien, senior secured credit agreement pursuant to the Amended and Restated ABL Agreement, consisting of a $500.0 million asset-based revolving credit facility (the “Amended and Restated ABL Facility”), subject to a borrowing base comprised of a percentage of eligible accounts receivable of Summit Holdings and certain of its subsidiaries that guarantee the Amended and Restated ABL Facility (collectively, the “Amended and Restated ABL Facility Subsidiary Guarantors”) and a percentage of eligible above-ground fixed assets including eligible compression units, processing plants, compression stations and related equipment of Summit Holdings and the Amended and Restated ABL Facility Subsidiary Guarantors. As of March 31, 2025, the most recent borrowing base determination of eligible assets, which does not include any additions for the acquired Tall Oak and Moonrise assets, totaled $525.2 million, an amount greater than the $500.0 million of aggregate lending commitments.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(as defined below)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(such date, the “Amended and Restated ABL Termination Date”). As of March 31, 2025, the Amended and Restated ABL Facility will mature on July 26, 2029.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Amended and Restated ABL Facility bear interest, at the election of Summit Holdings, at a SOFR-based rate or a base rate, in each case, plus an applicable borrowing margin based on our Total Net Leverage Ratio (as defined in the Amended and Restated ABL Agreement consistent with the Amended and Restated ABL Facility). The applicable margin for base rate loans varies from 1.50% to 2.25% and the applicable margin for SOFR-based loans varies from 2.50% to 3.25%, in each case, depending on our Total Net Leverage Ratio (as defined in the Amended and Restated ABL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(together with certain Secured Bank Product Obligations (as defined in the Amended and Restated ABL Agreement)) is jointly and severally guaranteed, on a senior first-priority secured basis (subject to permitted liens), by SMLP, Summit Holdings and each of the Amended and Restated ABL Facility Subsidiary Guarantors.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restricts, among other things, Summit Holdings’ and its Restricted Subsidiaries’ (as defined in the Amended and Restated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March 31, 2025, the First Lien Net Leverage Ratio (as defined in the Amended and Restated ABL Agreement) was 0.52:1.00 and the Interest Coverage Ratio was 2.80:1.00. As of March 31, 2025, the Company was in compliance with the financial covenants of the Amended and Restated ABL Facility.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contains certain events of default customary for instruments of this type. In the case of an event of default arising from certain events of bankruptcy, insolvency or reorganization with respect to Summit Holdings, all outstanding Obligations (as defined in the Amended and Restated ABL Agreement) will become due and payable immediately without further action or notice and all Commitments (as defined in the Amended and Restated ABL Agreement) under the Amended and Restated ABL Facility will terminate.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ABL Agreement, the Obligations (as defined in the Amended and Restated ABL Agreement) are generally secured by a first priority lien on and security interest in (subject to permitted liens), subject to certain exclusions and limitations set forth in the Amended and Restated ABL Agreement, (i) substantially all of the personal property of Summit Holdings and the Amended and Restated ABL Facility Subsidiary Guarantors, (ii) all equity interests in Summit Holdings and certain other entities, all debt securities and certain rights related to the foregoing, in each case, owned by SMLP, (iii) Closing Date Gathering Station Real Property and Closing Date Pipeline Systems Real Property (each, as defined in the Amended and Restated ABL Agreement) and certain other material real property interests (including improvements thereon) of Summit Holdings and the Amended and Restated ABL Facility Subsidiary Guarantors as provided in the Amended and Restated ABL Agreement and (iv) all proceeds of the foregoing collateral.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applicable margin under the adjusted SOFR borrowings was 2.500%, the interest rate was 6.92%, and the total available borrowing capacity totaled $354.2 million, after giving effect to the issuance of $0.8 million in outstanding but undrawn irrevocable standby letters of credit.</w:t>
      </w:r>
    </w:p>
    <w:p>
      <w:pPr>
        <w:pStyle w:val="TextBody"/>
        <w:bidi w:val="0"/>
        <w:spacing w:lineRule="auto" w:line="288" w:before="120" w:after="283"/>
        <w:jc w:val="left"/>
        <w:rPr/>
      </w:pPr>
      <w:r>
        <w:rPr>
          <w:rFonts w:ascii="Times New Roman;sans-serif" w:hAnsi="Times New Roman;sans-serif"/>
          <w:b/>
          <w:i/>
          <w:color w:val="000000"/>
          <w:sz w:val="20"/>
        </w:rPr>
        <w:t>Intercreditor Agreement.</w:t>
      </w:r>
      <w:r>
        <w:rPr>
          <w:color w:val="000000"/>
        </w:rPr>
        <w:t xml:space="preserve"> </w:t>
      </w:r>
      <w:r>
        <w:rPr>
          <w:rFonts w:ascii="Times New Roman;sans-serif" w:hAnsi="Times New Roman;sans-serif"/>
          <w:b w:val="false"/>
          <w:color w:val="000000"/>
          <w:sz w:val="20"/>
        </w:rPr>
        <w:t>On November 2, 2021, Summit Holdings and the other guarantors party thereto entered into an Intercreditor Agreement (as modified by the Notice of Reaffirmation (as defined below), the “Intercreditor Agreement”) with Bank of America, N.A., as first lien representative and collateral agent for the initial first lien claimholders, and Regions Bank, as initial second lien representative for the initial second lien claimholders and collateral agent for the initial second lien claimholders, which was reaffirmed by Bank of America, N.A., in connection with its entry into the Amended and Restated ABL Facility, and which Regions Bank joined as an additional second lien representative for the additional second lien claimholders and additional second lien collateral agent for the additional second lien claimholders, in each case, pursuant to that certain Notice and Reaffirmation of Intercreditor Agreement (the “Notice of Reaffirmation”), dated as of July 26, 2024, substantially concurrently with the entry into the Amended and Restated ABL Facility. The Intercreditor Agreement establishes (i) a first-priority lien (subject to permitted liens) status for the liens on the collateral securing the ABL Facility (and will apply to the Amended and Restated ABL Facility) and any additional first-lien indebtedness and (ii) a junior priority lien (subject to permitted liens) status for the liens on the collateral securing the 2029 Secured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Permian Transmission Credit Facilities.</w:t>
      </w:r>
      <w:r>
        <w:rPr>
          <w:color w:val="000000"/>
        </w:rPr>
        <w:t xml:space="preserve"> </w:t>
      </w:r>
      <w:r>
        <w:rPr>
          <w:rFonts w:ascii="Times New Roman;sans-serif" w:hAnsi="Times New Roman;sans-serif"/>
          <w:b w:val="false"/>
          <w:color w:val="000000"/>
          <w:sz w:val="20"/>
        </w:rPr>
        <w:t>On March 8, 2021, SMLP’s unrestricted subsidiary, Summit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Summit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applicable margin under adjusted term SOFR borrowings was 2.475%, the average interest rate was 6.81% and the unused portion of the Permian Transmission Credit Facilities totaled $4.5 million, subject to a commitment fee of 0.7% after giving effect to the issuance of $10.5 million in outstanding but undrawn irrevocable standby letters of credit. Summit Permian Transmission entered into interest rate hedges with notional amounts representing approximately 90% of the Permian Term Loan Facility at a fixed SOFR rate of 1.23%. As of March 31, 2025, the Company was in compliance with the financial covenants of the Permian Transmission Credit Facilities. </w:t>
      </w:r>
    </w:p>
    <w:p>
      <w:pPr>
        <w:pStyle w:val="TextBody"/>
        <w:bidi w:val="0"/>
        <w:spacing w:lineRule="auto" w:line="288" w:before="120" w:after="283"/>
        <w:jc w:val="left"/>
        <w:rPr/>
      </w:pPr>
      <w:r>
        <w:rPr>
          <w:rFonts w:ascii="Times New Roman;sans-serif" w:hAnsi="Times New Roman;sans-serif"/>
          <w:b/>
          <w:i/>
          <w:color w:val="000000"/>
          <w:sz w:val="20"/>
        </w:rPr>
        <w:t xml:space="preserve">Permian Transmission Term Loan. </w:t>
      </w:r>
      <w:r>
        <w:rPr>
          <w:rFonts w:ascii="Times New Roman;sans-serif" w:hAnsi="Times New Roman;sans-serif"/>
          <w:b w:val="false"/>
          <w:color w:val="000000"/>
          <w:sz w:val="20"/>
        </w:rPr>
        <w:t xml:space="preserve">In accordance with the terms of the Permian Transmission Credit Facilities, in January 2022, the Permian Term Loan Facility was converted into a Term Loan (the “Permian Transmission Term Loan”). The Permian Transmission Term Loan is due January 2028. As of March 31, 2025, the applicable margin under adjusted term SOFR borrowings was 2.475% and the average interest rate was 6.81%. As of March 31, 2025, the Company was in compliance with the financial covenants of the Permian Transmission Term Loan.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Permian Transmission Term Loan, Summit Permian Transmission is required to make mandatory principal repayments. Below is a summary of the remaining mandatory principal repayments as of March 31, 2025: </w:t>
      </w:r>
    </w:p>
    <w:tbl>
      <w:tblPr>
        <w:tblW w:w="10205" w:type="dxa"/>
        <w:jc w:val="left"/>
        <w:tblInd w:w="0" w:type="dxa"/>
        <w:tblLayout w:type="fixed"/>
        <w:tblCellMar>
          <w:top w:w="28" w:type="dxa"/>
          <w:left w:w="28" w:type="dxa"/>
          <w:bottom w:w="28" w:type="dxa"/>
          <w:right w:w="28" w:type="dxa"/>
        </w:tblCellMar>
      </w:tblPr>
      <w:tblGrid>
        <w:gridCol w:w="812"/>
        <w:gridCol w:w="678"/>
        <w:gridCol w:w="670"/>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56"/>
      </w:tblGrid>
      <w:tr>
        <w:trPr/>
        <w:tc>
          <w:tcPr>
            <w:tcW w:w="81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Amortizing principal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color w:val="000000"/>
          <w:sz w:val="20"/>
        </w:rPr>
        <w:t xml:space="preserve">2029 Secured Notes. </w:t>
      </w:r>
      <w:r>
        <w:rPr>
          <w:rFonts w:ascii="Times New Roman;sans-serif" w:hAnsi="Times New Roman;sans-serif"/>
          <w:b w:val="false"/>
          <w:color w:val="000000"/>
          <w:sz w:val="20"/>
        </w:rPr>
        <w:t xml:space="preserve">On July 26, 2024, Summit Holdings issued $575.0 million aggregate principal amount of 8.625% Senior Secured Second Lien Notes due 2029 (the “2029 Secured Notes”).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Summit Holdings issued an additional $250.0 million in aggregate principal amount of 2029 Secured Notes, at a price of 103.375% of their face value, as additional notes under the same indenture pursuant to which, on July 26, 2024, Summit Holdings issued $575.0 million in aggregate principal amount of 2029 Secured Notes. As of March 31, 2025, $825.0 million of the 2029 Secured Notes were outstanding. The 2029 Secured Notes mature on October 31, 2029 and have interest payable semi-annually in arrears on each February 15 and August 15.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July 31, 2026, Summit Holdings may on any one or more occasions redeem up to 40% of the aggregate principal amount of the 2029 Secured Notes at a redemption rate of 108.625% of the principal amount plus accrued and unpaid interest, if any, to, but not including, the redemption date, in an amount not greater than the net cash proceeds of one or more equity offerings. At any time before July 31, 2026, Summit Holdings may also redeem the 2029 Secured Notes, in whole or in part, at a price equal to 100% of their principal amount, plus a make-whole premium, together with accrued and unpaid interest to, but not including, the redemption date. Thereafter, Summit Holdings may redeem all or a portion of the 2029 Secured Notes in whole at any time or in part from time to time at the following redemption prices (expressed as percentages of the principal amount) plus accrued and unpaid interest if redeemed during the periods indicated below:</w:t>
      </w:r>
    </w:p>
    <w:tbl>
      <w:tblPr>
        <w:tblW w:w="4733"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413"/>
        <w:gridCol w:w="413"/>
        <w:gridCol w:w="9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25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2026 to July 30, 2027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104.313 </w:t>
            </w:r>
          </w:p>
        </w:tc>
        <w:tc>
          <w:tcPr>
            <w:tcW w:w="9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2027 to July 30,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102.156 </w:t>
            </w:r>
          </w:p>
        </w:tc>
        <w:tc>
          <w:tcPr>
            <w:tcW w:w="9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2028 and 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985"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was in compliance with the financial covenants of the indenture governing the 2029 Secured Notes.</w:t>
      </w:r>
    </w:p>
    <w:p>
      <w:pPr>
        <w:pStyle w:val="TextBody"/>
        <w:bidi w:val="0"/>
        <w:spacing w:lineRule="auto" w:line="288" w:before="120" w:after="283"/>
        <w:jc w:val="left"/>
        <w:rPr/>
      </w:pPr>
      <w:r>
        <w:rPr>
          <w:rFonts w:ascii="Times New Roman;sans-serif" w:hAnsi="Times New Roman;sans-serif"/>
          <w:b/>
          <w:i/>
          <w:color w:val="000000"/>
          <w:sz w:val="20"/>
        </w:rPr>
        <w:t xml:space="preserve">2026 Secured Notes. </w:t>
      </w:r>
      <w:r>
        <w:rPr>
          <w:rFonts w:ascii="Times New Roman;sans-serif" w:hAnsi="Times New Roman;sans-serif"/>
          <w:b w:val="false"/>
          <w:color w:val="000000"/>
          <w:sz w:val="20"/>
        </w:rPr>
        <w:t xml:space="preserve">In 2021, Summit Holdings and Finance Corp. issued $700.0 million of 8.500% Senior Secured Second Lien Notes due 2026 to eligible purchasers pursuant to Rule 144A and Regulation S of the Securities Act, at a price of 98.5% of their face value. Additionally, in November 2022, in connection with the 2022 DJ Acquisitions, Summit Holdings and Finance Corp. issued an additional $85.0 million of 2026 Secured Notes at a price of 99.26% of their face value. The Company paid interest on the 2026 Secured Notes semi-annually on April 15 and October 15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i/>
          <w:color w:val="000000"/>
          <w:sz w:val="20"/>
        </w:rPr>
        <w:t xml:space="preserve">2026 Secured Notes Tender Offers and Redemption. </w:t>
      </w:r>
      <w:r>
        <w:rPr>
          <w:rFonts w:ascii="Times New Roman;sans-serif" w:hAnsi="Times New Roman;sans-serif"/>
          <w:b w:val="false"/>
          <w:color w:val="000000"/>
          <w:sz w:val="20"/>
        </w:rPr>
        <w:t>On March 27, 2024, Summit Holdings and Finance Corp. commenced a cash tender offer to purchase up to $19.3 million of the outstanding 2026 Secured Notes (the “Excess Cash Flow Offer”). The Excess Cash Flow Offer expired on April 24, 2024 with $13.6 million of the 2026 Secured Notes tendered and validly accepted and fully 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7, 2024, Summit Holdings and Finance Corp. commenced a cash tender offer to purchase up to $215.0 million of the outstanding 2026 Secured Notes (the “Asset Sale Offer”). The Asset Sale Offer expired on June 5, 2024 with $6.9 million of the 2026 Secured Notes tendered and validly accepted and fully 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2024, concurrently with closing the offering of 2029 Secured Notes, Summit Holdings and Finance Corp. consummated a cash tender offer to purchase any and all of the outstanding 2026 Secured Notes (the “2026 Secured Notes Tender Offer”). Summit Holdings and Finance Corp. accepted for payment and made payment for $649.8 million aggregate principal amount of the 2026 Secured Notes validly tendered in the 2026 Secured Notes Tender Offer. On July 26, 2024, concurrently with consummation of the 2026 Secured Notes Tender Offer, Summit Holdings and Finance Corp.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(which was October 15, 2024). On July 26, 2024, concurrently with delivery of the notice of redemption, Summit Holdings and Finance Corp.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 October 15, 2024, the 2026 Secured Notes were fully repaid.</w:t>
      </w:r>
    </w:p>
    <w:p>
      <w:pPr>
        <w:pStyle w:val="TextBody"/>
        <w:bidi w:val="0"/>
        <w:spacing w:lineRule="auto" w:line="288" w:before="120" w:after="283"/>
        <w:jc w:val="left"/>
        <w:rPr/>
      </w:pPr>
      <w:r>
        <w:rPr>
          <w:rFonts w:ascii="Times New Roman;sans-serif" w:hAnsi="Times New Roman;sans-serif"/>
          <w:b/>
          <w:i/>
          <w:color w:val="000000"/>
          <w:sz w:val="20"/>
        </w:rPr>
        <w:t xml:space="preserve">2026 Unsecured Notes. </w:t>
      </w:r>
      <w:r>
        <w:rPr>
          <w:rFonts w:ascii="Times New Roman;sans-serif" w:hAnsi="Times New Roman;sans-serif"/>
          <w:b w:val="false"/>
          <w:color w:val="000000"/>
          <w:sz w:val="20"/>
        </w:rPr>
        <w:t xml:space="preserve">In November 2023, Summit Holdings and Finance Corp. issued a total of $209.5 million aggregate principal amount of 2026 Unsecured Notes in exchange for $180.0 million aggregate principal amount of the 2025 Senior Notes and $29.5 million in cash. The cash raised was used to repurchase $29.7 million aggregate principal amount of the remaining 2025 Senior Notes that were not exchanged. SMLP paid interest on the 2026 Unsecured Notes semi-annually in cash in arrears on April 15 and October 15 of each year.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7, 2024, Summit Holdings and Finance Corp. delivered a redemption notice with respect to all $209.5 million of the outstanding 2026 Unsecured Notes. On June 24, 2024, the 2026 Unsecured Notes were fully repaid and discharged.</w:t>
      </w:r>
    </w:p>
    <w:p>
      <w:pPr>
        <w:pStyle w:val="TextBody"/>
        <w:bidi w:val="0"/>
        <w:spacing w:lineRule="auto" w:line="288" w:before="120" w:after="283"/>
        <w:jc w:val="left"/>
        <w:rPr/>
      </w:pPr>
      <w:r>
        <w:rPr>
          <w:rFonts w:ascii="Times New Roman;sans-serif" w:hAnsi="Times New Roman;sans-serif"/>
          <w:b/>
          <w:i/>
          <w:color w:val="000000"/>
          <w:sz w:val="20"/>
        </w:rPr>
        <w:t>2025 Senior Notes.</w:t>
      </w:r>
      <w:r>
        <w:rPr>
          <w:color w:val="000000"/>
        </w:rPr>
        <w:t> </w:t>
      </w:r>
      <w:r>
        <w:rPr>
          <w:rFonts w:ascii="Times New Roman;sans-serif" w:hAnsi="Times New Roman;sans-serif"/>
          <w:b w:val="false"/>
          <w:color w:val="000000"/>
          <w:sz w:val="20"/>
        </w:rPr>
        <w:t>In February 2017, Summit Holdings and Finance Corp. issued the 2025 Senior Notes. SMLP paid interest on the 2025 Senior Notes semi-annually in cash in arrears on April 15 and October 15 of each year.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Summit Holdings and Finance Corp. had the right to redeem all or part of the 2025 Senior Notes at a redemption price of 100.00%, plus accrued and unpaid interest, if any, to, but not including, the redemption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SMLP exchanged $180.0 million aggregate principal amount of the 2025 Senior Notes and repurchased $29.7 million aggregate principal amount of the remaining 2025 Senior Notes that were not exchanged.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17, 2024, Summit Holdings and Finance Corp. delivered a conditional notice of redemption to holders of 2025 Senior Notes for the redemption of all $49.8 million aggregate principal amount of outstanding 2025 Senior Notes, at a price equal to 100.00% of the principal amount thereof, plus accrued and unpaid interest to the redemption date, which was conditioned on the closing of the offering of 2029 Secured Notes. On July 26, 2024, concurrently with the closing of the offering of 2029 Secured Notes, Summit Holdings and Finance Corp. irrevocably deposited $50.6 million in aggregate principal amount of non-callable United States Treasury securities, which included amounts for principal and interest with the trustee to satisfy and discharge the 2025 Senior Notes until redeemed with the funds deposited with the trustee. On August 16, 2024, the 2025 Senior Notes were fully repaid.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120" w:after="283"/>
        <w:jc w:val="left"/>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Although the Company believes that it is in material compliance with applicable environmental regulations, the risk of environmental remediation costs and liabilities are inherent in pipeline ownership and operation. Furthermore, the Company can provide no assurances that significant environmental remediation costs and liabilities will not be incurred in the future. The Company is currently not aware of any material contingent liabilities that exist with respect to environmental matters, except as noted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has recognized (i) a current liability for remediation effort expenditures expected to be incurred within the next 12 months and (ii) a noncurrent liability for estimated remediation expenditures expected to be incurred subsequent to March 31, 2026. Each of these amounts represent the Company’s best estimate for costs expected to be incurred. Neither of these amounts have been discounted to their present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the Company’s undiscounted accrued environmental remediation is as follows and is primarily related to the 2015 Blacktail Release and other environmental remediation activities, as detailed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tbl>
      <w:tblPr>
        <w:tblW w:w="6089" w:type="dxa"/>
        <w:jc w:val="left"/>
        <w:tblInd w:w="0" w:type="dxa"/>
        <w:tblLayout w:type="fixed"/>
        <w:tblCellMar>
          <w:top w:w="28" w:type="dxa"/>
          <w:left w:w="28" w:type="dxa"/>
          <w:bottom w:w="28" w:type="dxa"/>
          <w:right w:w="28" w:type="dxa"/>
        </w:tblCellMar>
      </w:tblPr>
      <w:tblGrid>
        <w:gridCol w:w="1777"/>
        <w:gridCol w:w="1562"/>
        <w:gridCol w:w="1565"/>
        <w:gridCol w:w="255"/>
        <w:gridCol w:w="744"/>
        <w:gridCol w:w="186"/>
      </w:tblGrid>
      <w:tr>
        <w:trPr/>
        <w:tc>
          <w:tcPr>
            <w:tcW w:w="177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2024</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March 31, 2025</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SMLP learned of the rupture of a four-inch produced water gathering pipeline on the Meadowlark Midstream system near Williston, North Dakota (“2015 Blacktail Release”). On August 4, 2021, subsidiaries of SMLP entered into the following agreements to resolve the U.S. federal and North Dakota state governments’ environmental claims with respect to the 2015 Blacktail Release: (i) a Consent Decree with the U.S. 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March 31, 2025 and December 31, 2024, the accrued loss liability for the 2015 Blacktail Release was $15.0 million of which $6.7 million is recorded within Accrued settlement payable and $8.3 million within Other noncurrent liabilities on the Company’s unaudited condensed consolidated balance sheets.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terms of the Global Settlement included (i) payment of penalties and fines totaling $36.3 million, consisting of $1.25 million in natural resource damages payable to federal and state governments, $25.0 million payable to the federal government over 5 years, and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$6.7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Summit Midstream Partners, LLC (the “Defendant”)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pStyle w:val="TextBody"/>
        <w:bidi w:val="0"/>
        <w:spacing w:lineRule="auto" w:line="288" w:before="120" w:after="283"/>
        <w:jc w:val="left"/>
        <w:rPr/>
      </w:pPr>
      <w:r>
        <w:rPr>
          <w:rFonts w:ascii="Times New Roman;sans-serif" w:hAnsi="Times New Roman;sans-serif"/>
          <w:b w:val="false"/>
          <w:color w:val="000000"/>
          <w:sz w:val="20"/>
        </w:rPr>
        <w:t>Subsidiaries of the Company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SMLP and certain subsidiaries of the Company have also received a show cause notice from the EPA requesting us to “show cause” why SDO should not issue a Notice of Proposed Debarment to the Defendant subsidiary and certain affiliates under 2 C.F.R. § 180.800(d), to which SMLP has responded, and in which proceeding no further developments have occurred.</w:t>
      </w:r>
      <w:r>
        <w:rPr>
          <w:color w:val="000000"/>
        </w:rPr>
        <w:t xml:space="preserve"> </w:t>
      </w:r>
    </w:p>
    <w:p>
      <w:pPr>
        <w:pStyle w:val="TextBody"/>
        <w:bidi w:val="0"/>
        <w:spacing w:lineRule="auto" w:line="288" w:before="120" w:after="283"/>
        <w:jc w:val="left"/>
        <w:rPr/>
      </w:pPr>
      <w:r>
        <w:rPr>
          <w:rFonts w:ascii="Times New Roman;sans-serif" w:hAnsi="Times New Roman;sans-serif"/>
          <w:b/>
          <w:i/>
          <w:color w:val="000000"/>
          <w:sz w:val="20"/>
        </w:rPr>
        <w:t>Legal Proceedings.</w:t>
      </w:r>
      <w:r>
        <w:rPr>
          <w:color w:val="000000"/>
        </w:rPr>
        <w:t> </w:t>
      </w:r>
      <w:r>
        <w:rPr>
          <w:rFonts w:ascii="Times New Roman;sans-serif" w:hAnsi="Times New Roman;sans-serif"/>
          <w:b w:val="false"/>
          <w:color w:val="000000"/>
          <w:sz w:val="20"/>
        </w:rPr>
        <w:t>The Company is involved in various litigation and administrative proceedings arising in the ordinary course of business. In the opinion of management, any liabilities, which include insured claims, would not individually or in the aggregate have a material adverse effect on the Company’s financial position or results of operations. When a liability is covered by insurance, the Company reports the gross liability for the loss and a separate asset for the estimate of the probable amount recoverable from the insurance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FINANCIAL INSTRUMENTS</w:t>
      </w:r>
    </w:p>
    <w:p>
      <w:pPr>
        <w:pStyle w:val="TextBody"/>
        <w:bidi w:val="0"/>
        <w:spacing w:lineRule="auto" w:line="288" w:before="120" w:after="283"/>
        <w:jc w:val="left"/>
        <w:rPr/>
      </w:pPr>
      <w:r>
        <w:rPr>
          <w:rFonts w:ascii="Times New Roman;sans-serif" w:hAnsi="Times New Roman;sans-serif"/>
          <w:b/>
          <w:i/>
          <w:color w:val="000000"/>
          <w:sz w:val="20"/>
        </w:rPr>
        <w:t>Fair Value.</w:t>
      </w:r>
      <w:r>
        <w:rPr>
          <w:color w:val="000000"/>
        </w:rPr>
        <w:t> </w:t>
      </w:r>
      <w:r>
        <w:rPr>
          <w:rFonts w:ascii="Times New Roman;sans-serif" w:hAnsi="Times New Roman;sans-serif"/>
          <w:b w:val="false"/>
          <w:color w:val="000000"/>
          <w:sz w:val="20"/>
        </w:rPr>
        <w:t>A summary of the estimated fair value of our debt financial instruments follows.</w:t>
      </w:r>
    </w:p>
    <w:tbl>
      <w:tblPr>
        <w:tblW w:w="7349" w:type="dxa"/>
        <w:jc w:val="left"/>
        <w:tblInd w:w="0" w:type="dxa"/>
        <w:tblLayout w:type="fixed"/>
        <w:tblCellMar>
          <w:top w:w="28" w:type="dxa"/>
          <w:left w:w="28" w:type="dxa"/>
          <w:bottom w:w="28" w:type="dxa"/>
          <w:right w:w="28" w:type="dxa"/>
        </w:tblCellMar>
      </w:tblPr>
      <w:tblGrid>
        <w:gridCol w:w="629"/>
        <w:gridCol w:w="554"/>
        <w:gridCol w:w="5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Secured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Excludes applicable unamortized debt issuance costs, debt discounts and debt premiums.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on the balance sheets of the Amended and Restated ABL Facility and the Permian Transmission Term Loan represent their fair value due to their floating interest rates. The fair value of the 2029 Secured Notes is based on an average of nonbinding broker quotes as of March 31, 2025 and December 31, 2024. The use of different market assumptions or valuation methodologies may have a material effect on their estimated fair value.</w:t>
      </w:r>
    </w:p>
    <w:p>
      <w:pPr>
        <w:pStyle w:val="TextBody"/>
        <w:bidi w:val="0"/>
        <w:spacing w:lineRule="auto" w:line="288" w:before="120" w:after="283"/>
        <w:jc w:val="left"/>
        <w:rPr/>
      </w:pPr>
      <w:r>
        <w:rPr>
          <w:rFonts w:ascii="Times New Roman;sans-serif" w:hAnsi="Times New Roman;sans-serif"/>
          <w:b/>
          <w:i/>
          <w:color w:val="000000"/>
          <w:sz w:val="20"/>
        </w:rPr>
        <w:t>Deferred earn-out.</w:t>
      </w:r>
      <w:r>
        <w:rPr>
          <w:color w:val="000000"/>
        </w:rPr>
        <w:t xml:space="preserve"> </w:t>
      </w:r>
      <w:r>
        <w:rPr>
          <w:rFonts w:ascii="Times New Roman;sans-serif" w:hAnsi="Times New Roman;sans-serif"/>
          <w:b w:val="false"/>
          <w:color w:val="000000"/>
          <w:sz w:val="20"/>
        </w:rPr>
        <w:t>The estimated fair value of the Company’s deferred earn-outs are remeasured each reporting period and estimated using discounted cash flow techniques with appropriate discount rates. The balances of deferred earn-outs are recorded within other noncurrent liabilities on the consolidated balance sheets. Given the unobservable nature of the inputs, the fair value measurement of the deferred earn-out is deemed to use Level 3 inputs.</w:t>
      </w:r>
    </w:p>
    <w:p>
      <w:pPr>
        <w:pStyle w:val="TextBody"/>
        <w:bidi w:val="0"/>
        <w:spacing w:lineRule="auto" w:line="268" w:before="120" w:after="283"/>
        <w:jc w:val="left"/>
        <w:rPr/>
      </w:pPr>
      <w:r>
        <w:rPr>
          <w:rFonts w:ascii="Times New Roman;sans-serif" w:hAnsi="Times New Roman;sans-serif"/>
          <w:b w:val="false"/>
          <w:i/>
          <w:color w:val="000000"/>
          <w:sz w:val="20"/>
        </w:rPr>
        <w:t>Tall Oak earn-out:</w:t>
      </w:r>
      <w:r>
        <w:rPr>
          <w:color w:val="000000"/>
        </w:rPr>
        <w:t xml:space="preserve"> </w:t>
      </w:r>
      <w:r>
        <w:rPr>
          <w:rFonts w:ascii="Times New Roman;sans-serif" w:hAnsi="Times New Roman;sans-serif"/>
          <w:b w:val="false"/>
          <w:color w:val="000000"/>
          <w:sz w:val="20"/>
        </w:rPr>
        <w:t xml:space="preserve">In connection with the Tall Oak Acquisition, the Company incurred a deferred earn-out liability. As of March 31, 2025, the estimated fair value of the deferred earn-out liability recorded on the Company’s consolidated balance sheet was $12.3 million and is reflected within other current liabilities. As of December 31, 2024, the estimated fair value of the deferred earn-out was $21.3 million, of which $14.5 million is reflected within other current liabilities and $6.8 million is reflected within other noncurrent liabilities. The earn-out becomes payable to Tall Oak Parent subject to Tall Oak and its customers meeting certain development requirements. During the three months ended March 31, 2025, the Company recorded a $9.0 million gain on the fair value remeasurement of the Tall Oak earn-out. As of March 31, 2025 none of the earn-out requirements had been met. </w:t>
      </w:r>
    </w:p>
    <w:p>
      <w:pPr>
        <w:pStyle w:val="TextBody"/>
        <w:bidi w:val="0"/>
        <w:spacing w:lineRule="auto" w:line="288" w:before="120" w:after="283"/>
        <w:jc w:val="left"/>
        <w:rPr/>
      </w:pPr>
      <w:r>
        <w:rPr>
          <w:rFonts w:ascii="Times New Roman;sans-serif" w:hAnsi="Times New Roman;sans-serif"/>
          <w:b w:val="false"/>
          <w:i/>
          <w:color w:val="000000"/>
          <w:sz w:val="20"/>
        </w:rPr>
        <w:t>Sterling DJ earn-out:</w:t>
      </w:r>
      <w:r>
        <w:rPr>
          <w:color w:val="000000"/>
        </w:rPr>
        <w:t xml:space="preserve"> </w:t>
      </w:r>
      <w:r>
        <w:rPr>
          <w:rFonts w:ascii="Times New Roman;sans-serif" w:hAnsi="Times New Roman;sans-serif"/>
          <w:b w:val="false"/>
          <w:color w:val="000000"/>
          <w:sz w:val="20"/>
        </w:rPr>
        <w:t>In connection with the acquisition of Sterling DJ, SMLP assumed a deferred earn-out liability, which was remeasured each reporting period. SMLP’s deferred earn-out liability was settled in full during the quarterly period ended June 30, 2024.</w:t>
      </w:r>
    </w:p>
    <w:p>
      <w:pPr>
        <w:pStyle w:val="TextBody"/>
        <w:bidi w:val="0"/>
        <w:spacing w:lineRule="auto" w:line="288" w:before="120" w:after="283"/>
        <w:jc w:val="left"/>
        <w:rPr/>
      </w:pPr>
      <w:r>
        <w:rPr>
          <w:rFonts w:ascii="Times New Roman;sans-serif" w:hAnsi="Times New Roman;sans-serif"/>
          <w:b/>
          <w:i/>
          <w:color w:val="000000"/>
          <w:sz w:val="20"/>
        </w:rPr>
        <w:t>Interest Rate Swaps.</w:t>
      </w:r>
      <w:r>
        <w:rPr>
          <w:color w:val="000000"/>
        </w:rPr>
        <w:t> </w:t>
      </w:r>
      <w:r>
        <w:rPr>
          <w:rFonts w:ascii="Times New Roman;sans-serif" w:hAnsi="Times New Roman;sans-serif"/>
          <w:b w:val="false"/>
          <w:color w:val="000000"/>
          <w:sz w:val="20"/>
        </w:rPr>
        <w:t xml:space="preserve">In connection with the Permian Transmission Term Loan, SMLP entered into amortizing interest rate swap agreements. As of March 31, 2025 and December 31, 2024, the outstanding notional amounts of interest rate swaps were $112.8 million and $116.4 million, respectively. These interest rate swaps manage exposure to variability in expected cash flows attributable to interest rate risk. Interest rate swaps convert a portion of the Company’s variable rate debt to fixed rate debt. The Company chooses counterparties for its derivative instruments that it believes are creditworthy at the time the transactions are entered into, and the Company actively monitors the creditworthiness where applicable. However, there can be no assurance that a counterparty will be able to meet its obligations to the Company. The Company presents its derivative positions on a gross basis and does not net the asset and liability positions.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 Company’s interest rate swap agreements had a fair value of $9.1 million and $11.0 million, respectively, and are recorded within other noncurrent assets within the unaudited condensed consolidated balance sheets. The derivative instruments’ fair value are determined using level 2 inputs from the fair value hierarchy.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the Company recorded a loss on interest rate swaps of $1.0 million and a gain on interest rate swaps of $2.6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EQUITY AND MEZZANINE EQUITY</w:t>
      </w:r>
    </w:p>
    <w:p>
      <w:pPr>
        <w:pStyle w:val="TextBody"/>
        <w:bidi w:val="0"/>
        <w:spacing w:lineRule="auto" w:line="288" w:before="120" w:after="283"/>
        <w:jc w:val="left"/>
        <w:rPr/>
      </w:pPr>
      <w:r>
        <w:rPr>
          <w:rFonts w:ascii="Times New Roman;sans-serif" w:hAnsi="Times New Roman;sans-serif"/>
          <w:b/>
          <w:i/>
          <w:color w:val="000000"/>
          <w:sz w:val="20"/>
        </w:rPr>
        <w:t>Common Stock.</w:t>
      </w:r>
      <w:r>
        <w:rPr>
          <w:color w:val="000000"/>
        </w:rPr>
        <w:t> </w:t>
      </w:r>
      <w:r>
        <w:rPr>
          <w:rFonts w:ascii="Times New Roman;sans-serif" w:hAnsi="Times New Roman;sans-serif"/>
          <w:b w:val="false"/>
          <w:color w:val="000000"/>
          <w:sz w:val="20"/>
        </w:rPr>
        <w:t>Upon the consummation of the Corporate Reorganization, each outstanding common unit of SMLP was converted into the right to receive 1.000 shares of common stock of Summit Midstream Corporation. An update on the number of shares of common stock follows for the period from December 31, 2024 to March 31, 2025:</w:t>
      </w:r>
    </w:p>
    <w:tbl>
      <w:tblPr>
        <w:tblW w:w="8411" w:type="dxa"/>
        <w:jc w:val="left"/>
        <w:tblInd w:w="0" w:type="dxa"/>
        <w:tblLayout w:type="fixed"/>
        <w:tblCellMar>
          <w:top w:w="28" w:type="dxa"/>
          <w:left w:w="28" w:type="dxa"/>
          <w:bottom w:w="28" w:type="dxa"/>
          <w:right w:w="28" w:type="dxa"/>
        </w:tblCellMar>
      </w:tblPr>
      <w:tblGrid>
        <w:gridCol w:w="2103"/>
        <w:gridCol w:w="1851"/>
        <w:gridCol w:w="1865"/>
        <w:gridCol w:w="109"/>
        <w:gridCol w:w="109"/>
        <w:gridCol w:w="109"/>
        <w:gridCol w:w="662"/>
        <w:gridCol w:w="662"/>
        <w:gridCol w:w="941"/>
      </w:tblGrid>
      <w:tr>
        <w:trPr/>
        <w:tc>
          <w:tcPr>
            <w:tcW w:w="210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of Common Stock</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10,659,220 </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B Common Stock and Partnership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946,541 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SMLP LTIP,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173,072 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Moonrise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462,265 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12,241,098 </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 xml:space="preserve">Class B Common Stock. </w:t>
      </w:r>
      <w:r>
        <w:rPr>
          <w:rFonts w:ascii="Times New Roman;sans-serif" w:hAnsi="Times New Roman;sans-serif"/>
          <w:b w:val="false"/>
          <w:color w:val="000000"/>
          <w:sz w:val="20"/>
        </w:rPr>
        <w:t>In the Tall Oak Acquisition, the Company issued 7,471,008 shares of non-economic Class B Common Stock to Tall Oak Parent. Such shares of Class B Common Stock have Company voting rights and are exchangeable along with the associated Partnership Common Units for shares of our common stock at the election of the holder for no additional consideration.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on the number of shares of Class B Common Stock follows for the period from December 31, 2024 to March 31, 2025.</w:t>
      </w:r>
    </w:p>
    <w:tbl>
      <w:tblPr>
        <w:tblW w:w="7934" w:type="dxa"/>
        <w:jc w:val="left"/>
        <w:tblInd w:w="0" w:type="dxa"/>
        <w:tblLayout w:type="fixed"/>
        <w:tblCellMar>
          <w:top w:w="28" w:type="dxa"/>
          <w:left w:w="28" w:type="dxa"/>
          <w:bottom w:w="28" w:type="dxa"/>
          <w:right w:w="28" w:type="dxa"/>
        </w:tblCellMar>
      </w:tblPr>
      <w:tblGrid>
        <w:gridCol w:w="2103"/>
        <w:gridCol w:w="1851"/>
        <w:gridCol w:w="1865"/>
        <w:gridCol w:w="618"/>
        <w:gridCol w:w="618"/>
        <w:gridCol w:w="879"/>
      </w:tblGrid>
      <w:tr>
        <w:trPr/>
        <w:tc>
          <w:tcPr>
            <w:tcW w:w="210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of</w:t>
              <w:br/>
              <w:t>Class B Common Stock</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December 31, 2024</w:t>
            </w:r>
          </w:p>
        </w:tc>
        <w:tc>
          <w:tcPr>
            <w:tcW w:w="12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7,471,008 </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B Common Stock and Partnership Common Units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(946,541)</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March 31, 2025</w:t>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6,524,467 </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Series A Preferred Stock.</w:t>
      </w:r>
      <w:r>
        <w:rPr>
          <w:color w:val="000000"/>
        </w:rPr>
        <w:t xml:space="preserve"> </w:t>
      </w:r>
      <w:r>
        <w:rPr>
          <w:rFonts w:ascii="Times New Roman;sans-serif" w:hAnsi="Times New Roman;sans-serif"/>
          <w:b w:val="false"/>
          <w:color w:val="000000"/>
          <w:sz w:val="20"/>
        </w:rPr>
        <w:t xml:space="preserve">Upon the consummation of the Corporate Reorganization, each outstanding Series A Preferred Unit was converted into the right to receive 1.000 shares of Series A Preferred Stock of Summit Midstream Corporation, with the liquidation preference of each share of Series A Preferred Stock initially equal to $1,000 and the Certificate of Designation of Series A Floating Rate Cumulative Redeemable Perpetual Preferred Stock of Summit Midstream Corporation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ranks senior to (i) shares of common stock and Class B Common Stock and (ii) each other class or series of company interests or other equity securities in the Company that may be established in the future that expressly ranks junior to the Series A Preferred Stock as to the payment of dividends and amounts payable upon a liquidation event. The Series A Preferred Stock ranks equal in all respects with each class or series of company interests or other equity securities in the Company that may be established in the future that is not expressly made senior or subordinated to the Series A Preferred Stock as to the payment of dividends and amounts payable on a liquidation event. The Series A Preferred Stock ranks junior to (i) all of the Company’s existing and future indebtedness and other liabilities with respect to assets available to satisfy claims against the Company and (ii) each other class or series of company interests or other equity securities in the Company established in the future that is expressly made senior to the Series A Preferred Stock as to the payment of dividends and amounts payable upon a liquidation event.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the Series A Preferred Stock are cumulative and compounding and are payable quarterly in arrears on the 15th day of March, June, September and December of each year (each, a “Dividend Payment Date”) to holders of record as of the close of business on the first business day of the month of the applicable Dividend Payment Date, in each case, when, as, and if declared by the Company’s Board of Directors out of legally available funds for such purpose. The dividend rate for the Series A Preferred Stock is equal to the three-month SOFR plus a spread of 7.69%. The floating rate established on March 15, 2025 for the period ending June 30, 2025 was 12.0%.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 2020, SMLP suspended distributions to holders of the Series A Preferred Units, commencing with respect to the quarter ending March 31, 2020. On February 28, 2025, the Company announced that the Board of Directors declared a quarterly cash dividend on its Series A Preferred Stock for the period ended March 14, 2025. A cash dividend of $51.27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was paid on the outstanding 65,508 shares of Series A Preferred Stock on March 15, 2025 to holders of record of shares of Series A Preferred Stock as of the close of business on March 3,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 Company had 65,508 shares of Series A Preferred Stock outstanding and $46.9 million of accrued and unpaid distributions on its Series A Preferred Stock. </w:t>
      </w:r>
    </w:p>
    <w:p>
      <w:pPr>
        <w:pStyle w:val="TextBody"/>
        <w:bidi w:val="0"/>
        <w:spacing w:lineRule="auto" w:line="288" w:before="120" w:after="283"/>
        <w:jc w:val="left"/>
        <w:rPr/>
      </w:pPr>
      <w:r>
        <w:rPr>
          <w:rFonts w:ascii="Times New Roman;sans-serif" w:hAnsi="Times New Roman;sans-serif"/>
          <w:b/>
          <w:i/>
          <w:color w:val="000000"/>
          <w:sz w:val="20"/>
        </w:rPr>
        <w:t>Partnership Common Units.</w:t>
      </w:r>
      <w:r>
        <w:rPr>
          <w:color w:val="000000"/>
        </w:rPr>
        <w:t xml:space="preserve"> </w:t>
      </w:r>
      <w:r>
        <w:rPr>
          <w:rFonts w:ascii="Times New Roman;sans-serif" w:hAnsi="Times New Roman;sans-serif"/>
          <w:b w:val="false"/>
          <w:color w:val="000000"/>
          <w:sz w:val="20"/>
        </w:rPr>
        <w:t>In the Tall Oak Acquisition, SMLP issued 7,471,008 Partnership Common Units to Tall Oak Parent. Such Partnership Common Units are exchangeable along with the associated shares of Class B Common Stock for shares of our common stock at the election of the holder for no additional consideration.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on the number of Partnership Common Units not owned by the Company follows for the period from December 31, 2024 to March 31, 2025.</w:t>
      </w:r>
    </w:p>
    <w:tbl>
      <w:tblPr>
        <w:tblW w:w="8279" w:type="dxa"/>
        <w:jc w:val="left"/>
        <w:tblInd w:w="0" w:type="dxa"/>
        <w:tblLayout w:type="fixed"/>
        <w:tblCellMar>
          <w:top w:w="28" w:type="dxa"/>
          <w:left w:w="28" w:type="dxa"/>
          <w:bottom w:w="28" w:type="dxa"/>
          <w:right w:w="28" w:type="dxa"/>
        </w:tblCellMar>
      </w:tblPr>
      <w:tblGrid>
        <w:gridCol w:w="2102"/>
        <w:gridCol w:w="1850"/>
        <w:gridCol w:w="1868"/>
        <w:gridCol w:w="719"/>
        <w:gridCol w:w="719"/>
        <w:gridCol w:w="1021"/>
      </w:tblGrid>
      <w:tr>
        <w:trPr/>
        <w:tc>
          <w:tcPr>
            <w:tcW w:w="210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Partnership Common Units</w:t>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2024</w:t>
            </w:r>
          </w:p>
        </w:tc>
        <w:tc>
          <w:tcPr>
            <w:tcW w:w="14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7,471,008 </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B Common Stock and Partnership Common Units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(946,541)</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March 31, 2025</w:t>
            </w:r>
          </w:p>
        </w:tc>
        <w:tc>
          <w:tcPr>
            <w:tcW w:w="14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6,524,467 </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Subsidiary Series A Preferred Units.</w:t>
      </w:r>
      <w:r>
        <w:rPr>
          <w:color w:val="000000"/>
        </w:rPr>
        <w:t> </w:t>
      </w:r>
      <w:r>
        <w:rPr>
          <w:rFonts w:ascii="Times New Roman;sans-serif" w:hAnsi="Times New Roman;sans-serif"/>
          <w:b w:val="false"/>
          <w:color w:val="000000"/>
          <w:sz w:val="20"/>
        </w:rPr>
        <w:t>Summit Permian Transmission Holdco, LLC (“Permian Holdco”) has Series A Fixed Rate Cumulative Redeemable Preferred Units (“Subsidiary Series A Preferred Units”) that rank senior to each other class or series of limited liability company interests or other equity securities in Permian Holdco that may be established in the future that expressly ranks junior to the Subsidiary Series A Preferred Units as to the payment of distributions and amounts payable upon a liquidation event. The Subsidiary Series A Preferred Units rank equal in all respects with each class or series of limited liability company interests or other equity securities in Permian Holdco that may be established in the future that is not expressly made senior or subordinated to the Subsidiary Series A Preferred Units as to the payment of distributions and amounts payable on a liquidation event. The Subsidiary Series A Preferred Units rank junior to (i) all of Permian Holdco’s or a subsidiary of Permian Holdco’s future indebtedness and other liabilities with respect to assets available to satisfy claims against Permian Holdco and (ii) each other class or series of limited liability company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the Subsidiary Series A Preferred Units are cumulative and compounding and are payable 21 days following the quarterly period ended March, June, September and December of each year (each, a “Subsidiary Series A Distribution Payment Date”) to holders of record as of the close of business on the first business day of the month of the applicable Subsidiary Series A Distribution Payment Date, in each case, when, as, and if declared by the board of directors of Permian Holdco out of legally available funds for such purpose. The distribution rate for the Subsidiary Series A Preferred Units is 7.00% per annum of the $1,000 issue amount per outstanding Subsidiary Series A Preferred Unit. These Subsidiary Series A Preferred Units are considered redeemable securities under GAAP due to the existence of certain redemption provisions that are outside of the Company’s control. Therefore, the securities are classified as temporary equity in the mezzanine section of the consolidated balance sheets.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Net income (loss) attributable to common stockholders includes adjustments for payment-in-kind distributions and redemption accretion.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93,039 Subsidiary Series A Preferred Units issued and outstanding.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Subsidiary Series A Preferred Units were redeemed on March 31, 2025, the redemption amount would be $135.9 million when considering the applicable multiple on invested capital metric and make-whole amount provisions contained in the Amended and Restated Limited Liability Company Agreement of Permian Holdco.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the Company’s Subsidiary Series A Preferred Unit balance from December 31, 2024 to March 31, 2025, net of $1.0 million and $1.1 million of unamortized issuance costs at March 31, 2025 and December 31, 2024, respectively:</w:t>
      </w:r>
    </w:p>
    <w:tbl>
      <w:tblPr>
        <w:tblW w:w="8353" w:type="dxa"/>
        <w:jc w:val="left"/>
        <w:tblInd w:w="0" w:type="dxa"/>
        <w:tblLayout w:type="fixed"/>
        <w:tblCellMar>
          <w:top w:w="28" w:type="dxa"/>
          <w:left w:w="28" w:type="dxa"/>
          <w:bottom w:w="28" w:type="dxa"/>
          <w:right w:w="28" w:type="dxa"/>
        </w:tblCellMar>
      </w:tblPr>
      <w:tblGrid>
        <w:gridCol w:w="2546"/>
        <w:gridCol w:w="2231"/>
        <w:gridCol w:w="2242"/>
        <w:gridCol w:w="236"/>
        <w:gridCol w:w="926"/>
        <w:gridCol w:w="172"/>
      </w:tblGrid>
      <w:tr>
        <w:trPr/>
        <w:tc>
          <w:tcPr>
            <w:tcW w:w="254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 net of issuance cost amortization</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 (includes a $1.6 million distribution payable as of March 31, 2025)</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134,909 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Noncontrolling interest.</w:t>
      </w:r>
      <w:r>
        <w:rPr>
          <w:color w:val="000000"/>
        </w:rPr>
        <w:t xml:space="preserve"> </w:t>
      </w:r>
      <w:r>
        <w:rPr>
          <w:rFonts w:ascii="Times New Roman;sans-serif" w:hAnsi="Times New Roman;sans-serif"/>
          <w:b w:val="false"/>
          <w:color w:val="000000"/>
          <w:sz w:val="20"/>
        </w:rPr>
        <w:t>Noncontrolling interest represents the portion of net assets in the Company’s consolidated subsidiaries that are not wholly owned by the Company. The Company’s noncontrolling interest is recorded at carrying value and is reported as a component of equity on the consolidated balance sheet. As of March 31, 2025, the Company’s noncontrolling interest is approximately 35% of the net assets of SMLP. The noncontrolling interest will be adjusted in the future for (i) any net income or loss generated by SMLP, and (ii) any equity shifts resulting from the issuance of common stock in connection with the SMC LTIP, or certain changes to SMLP’s capital accounts.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changes in noncontrolling interest during the periods presented:</w:t>
      </w:r>
    </w:p>
    <w:tbl>
      <w:tblPr>
        <w:tblW w:w="7018" w:type="dxa"/>
        <w:jc w:val="left"/>
        <w:tblInd w:w="0" w:type="dxa"/>
        <w:tblLayout w:type="fixed"/>
        <w:tblCellMar>
          <w:top w:w="28" w:type="dxa"/>
          <w:left w:w="28" w:type="dxa"/>
          <w:bottom w:w="28" w:type="dxa"/>
          <w:right w:w="28" w:type="dxa"/>
        </w:tblCellMar>
      </w:tblPr>
      <w:tblGrid>
        <w:gridCol w:w="1901"/>
        <w:gridCol w:w="1669"/>
        <w:gridCol w:w="1680"/>
        <w:gridCol w:w="109"/>
        <w:gridCol w:w="109"/>
        <w:gridCol w:w="109"/>
        <w:gridCol w:w="255"/>
        <w:gridCol w:w="999"/>
        <w:gridCol w:w="187"/>
      </w:tblGrid>
      <w:tr>
        <w:trPr/>
        <w:tc>
          <w:tcPr>
            <w:tcW w:w="190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w:t>
              <w:br/>
              <w:t>Interest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497,333 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shift - Change in Ownership of Consolidated Subsidiary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409,818 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 xml:space="preserve">Equity shift - Change in Ownership of Consolidated Subsidiary. </w:t>
      </w:r>
      <w:r>
        <w:rPr>
          <w:rFonts w:ascii="Times New Roman;sans-serif" w:hAnsi="Times New Roman;sans-serif"/>
          <w:b w:val="false"/>
          <w:color w:val="000000"/>
          <w:sz w:val="20"/>
        </w:rPr>
        <w:t xml:space="preserve">The Tall Oak Acquisition resulted in the establishment of a noncontrolling interest on December 2, 2024 due to the issuance of 7,471,008 Partnership Common Units in Summit Midstream Partners, LP to Tall Oak Parent.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had an equity shift and its noncontrolling interest was reduced by $86.5 million primarily due to an increase in the number of SMC shares outstanding and a corresponding increase in SMC’s ownership of SMLP’s net assets. The increase in SMC’s outstanding share count, which also resulted in an equivalent increase of SMLP’s issued units, was a result of (a) the issuance of 0.9 million SMC shares to Tall Oak Midstream Investments, LLC (“TOMI”) for the exchange and conversion of TOMI’s ownership of 0.9 million SMC’s Class B Common Stock and associated 0.9 million Partnership Common Units, (b) the issuance of 0.5 million SMC shares for the Moonrise Acquisition (See Note 3 - Acquisitions and Divestitures) and (c) employee share-based compensation vesting events.</w:t>
      </w:r>
    </w:p>
    <w:p>
      <w:pPr>
        <w:pStyle w:val="TextBody"/>
        <w:bidi w:val="0"/>
        <w:spacing w:lineRule="auto" w:line="288" w:before="120" w:after="283"/>
        <w:jc w:val="left"/>
        <w:rPr/>
      </w:pPr>
      <w:r>
        <w:rPr>
          <w:rFonts w:ascii="Times New Roman;sans-serif" w:hAnsi="Times New Roman;sans-serif"/>
          <w:b/>
          <w:i/>
          <w:color w:val="000000"/>
          <w:sz w:val="20"/>
        </w:rPr>
        <w:t>Cash Distribution Policy.</w:t>
      </w:r>
      <w:r>
        <w:rPr>
          <w:color w:val="000000"/>
        </w:rPr>
        <w:t> </w:t>
      </w:r>
      <w:r>
        <w:rPr>
          <w:rFonts w:ascii="Times New Roman;sans-serif" w:hAnsi="Times New Roman;sans-serif"/>
          <w:b w:val="false"/>
          <w:color w:val="000000"/>
          <w:sz w:val="20"/>
        </w:rPr>
        <w:t>In March 2020, SMLP suspended cash distributions to holders of its common units and Series A Preferred Units, commencing with respect to the quarter ended March 31, 2020. Upon the consummation of the Corporate Reorganization, all accumulated and unpaid distributions on the Series A Preferred Units were deemed by the Series A Certificate of Designation to be Series A Unpaid Cash Dividends (as defined in the Series A Certificate of Designation) per share of Series A Preferred Stock, and any rights to accumulated and unpaid distributions on such Series A Preferred Units were discharged. Because the Series A Preferred Stock ranks senior to the Company’s common stock with respect to dividend rights, any accrued dividends on the Series A Preferred Stock must first be paid prior to the initiation of dividends to holders of the Company’s common stock. As of March 31, 2025, the amount of accrued and unpaid dividends on the Series A Preferred Stock totaled $46.9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Absent a material change to the Company’s business, the Company does not expect to pay dividends to holders of the Company’s common stock in the foreseeable future. Any future dividend payments will depend on the Company’s financial condition, market conditions and other matters deemed relevant by the Company’s Board of Directors. Additionally, the Company’s ability to pay dividends is subject to restrictions on dividends under the Amended and Restated ABL Facility, Series A Preferred Shares and the indenture governing the 2029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EPS.</w:t>
      </w:r>
    </w:p>
    <w:tbl>
      <w:tblPr>
        <w:tblW w:w="8905" w:type="dxa"/>
        <w:jc w:val="left"/>
        <w:tblInd w:w="0" w:type="dxa"/>
        <w:tblLayout w:type="fixed"/>
        <w:tblCellMar>
          <w:top w:w="28" w:type="dxa"/>
          <w:left w:w="28" w:type="dxa"/>
          <w:bottom w:w="28" w:type="dxa"/>
          <w:right w:w="28" w:type="dxa"/>
        </w:tblCellMar>
      </w:tblPr>
      <w:tblGrid>
        <w:gridCol w:w="2273"/>
        <w:gridCol w:w="2002"/>
        <w:gridCol w:w="2009"/>
        <w:gridCol w:w="219"/>
        <w:gridCol w:w="705"/>
        <w:gridCol w:w="121"/>
        <w:gridCol w:w="121"/>
        <w:gridCol w:w="121"/>
        <w:gridCol w:w="121"/>
        <w:gridCol w:w="219"/>
        <w:gridCol w:w="822"/>
        <w:gridCol w:w="172"/>
      </w:tblGrid>
      <w:tr>
        <w:trPr/>
        <w:tc>
          <w:tcPr>
            <w:tcW w:w="2273"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w:t>
              <w:br/>
              <w:t>per-share amounts)</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 for basic and diluted EPS: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Subsidiary Series A Preferred Units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Net loss attributable to noncontrolling interest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Summit Midstream Corporation</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129,157 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Series A Preferred Stock</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common equity holders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Denominator for basic and diluted EPS: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 – basic</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nonvested restricted stock units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assumed conversion and elimination of noncontrolling interest and net income</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 – diluted</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share:</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basic</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 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anti-dilutive restricted shares excluded from the calculation of diluted EPS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SUPPLEMENTAL CASH FLOW INFORMATION</w:t>
      </w:r>
    </w:p>
    <w:tbl>
      <w:tblPr>
        <w:tblW w:w="9176" w:type="dxa"/>
        <w:jc w:val="left"/>
        <w:tblInd w:w="0" w:type="dxa"/>
        <w:tblLayout w:type="fixed"/>
        <w:tblCellMar>
          <w:top w:w="28" w:type="dxa"/>
          <w:left w:w="28" w:type="dxa"/>
          <w:bottom w:w="28" w:type="dxa"/>
          <w:right w:w="28" w:type="dxa"/>
        </w:tblCellMar>
      </w:tblPr>
      <w:tblGrid>
        <w:gridCol w:w="2440"/>
        <w:gridCol w:w="2142"/>
        <w:gridCol w:w="2153"/>
        <w:gridCol w:w="219"/>
        <w:gridCol w:w="750"/>
        <w:gridCol w:w="113"/>
        <w:gridCol w:w="113"/>
        <w:gridCol w:w="113"/>
        <w:gridCol w:w="113"/>
        <w:gridCol w:w="219"/>
        <w:gridCol w:w="641"/>
        <w:gridCol w:w="160"/>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trade accounts payable (period-end accruals)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Subsidiary Series A Preferred Units, net of issuance cost amortization</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consideration for Moonrise Acquisition</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EQUITY COMPENSATION</w:t>
      </w:r>
    </w:p>
    <w:p>
      <w:pPr>
        <w:pStyle w:val="TextBody"/>
        <w:bidi w:val="0"/>
        <w:spacing w:lineRule="auto" w:line="288" w:before="120" w:after="283"/>
        <w:jc w:val="left"/>
        <w:rPr/>
      </w:pPr>
      <w:r>
        <w:rPr>
          <w:rFonts w:ascii="Times New Roman;sans-serif" w:hAnsi="Times New Roman;sans-serif"/>
          <w:b/>
          <w:i/>
          <w:color w:val="000000"/>
          <w:sz w:val="20"/>
        </w:rPr>
        <w:t xml:space="preserve">SMC Long-Term Incentive Plan. </w:t>
      </w:r>
      <w:r>
        <w:rPr>
          <w:rFonts w:ascii="Times New Roman;sans-serif" w:hAnsi="Times New Roman;sans-serif"/>
          <w:b w:val="false"/>
          <w:color w:val="000000"/>
          <w:sz w:val="20"/>
        </w:rPr>
        <w:t xml:space="preserve">In connection with the consummation of the Corporate Reorganization, the Company assumed SMLP’s 2022 Long-Term Incentive Plan, as amended by the First Amendment, effective as of March 16, 2022 (the “SMLP LTIP”), and all the obligations of SMLP thereunder. The SMLP LTIP units were exchanged on a one-for-one basis with equivalent terms. In connection with the assumption of the SMLP LTIP and the Corporate Reorganization, the Board of Directors approved the amendment and restatement of the SMLP LTIP, with such amendment and restatement effective as of August 1, 2024 (such amended and restated plan, the Summit Midstream Corporation 2024 Long-Term Incentive Plan (the “SMC LTIP”)). The SMC LTIP authorizes the Compensation Committee of the Company, in its discretion, to grant awards of restricted stock, restricted stock units, stock options, stock appreciation rights and other awards related to the Company’s common stock upon such terms and conditions as it may determine appropriate and in accordance with the terms of the SMC LTIP.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items to note: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three-month period ended March 31, 2025, the Company granted 117,651 time-based restricted stock units and associated dividend equivalent rights to employees in connection with the Company’s annual incentive compensation award cycle. The grant date fair value of these awards totaled $4.4 million and the awards vest ratably over a three-year period.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three-month period ended March 31, 2025, the Company granted 90,081 performance-based restricted stock units and associated dividend equivalent rights to certain members of management in connection with the Company’s annual incentive compensation award cycle. The grant date fair value of these awards totaled $4.4 million and the awards vest at the end of three years.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three-month period ended March 31, 2025, the Company issued 18,372 shares of common stock to six independent directors in connection with their annual compensation plan. The grant date fair value of these awards totaled $0.7 million and became fully vested at the grant 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approximately 0.6 million shares of common stock remained available for future issuance under the SMC LTIP, which includes the impact of 0.7 million granted but unvested restricted stock and performance-based awards, assuming the performance-based awards are settled with a 100% target payout.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consummation of the Corporate Reorganization, SMLP was treated as a partnership for federal and state income tax purposes, in which the Partnership’s taxable income or loss was passed through to its unitholders. SMLP was subject to Texas margin tax. Therefore, with the exception of Texas, SMLP did not directly pay federal and state income taxes and no entity-level income tax provisions was recorded other than for the effects of the Texas margin tax.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Corporation’s effective income tax rate for the three months ended March 31, 2025 and March 31, 2024 was 6.00% and 0.00%, respectively. The effective tax rate for the three months ended March 31, 2025 was different from the U.S. federal statutory income tax rate of 21% primarily due to the net income allocated to the noncontrolling interest, tax benefits related to stock-based compensation and nondeductible executive compensation. The effective tax rate for the three months ended March 31, 2024 was different from the U.S. federal statutory income tax rate of 21% primarily due to SMLP’s pre-Corporate Reorganization income not being subject to U.S. federal or state income tax, other than the Texas margin tax.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realizability of deferred tax assets, management considers whether it is more likely than not that some portion or all of the deferred tax assets will not be realized, and when necessary, valuation allowances are provided. The ultimate realization of deferred tax assets is dependent upon the generation of future taxable income during the periods in which those temporary differences become deductible. SMC assesses the realizability of its deferred tax assets quarterly and considers carryback availability, the scheduled reversal of deferred tax liabilities, projected future taxable income and tax planning strategies in making this assessment. No valuation allowance has been recognized as of March 31, 2025.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SMC continues to monitor income tax developments in the United States. SMC will incorporate into its future financial statements the impacts, if any, of future regulations and additional authoritative guidance when finalized.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operating segments, which are equivalent to our reportable segments, have been identified based on their geographic location and reflect how the Company’s Chief Operating Decision Maker (“CODM”) assesses performance and allocates resources. The Company’s CODM, which is its Chief Executive Officer, primarily utilizes segment adjusted EBITDA as the key indicator in assessing the segment’s performance and allocating resources. Segment adjusted EBITDA is primarily used in the budgeting and forecasting process and the CODM regularly considers budget-to-actual variances when evaluating the performance of each segment and making decisions on the allocation of operating and capital resources to each individual segment.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 xml:space="preserve">Includes the Company’s midstream assets located in the Williston Basin and the DJ Basin.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Includes the Company’s equity method investment in Double 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the Company’s midstream assets located in the Piceance Basin.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Mid-Con </w:t>
      </w:r>
      <w:r>
        <w:rPr>
          <w:color w:val="000000"/>
        </w:rPr>
        <w:t xml:space="preserve">– </w:t>
      </w:r>
      <w:r>
        <w:rPr>
          <w:rFonts w:ascii="Times New Roman;sans-serif" w:hAnsi="Times New Roman;sans-serif"/>
          <w:b w:val="false"/>
          <w:color w:val="000000"/>
          <w:sz w:val="20"/>
        </w:rPr>
        <w:t xml:space="preserve">Includes the Company’s midstream assets located in the Barnett Shale and, following the Tall Oak Acquisition, the Arkoma Basin.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Northeast </w:t>
      </w:r>
      <w:r>
        <w:rPr>
          <w:color w:val="000000"/>
        </w:rPr>
        <w:t xml:space="preserve">– </w:t>
      </w:r>
      <w:r>
        <w:rPr>
          <w:rFonts w:ascii="Times New Roman;sans-serif" w:hAnsi="Times New Roman;sans-serif"/>
          <w:b w:val="false"/>
          <w:color w:val="000000"/>
          <w:sz w:val="20"/>
        </w:rPr>
        <w:t xml:space="preserve">Includes the Company’s previously owned midstream assets located in the Utica and Marcellus shale plays and the previously owned equity method investment in Ohio Gathering that was focused on the Utica Shale. During the year ended December 31, 2024, the Company divested of its Northeast operations. See Note 3 - Acquisitions and Divestitures for additional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the Company’s reportable segments:</w:t>
      </w:r>
    </w:p>
    <w:tbl>
      <w:tblPr>
        <w:tblW w:w="10205" w:type="dxa"/>
        <w:jc w:val="left"/>
        <w:tblInd w:w="0" w:type="dxa"/>
        <w:tblLayout w:type="fixed"/>
        <w:tblCellMar>
          <w:top w:w="28" w:type="dxa"/>
          <w:left w:w="28" w:type="dxa"/>
          <w:bottom w:w="28" w:type="dxa"/>
          <w:right w:w="28" w:type="dxa"/>
        </w:tblCellMar>
      </w:tblPr>
      <w:tblGrid>
        <w:gridCol w:w="1692"/>
        <w:gridCol w:w="1381"/>
        <w:gridCol w:w="1397"/>
        <w:gridCol w:w="181"/>
        <w:gridCol w:w="541"/>
        <w:gridCol w:w="109"/>
        <w:gridCol w:w="109"/>
        <w:gridCol w:w="109"/>
        <w:gridCol w:w="109"/>
        <w:gridCol w:w="181"/>
        <w:gridCol w:w="466"/>
        <w:gridCol w:w="109"/>
        <w:gridCol w:w="109"/>
        <w:gridCol w:w="109"/>
        <w:gridCol w:w="109"/>
        <w:gridCol w:w="181"/>
        <w:gridCol w:w="541"/>
        <w:gridCol w:w="109"/>
        <w:gridCol w:w="109"/>
        <w:gridCol w:w="109"/>
        <w:gridCol w:w="109"/>
        <w:gridCol w:w="181"/>
        <w:gridCol w:w="541"/>
        <w:gridCol w:w="109"/>
        <w:gridCol w:w="109"/>
        <w:gridCol w:w="109"/>
        <w:gridCol w:w="109"/>
        <w:gridCol w:w="181"/>
        <w:gridCol w:w="406"/>
        <w:gridCol w:w="109"/>
        <w:gridCol w:w="109"/>
        <w:gridCol w:w="109"/>
        <w:gridCol w:w="109"/>
        <w:gridCol w:w="155"/>
      </w:tblGrid>
      <w:tr>
        <w:trPr/>
        <w:tc>
          <w:tcPr>
            <w:tcW w:w="169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Three Months Ended March 31, 2025</w:t>
            </w:r>
          </w:p>
        </w:tc>
        <w:tc>
          <w:tcPr>
            <w:tcW w:w="5253"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 xml:space="preserve">Revenues: </w:t>
            </w:r>
            <w:r>
              <w:rPr>
                <w:rFonts w:ascii="Times New Roman;sans-serif" w:hAnsi="Times New Roman;sans-serif"/>
                <w:b/>
                <w:color w:val="000000"/>
                <w:sz w:val="9"/>
              </w:rPr>
              <w:t>(1)</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Gathering services and related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Natural gas, NGL’s and condensate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Other revenues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Total revenues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Less: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Cost of natural gas and NGLs (excludes deductions for gathering, processing and other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Cost of natural gas and NGLs (amounts withheld from customers for the Company’s gathering, processing and other fees)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Employee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Materials, parts and other operating expenses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Indirect and passthrough </w:t>
            </w:r>
            <w:r>
              <w:rPr>
                <w:rFonts w:ascii="Times New Roman;sans-serif" w:hAnsi="Times New Roman;sans-serif"/>
                <w:b w:val="false"/>
                <w:color w:val="000000"/>
                <w:sz w:val="9"/>
              </w:rPr>
              <w:t>(3)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Other segment items </w:t>
            </w:r>
            <w:r>
              <w:rPr>
                <w:rFonts w:ascii="Times New Roman;sans-serif" w:hAnsi="Times New Roman;sans-serif"/>
                <w:b w:val="false"/>
                <w:color w:val="000000"/>
                <w:sz w:val="9"/>
              </w:rPr>
              <w:t>(2)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Segment Adjusted EBITDA</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2"/>
        <w:gridCol w:w="1361"/>
        <w:gridCol w:w="1377"/>
        <w:gridCol w:w="181"/>
        <w:gridCol w:w="541"/>
        <w:gridCol w:w="109"/>
        <w:gridCol w:w="109"/>
        <w:gridCol w:w="109"/>
        <w:gridCol w:w="109"/>
        <w:gridCol w:w="181"/>
        <w:gridCol w:w="466"/>
        <w:gridCol w:w="109"/>
        <w:gridCol w:w="109"/>
        <w:gridCol w:w="109"/>
        <w:gridCol w:w="109"/>
        <w:gridCol w:w="181"/>
        <w:gridCol w:w="541"/>
        <w:gridCol w:w="109"/>
        <w:gridCol w:w="109"/>
        <w:gridCol w:w="109"/>
        <w:gridCol w:w="109"/>
        <w:gridCol w:w="181"/>
        <w:gridCol w:w="466"/>
        <w:gridCol w:w="109"/>
        <w:gridCol w:w="109"/>
        <w:gridCol w:w="109"/>
        <w:gridCol w:w="109"/>
        <w:gridCol w:w="181"/>
        <w:gridCol w:w="541"/>
        <w:gridCol w:w="109"/>
        <w:gridCol w:w="109"/>
        <w:gridCol w:w="109"/>
        <w:gridCol w:w="109"/>
        <w:gridCol w:w="155"/>
      </w:tblGrid>
      <w:tr>
        <w:trPr/>
        <w:tc>
          <w:tcPr>
            <w:tcW w:w="167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Three Months Ended March 31, 2024</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 xml:space="preserve">Revenues: </w:t>
            </w:r>
            <w:r>
              <w:rPr>
                <w:rFonts w:ascii="Times New Roman;sans-serif" w:hAnsi="Times New Roman;sans-serif"/>
                <w:b/>
                <w:color w:val="000000"/>
                <w:sz w:val="9"/>
              </w:rPr>
              <w:t>(1)</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Gathering services and related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Natural gas, NGL’s and condensate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revenues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Total revenues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 of natural gas and NGLs (excludes deductions for gathering, processing and other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 of natural gas and NGLs (amounts withheld from customers for the Company’s gathering, processing and other fees)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Materials, parts and other operating expenses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Indirect and passthrough </w:t>
            </w:r>
            <w:r>
              <w:rPr>
                <w:rFonts w:ascii="Times New Roman;sans-serif" w:hAnsi="Times New Roman;sans-serif"/>
                <w:b w:val="false"/>
                <w:color w:val="000000"/>
                <w:sz w:val="9"/>
              </w:rPr>
              <w:t>(3)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Other segment items </w:t>
            </w:r>
            <w:r>
              <w:rPr>
                <w:rFonts w:ascii="Times New Roman;sans-serif" w:hAnsi="Times New Roman;sans-serif"/>
                <w:b w:val="false"/>
                <w:color w:val="000000"/>
                <w:sz w:val="9"/>
              </w:rPr>
              <w:t>(2)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Segment Adjusted EBITDA</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Company’s revenues are attributable solely to external customers located within the United States.</w:t>
      </w:r>
    </w:p>
    <w:p>
      <w:pPr>
        <w:pStyle w:val="TextBody"/>
        <w:bidi w:val="0"/>
        <w:spacing w:lineRule="auto" w:line="288" w:before="120" w:after="283"/>
        <w:ind w:left="0" w:right="0" w:hanging="9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For the three months ended March 31, 2025 and 2024, other segment items consist primarily of the following: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Rockies - includes general and administrative expenses, operations and maintenance expenses and adjustments related to capital reimbursement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Permian - includes general and administrative expenses and the Company’s proportional adjusted EBITDA from its equity method investment in Double 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Piceance - includes general and administrative expenses, operations and maintenance expenses and adjustments related to capital reimbursement activity;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Mid-Con - includes general and administrative expenses, operations and maintenance expenses, adjustments related to capital reimbursement activity, the amortization expense associated with the Company’s favorable and unfavorable gas gathering contracts;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Northeast - includes general and administrative expenses, operations and maintenance expense, the Company’s proportional adjusted EBITDA from its equity method investment in Ohio Gathering.</w:t>
      </w:r>
    </w:p>
    <w:p>
      <w:pPr>
        <w:pStyle w:val="TextBody"/>
        <w:bidi w:val="0"/>
        <w:spacing w:lineRule="auto" w:line="288" w:before="120" w:after="283"/>
        <w:ind w:left="0" w:right="0" w:hanging="18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Indirect and passthrough consist primarily of electricity expense incurred by the Company of which a portion is passed through to its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reportable segment follow.</w:t>
      </w:r>
    </w:p>
    <w:tbl>
      <w:tblPr>
        <w:tblW w:w="5823" w:type="dxa"/>
        <w:jc w:val="left"/>
        <w:tblInd w:w="0" w:type="dxa"/>
        <w:tblLayout w:type="fixed"/>
        <w:tblCellMar>
          <w:top w:w="28" w:type="dxa"/>
          <w:left w:w="28" w:type="dxa"/>
          <w:bottom w:w="28" w:type="dxa"/>
          <w:right w:w="28" w:type="dxa"/>
        </w:tblCellMar>
      </w:tblPr>
      <w:tblGrid>
        <w:gridCol w:w="977"/>
        <w:gridCol w:w="853"/>
        <w:gridCol w:w="825"/>
        <w:gridCol w:w="211"/>
        <w:gridCol w:w="976"/>
        <w:gridCol w:w="109"/>
        <w:gridCol w:w="109"/>
        <w:gridCol w:w="109"/>
        <w:gridCol w:w="109"/>
        <w:gridCol w:w="243"/>
        <w:gridCol w:w="1125"/>
        <w:gridCol w:w="177"/>
      </w:tblGrid>
      <w:tr>
        <w:trPr/>
        <w:tc>
          <w:tcPr>
            <w:tcW w:w="97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Assets</w:t>
            </w:r>
            <w:r>
              <w:rPr>
                <w:rFonts w:ascii="Times New Roman;sans-serif" w:hAnsi="Times New Roman;sans-serif"/>
                <w:b/>
                <w:color w:val="000000"/>
                <w:sz w:val="13"/>
              </w:rPr>
              <w:t>(1)</w:t>
            </w:r>
            <w:r>
              <w:rPr>
                <w:rFonts w:ascii="Times New Roman;sans-serif" w:hAnsi="Times New Roman;sans-serif"/>
                <w:b/>
                <w:color w:val="000000"/>
                <w:sz w:val="20"/>
              </w:rPr>
              <w: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2,338,790 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2,359,484 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Company’s long-lived assets are located within the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including the amortization expense associated with the Company’s favorable and unfavorable gas gathering contracts as reported in other revenues, by reportable segment follow.</w:t>
      </w:r>
    </w:p>
    <w:tbl>
      <w:tblPr>
        <w:tblW w:w="7088" w:type="dxa"/>
        <w:jc w:val="left"/>
        <w:tblInd w:w="0" w:type="dxa"/>
        <w:tblLayout w:type="fixed"/>
        <w:tblCellMar>
          <w:top w:w="28" w:type="dxa"/>
          <w:left w:w="28" w:type="dxa"/>
          <w:bottom w:w="28" w:type="dxa"/>
          <w:right w:w="28" w:type="dxa"/>
        </w:tblCellMar>
      </w:tblPr>
      <w:tblGrid>
        <w:gridCol w:w="1679"/>
        <w:gridCol w:w="1475"/>
        <w:gridCol w:w="1480"/>
        <w:gridCol w:w="211"/>
        <w:gridCol w:w="721"/>
        <w:gridCol w:w="109"/>
        <w:gridCol w:w="109"/>
        <w:gridCol w:w="109"/>
        <w:gridCol w:w="109"/>
        <w:gridCol w:w="211"/>
        <w:gridCol w:w="721"/>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Mid-Con</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depreciation and amortization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the amortization expense associated with the Company’s favorable and unfavorable gas gathering contracts as reported in Other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capital expenditures by reportable segment follow.</w:t>
      </w:r>
    </w:p>
    <w:tbl>
      <w:tblPr>
        <w:tblW w:w="6293" w:type="dxa"/>
        <w:jc w:val="left"/>
        <w:tblInd w:w="0" w:type="dxa"/>
        <w:tblLayout w:type="fixed"/>
        <w:tblCellMar>
          <w:top w:w="28" w:type="dxa"/>
          <w:left w:w="28" w:type="dxa"/>
          <w:bottom w:w="28" w:type="dxa"/>
          <w:right w:w="28" w:type="dxa"/>
        </w:tblCellMar>
      </w:tblPr>
      <w:tblGrid>
        <w:gridCol w:w="1391"/>
        <w:gridCol w:w="1221"/>
        <w:gridCol w:w="1227"/>
        <w:gridCol w:w="211"/>
        <w:gridCol w:w="721"/>
        <w:gridCol w:w="109"/>
        <w:gridCol w:w="109"/>
        <w:gridCol w:w="109"/>
        <w:gridCol w:w="109"/>
        <w:gridCol w:w="211"/>
        <w:gridCol w:w="72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capital expenditures: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capital expenditures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for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purpose of evaluating segment performance, the Company excludes the effect of Corporate and Other revenues and expenses, such as certain general and administrative expenses (including compensation-related expenses and professional services fees), certain natural gas and crude oil marketing services, transaction costs, interest expense and income tax expense or benefit from segment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total of reportable segments’ measure of profit to income or loss before income taxes and income from equity method investees follows.</w:t>
      </w:r>
    </w:p>
    <w:tbl>
      <w:tblPr>
        <w:tblW w:w="10205" w:type="dxa"/>
        <w:jc w:val="left"/>
        <w:tblInd w:w="0" w:type="dxa"/>
        <w:tblLayout w:type="fixed"/>
        <w:tblCellMar>
          <w:top w:w="28" w:type="dxa"/>
          <w:left w:w="28" w:type="dxa"/>
          <w:bottom w:w="28" w:type="dxa"/>
          <w:right w:w="28" w:type="dxa"/>
        </w:tblCellMar>
      </w:tblPr>
      <w:tblGrid>
        <w:gridCol w:w="2225"/>
        <w:gridCol w:w="1956"/>
        <w:gridCol w:w="1966"/>
        <w:gridCol w:w="109"/>
        <w:gridCol w:w="109"/>
        <w:gridCol w:w="200"/>
        <w:gridCol w:w="200"/>
        <w:gridCol w:w="389"/>
        <w:gridCol w:w="1330"/>
        <w:gridCol w:w="200"/>
        <w:gridCol w:w="109"/>
        <w:gridCol w:w="109"/>
        <w:gridCol w:w="109"/>
        <w:gridCol w:w="211"/>
        <w:gridCol w:w="826"/>
        <w:gridCol w:w="157"/>
      </w:tblGrid>
      <w:tr>
        <w:trPr/>
        <w:tc>
          <w:tcPr>
            <w:tcW w:w="2225"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21" w:type="dxa"/>
            <w:gridSpan w:val="6"/>
            <w:tcBorders/>
          </w:tcPr>
          <w:p>
            <w:pPr>
              <w:pStyle w:val="TableContents"/>
              <w:bidi w:val="0"/>
              <w:spacing w:before="0" w:after="283"/>
              <w:jc w:val="left"/>
              <w:rPr>
                <w:sz w:val="4"/>
                <w:szCs w:val="4"/>
              </w:rPr>
            </w:pPr>
            <w:r>
              <w:rPr>
                <w:sz w:val="4"/>
                <w:szCs w:val="4"/>
              </w:rPr>
            </w:r>
          </w:p>
        </w:tc>
      </w:tr>
      <w:tr>
        <w:trPr/>
        <w:tc>
          <w:tcPr>
            <w:tcW w:w="6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1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segment adjusted EBITDA to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79,493 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Corporate and Other expense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15,096 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Proportional adjusted EBITDA for equity method investees </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Adjustments related to capital reimbursement activity </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(1)Corporate includes results that are not specifically attributable to a reportable segment or that have not been allocated to the Company’s reportable segments, for the three months ended March 31, 2025 other expense consisted primarily of a gain on the fair value remeasurement of the Tall Oak earn-out offset by transaction and other expenses. For the three months ended March 31, 2024, other expense consisted primarily of gains on interest rate swaps offset by transaction and other expenses. </w:t>
      </w:r>
    </w:p>
    <w:p>
      <w:pPr>
        <w:pStyle w:val="TextBody"/>
        <w:bidi w:val="0"/>
        <w:spacing w:lineRule="auto" w:line="288" w:before="0" w:after="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(2)Includes the amortization expense associated with the Company’s favorable gas gathering contracts as reported in other revenues.</w:t>
      </w:r>
    </w:p>
    <w:p>
      <w:pPr>
        <w:pStyle w:val="TextBody"/>
        <w:bidi w:val="0"/>
        <w:spacing w:lineRule="auto" w:line="288" w:before="0" w:after="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(3)The Company recorded financial results of its investment in Ohio Gathering on a one-month lag and is based on the financial information available to the Company during the reporting period. With the divestiture of Ohio Gathering in March 2024, proportional adjusted EBITDA includes financial results from December 1, 2023 through March 22, 2024.</w:t>
      </w:r>
    </w:p>
    <w:p>
      <w:pPr>
        <w:pStyle w:val="TextBody"/>
        <w:bidi w:val="0"/>
        <w:spacing w:lineRule="auto" w:line="288" w:before="0" w:after="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(4)Contributions in aid of construction are recognized over the remaining term of the respective contract. The Company includes adjustments related to capital reimbursement activity in its calculation of segment adjusted EBITDA to account for revenue recognized from contributions in aid of construction.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is intended to inform the reader about matters affecting the financial condition and results of operations of the Company and its subsidiaries for the periods since December 31, 2024. As a result, the following discussion should be read in conjunction with the Company’s unaudited condensed consolidated financial statements and notes thereto included in this report and the MD&amp;A and the audited consolidated financial statements and related notes that are included in the Company’s 2024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the section “Forward-Looking Statements.” Actual results may differ materially from those contained in any forward-looking statements.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or unless otherwise noted, all references to “Summit Midstream,” the “Company,” “we,” “us,” “our” or like terms are to Summit Midstream Corporation (including its subsidiaries) for the periods after August 1, 2024, the date the Corporate Reorganization was consummated. For the periods prior to August 1, 2024, unless the context requires otherwise or unless otherwise noted, all reference to “Summit Midstream,” or the “Company” are to Summit Midstream Partners, LP. (including its subsidiaries).</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value-oriented company focused on developing, owning and operating midstream energy infrastructure assets that are strategically located in unconventional resource basins, primarily shale formations, in the continental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Mid-Con segments, (ii) the sale of natural gas we retain from certain Mid-Con segment customers, (iii) the sale of condensate we retain from our gathering services in the Rockies and Piceance segment and (iv) additional gathering fees that are tied to the performance of certain commodity price indexes which are then added to the fixed gathering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and reportable segment financial data. For additional information on our reportable segments, see the “Segment Overview for the Three Months Ended March 31, 2025 and 2024” section included herein.</w:t>
      </w:r>
    </w:p>
    <w:tbl>
      <w:tblPr>
        <w:tblW w:w="10205" w:type="dxa"/>
        <w:jc w:val="left"/>
        <w:tblInd w:w="0" w:type="dxa"/>
        <w:tblLayout w:type="fixed"/>
        <w:tblCellMar>
          <w:top w:w="28" w:type="dxa"/>
          <w:left w:w="28" w:type="dxa"/>
          <w:bottom w:w="28" w:type="dxa"/>
          <w:right w:w="28" w:type="dxa"/>
        </w:tblCellMar>
      </w:tblPr>
      <w:tblGrid>
        <w:gridCol w:w="2217"/>
        <w:gridCol w:w="1937"/>
        <w:gridCol w:w="1968"/>
        <w:gridCol w:w="109"/>
        <w:gridCol w:w="109"/>
        <w:gridCol w:w="202"/>
        <w:gridCol w:w="202"/>
        <w:gridCol w:w="393"/>
        <w:gridCol w:w="1343"/>
        <w:gridCol w:w="202"/>
        <w:gridCol w:w="109"/>
        <w:gridCol w:w="109"/>
        <w:gridCol w:w="109"/>
        <w:gridCol w:w="211"/>
        <w:gridCol w:w="826"/>
        <w:gridCol w:w="159"/>
      </w:tblGrid>
      <w:tr>
        <w:trPr/>
        <w:tc>
          <w:tcPr>
            <w:tcW w:w="221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23" w:type="dxa"/>
            <w:gridSpan w:val="6"/>
            <w:tcBorders/>
          </w:tcPr>
          <w:p>
            <w:pPr>
              <w:pStyle w:val="TableContents"/>
              <w:bidi w:val="0"/>
              <w:spacing w:before="0" w:after="283"/>
              <w:jc w:val="left"/>
              <w:rPr>
                <w:sz w:val="4"/>
                <w:szCs w:val="4"/>
              </w:rPr>
            </w:pPr>
            <w:r>
              <w:rPr>
                <w:sz w:val="4"/>
                <w:szCs w:val="4"/>
              </w:rPr>
            </w:r>
          </w:p>
        </w:tc>
      </w:tr>
      <w:tr>
        <w:trPr/>
        <w:tc>
          <w:tcPr>
            <w:tcW w:w="6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Capital expenditures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Utica Sale (excluding Ohio Gathering)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Ohio Gathering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paid for the acquisition of Moonrise,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Double E equity method investee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ABL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Permian Transmission Term Loan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Amended and Restated ABL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Additional 2029 Secured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258,438 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See “Liquidity and Capital Resources” herein for additional information on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Trends and Outlook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we expect our future business to continue to be, affected by the following key trends: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Ongoing impact of political and economic conditions and events in foreign oil and natural gas producing countries on commodity prices, including the continued conflict in the Middle East, current Russia-Ukraine conflict, the international sanctions against Russia and other sustained military campaigns;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gas, NGL and crude oil supply and demand dynamics;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of the OPEC and its allies, including the ability and willingness of the members of OPEC and other exporting nations to agree to and maintain oil price and production controls;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Production from U.S. shale plays;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General economic conditions, whether internationally, nationally, or in the regional and local market areas in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which we do business, including any future economic downturn, the imposition of tariffs or trade or other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economic sanctions, and political instability;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Capital markets availability and cost of capital;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Inflation and shifts in operating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2024 Annual Report.</w:t>
      </w:r>
    </w:p>
    <w:p>
      <w:pPr>
        <w:pStyle w:val="TextBody"/>
        <w:bidi w:val="0"/>
        <w:spacing w:lineRule="auto" w:line="288" w:before="120" w:after="120"/>
        <w:jc w:val="left"/>
        <w:rPr/>
      </w:pPr>
      <w:r>
        <w:rPr>
          <w:rFonts w:ascii="Times New Roman;sans-serif" w:hAnsi="Times New Roman;sans-serif"/>
          <w:b/>
          <w:i/>
          <w:color w:val="000000"/>
          <w:sz w:val="20"/>
        </w:rPr>
        <w:t xml:space="preserve">Moonrise Acquisition. </w:t>
      </w:r>
      <w:r>
        <w:rPr>
          <w:rFonts w:ascii="Times New Roman;sans-serif" w:hAnsi="Times New Roman;sans-serif"/>
          <w:b w:val="false"/>
          <w:color w:val="000000"/>
          <w:sz w:val="20"/>
        </w:rPr>
        <w:t>On March 10, 2025, the Company completed the transaction contemplated in the Membership Interest Purchase Agreement, dated as of March 10, 2025, by and among the Company, Summit Holdings, Fundare, and solely for purposes of Section 9.19 thereto, Fundare Resources Company, LLC, a Delaware limited liability company, pursuant to which Fundare contributed all of its equity interests in Moonrise to Summit Holdings in exchange for total consideration equal to approximately $90.0 million. Total consideration consisted of (i) a $70.0 million cash payment and (ii) the issuance of 462,265 shares of common stock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Capital structure optimization and portfolio management</w:t>
      </w:r>
      <w:r>
        <w:rPr>
          <w:rFonts w:ascii="Times New Roman;sans-serif" w:hAnsi="Times New Roman;sans-serif"/>
          <w:b w:val="false"/>
          <w:color w:val="000000"/>
          <w:sz w:val="20"/>
        </w:rPr>
        <w:t>. We intend to continue to improve our capital structure in the future by reducing our indebtedness with free cash flow, and when appropriate, we may pursue opportunistic transactions with the objective of increasing long term shareholder value. This may include opportunistic acquisitions, divestitures, re-allocation of capital to new or existing areas, and development of joint ventures involving our existing midstream assets or new investment opportunities. We believe that our current cash balance, internally generated cash flow, our Amended and Restated ABL Facility, the Permian Credit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 On March 24, 2025, the Company filed a registration statement on Form S-3, which was declared effective by the SEC on April 1, 2025, registering an indeterminate number or amount, as the case may be, of certain equity securities under the Securities Act to be sold by the Company from time to time at indeterminate prices, which together shall have a maximum aggregate offering price not to exceed $240.0 million.</w:t>
      </w:r>
    </w:p>
    <w:p>
      <w:pPr>
        <w:pStyle w:val="TextBody"/>
        <w:bidi w:val="0"/>
        <w:spacing w:lineRule="auto" w:line="288" w:before="120" w:after="283"/>
        <w:jc w:val="left"/>
        <w:rPr/>
      </w:pPr>
      <w:r>
        <w:rPr>
          <w:rFonts w:ascii="Times New Roman;sans-serif" w:hAnsi="Times New Roman;sans-serif"/>
          <w:b/>
          <w:i/>
          <w:color w:val="000000"/>
          <w:sz w:val="20"/>
        </w:rPr>
        <w:t xml:space="preserve">Ongoing impact of political and economic conditions and events in foreign oil and natural gas producing countries on commodity prices. </w:t>
      </w:r>
      <w:r>
        <w:rPr>
          <w:rFonts w:ascii="Times New Roman;sans-serif" w:hAnsi="Times New Roman;sans-serif"/>
          <w:b w:val="false"/>
          <w:color w:val="000000"/>
          <w:sz w:val="20"/>
        </w:rPr>
        <w:t>Although we operate solely in the United States, certain events and conditions in foreign oil and natural gas producing countries, such as the continued conflict in the Middle East, including the Hamas-Israel war, and Russia’s invasion of Ukraine,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pStyle w:val="TextBody"/>
        <w:bidi w:val="0"/>
        <w:spacing w:lineRule="auto" w:line="288" w:before="120" w:after="283"/>
        <w:jc w:val="left"/>
        <w:rPr/>
      </w:pPr>
      <w:r>
        <w:rPr>
          <w:rFonts w:ascii="Times New Roman;sans-serif" w:hAnsi="Times New Roman;sans-serif"/>
          <w:b/>
          <w:i/>
          <w:color w:val="000000"/>
          <w:sz w:val="20"/>
        </w:rPr>
        <w:t>Natural gas, NGL and crude oil supply and demand dynamics. </w:t>
      </w:r>
      <w:r>
        <w:rPr>
          <w:rFonts w:ascii="Times New Roman;sans-serif" w:hAnsi="Times New Roman;sans-serif"/>
          <w:b w:val="false"/>
          <w:color w:val="000000"/>
          <w:sz w:val="20"/>
        </w:rPr>
        <w:t>Natural gas continues to be a critical component of energy supply and demand in the United States. 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and increase in U.S. LNG exports. Over the next several years, we expect natural gas prices will support continued upstream industry activity by producers focused on natural gas production.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gathering systems are directly affected by crude oil supply and demand dynamics. Over the next several years, we expect that crude oil prices will support continued drilling activity and increasing production in the Williston Basin, Permian Basin, and given the current regulatory environment in Colorado, in rural parts of the DJ Basin where we operate.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Despite improving fundamentals that should support additional development activities, we note that over the last several years there has been an increasing societal opposition to the production of hydrocarbons generally, which may be reflected in legislation, executive orders or regulations that may significantly restrict the domestic production of fossil fuels, including natural gas.</w:t>
      </w:r>
    </w:p>
    <w:p>
      <w:pPr>
        <w:pStyle w:val="TextBody"/>
        <w:bidi w:val="0"/>
        <w:spacing w:lineRule="auto" w:line="288" w:before="120" w:after="283"/>
        <w:jc w:val="left"/>
        <w:rPr/>
      </w:pPr>
      <w:r>
        <w:rPr>
          <w:rFonts w:ascii="Times New Roman;sans-serif" w:hAnsi="Times New Roman;sans-serif"/>
          <w:b/>
          <w:i/>
          <w:color w:val="000000"/>
          <w:sz w:val="20"/>
        </w:rPr>
        <w:t>Growth in production from U.S. shale plays.</w:t>
      </w:r>
      <w:r>
        <w:rPr>
          <w:color w:val="000000"/>
        </w:rPr>
        <w:t> </w:t>
      </w:r>
      <w:r>
        <w:rPr>
          <w:rFonts w:ascii="Times New Roman;sans-serif" w:hAnsi="Times New Roman;sans-serif"/>
          <w:b w:val="false"/>
          <w:color w:val="000000"/>
          <w:sz w:val="20"/>
        </w:rPr>
        <w:t xml:space="preserve">Over the past several years, natural gas production from unconventional shale resources has increased due to 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Permian and Arkoma Basin shale plays in which we operate. We believe that these long-term capital investments should support drilling activity in unconventional shale plays over the long term. </w:t>
      </w:r>
    </w:p>
    <w:p>
      <w:pPr>
        <w:pStyle w:val="TextBody"/>
        <w:bidi w:val="0"/>
        <w:spacing w:lineRule="auto" w:line="288" w:before="120" w:after="283"/>
        <w:jc w:val="left"/>
        <w:rPr/>
      </w:pPr>
      <w:r>
        <w:rPr>
          <w:rFonts w:ascii="Times New Roman;sans-serif" w:hAnsi="Times New Roman;sans-serif"/>
          <w:b/>
          <w:i/>
          <w:color w:val="000000"/>
          <w:sz w:val="20"/>
        </w:rPr>
        <w:t>Rate of growth in production from U.S. shale plays. </w:t>
      </w:r>
      <w:r>
        <w:rPr>
          <w:rFonts w:ascii="Times New Roman;sans-serif" w:hAnsi="Times New Roman;sans-serif"/>
          <w:b w:val="false"/>
          <w:color w:val="000000"/>
          <w:sz w:val="20"/>
        </w:rPr>
        <w:t>Some of our producer customers have adjusted their drilling and completion activities and schedules to 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Producers are experiencing increasing pressure from their investors to focus on returning capital and maximizing free cash flow versus re-investing that cash flow into development. In general, we expect our producer customers to maintain moderate completion and production activities across many of our systems relative to our previous expectations as a result of the commodity price environment and a continuation of the general trend of producers constraining drilling and completion activity to levels that can be satisfied with internally generated cash flow.</w:t>
      </w:r>
    </w:p>
    <w:p>
      <w:pPr>
        <w:pStyle w:val="TextBody"/>
        <w:bidi w:val="0"/>
        <w:spacing w:lineRule="auto" w:line="288" w:before="120" w:after="283"/>
        <w:jc w:val="left"/>
        <w:rPr/>
      </w:pPr>
      <w:r>
        <w:rPr>
          <w:rFonts w:ascii="Times New Roman;sans-serif" w:hAnsi="Times New Roman;sans-serif"/>
          <w:b/>
          <w:i/>
          <w:color w:val="000000"/>
          <w:sz w:val="20"/>
        </w:rPr>
        <w:t>Capital markets availability and cost of capital.</w:t>
      </w:r>
      <w:r>
        <w:rPr>
          <w:color w:val="000000"/>
        </w:rPr>
        <w:t> </w:t>
      </w:r>
      <w:r>
        <w:rPr>
          <w:rFonts w:ascii="Times New Roman;sans-serif" w:hAnsi="Times New Roman;sans-serif"/>
          <w:b w:val="false"/>
          <w:color w:val="000000"/>
          <w:sz w:val="20"/>
        </w:rPr>
        <w:t>Capital markets conditions, including but not limited to availability and higher borrowing costs, could affect our ability to access the debt and equity capital markets, to the extent necessary, to fund our future growth. In addition, interest rates on future credit facilities and debt offerings could be higher than current levels, causing our financing costs to increase accordingly.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our Amended and Restated ABL Facility, which have a variable interest rate, expose us to the risk of increasing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Inflation and operating costs.</w:t>
      </w:r>
      <w:r>
        <w:rPr>
          <w:color w:val="000000"/>
        </w:rPr>
        <w:t> </w:t>
      </w:r>
      <w:r>
        <w:rPr>
          <w:rFonts w:ascii="Times New Roman;sans-serif" w:hAnsi="Times New Roman;sans-serif"/>
          <w:b w:val="false"/>
          <w:color w:val="000000"/>
          <w:sz w:val="20"/>
        </w:rPr>
        <w:t xml:space="preserve">The annual rate of inflation in the United States hit 6.5% in December 2022, one of the highest increases in more than three decades, as measured by the Consumer Price Index. While inflation has declined since further increases in inflation could increase our operating costs and the overall cost of capital projects we undertake. While some of our fee arrangements escalate based on changes in price indexes, these fee escalations may not be sufficient to offset an increase in our expenditures. Furthermore, inflation may impact producers’ economic decision making, which in turn could impact their willingness to develop acreage in areas that are more susceptible to inflationary pressures and labor force shortages. </w:t>
      </w:r>
    </w:p>
    <w:p>
      <w:pPr>
        <w:pStyle w:val="TextBody"/>
        <w:bidi w:val="0"/>
        <w:spacing w:lineRule="auto" w:line="288" w:before="120" w:after="283"/>
        <w:jc w:val="left"/>
        <w:rPr/>
      </w:pPr>
      <w:r>
        <w:rPr>
          <w:rFonts w:ascii="Times New Roman;sans-serif" w:hAnsi="Times New Roman;sans-serif"/>
          <w:b/>
          <w:i/>
          <w:color w:val="000000"/>
          <w:sz w:val="20"/>
        </w:rPr>
        <w:t xml:space="preserve">Impact of increases in interest rates. </w:t>
      </w:r>
      <w:r>
        <w:rPr>
          <w:rFonts w:ascii="Times New Roman;sans-serif" w:hAnsi="Times New Roman;sans-serif"/>
          <w:b w:val="false"/>
          <w:color w:val="000000"/>
          <w:sz w:val="20"/>
        </w:rPr>
        <w:t xml:space="preserve">Increases in interest rates could adversely affect our future ability to obtain financing or materially increase the cost of existing and any additional financing. Since March 2022, the Federal Reserve has raised its target range for the federal funds rate multiple times and the timing of any potential further increases or decreases remains uncertain. As of March 31, 2025, we had approximately $825.0 million principal of fixed-rate debt, $145.0 million outstanding under our variable rate Amended and Restated ABL Facility and $125.3 million outstanding under the variable rate Permian Transmission Term Loan (see Note 8 - Debt). As of March 31, 2025, we had $112.8 million of interest rate exposure hedged to offset the impact of changes in interest rates on our Permian Transmission Term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How We Evaluate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conduct and report our operations in the midstream energy industry through four reportable segments: Rockies, Permian, Piceance and Mid-Con. Each of our reportable segments provides midstream services in a specific geographic area and our reportable segments reflect the way in which we internally report the financial information used to make decisions and allocate resources in connection with our operations (see Note 16 - Segment Information to the consolidated financial statements). Our management uses a variety of financial and operational metrics to analyze our consolidated and segment performance and we view these metrics as important factors in evaluating our profitability. These metrics include (i) throughput volume, (ii) revenues, (iii) operation and maintenance expenses, (iv) capital expenditures and (v) segment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review these metrics on a regular basis for consistency and trend analysis. There have been no changes in the composition or characteristics of these metrics during the three months ended March 31, 2025.</w:t>
      </w:r>
    </w:p>
    <w:p>
      <w:pPr>
        <w:pStyle w:val="TextBody"/>
        <w:bidi w:val="0"/>
        <w:spacing w:lineRule="auto" w:line="288" w:before="120" w:after="283"/>
        <w:jc w:val="left"/>
        <w:rPr/>
      </w:pPr>
      <w:r>
        <w:rPr>
          <w:rFonts w:ascii="Times New Roman;sans-serif" w:hAnsi="Times New Roman;sans-serif"/>
          <w:b/>
          <w:i/>
          <w:color w:val="000000"/>
          <w:sz w:val="20"/>
        </w:rPr>
        <w:t>Additional Information.</w:t>
      </w:r>
      <w:r>
        <w:rPr>
          <w:color w:val="000000"/>
        </w:rPr>
        <w:t> </w:t>
      </w:r>
      <w:r>
        <w:rPr>
          <w:rFonts w:ascii="Times New Roman;sans-serif" w:hAnsi="Times New Roman;sans-serif"/>
          <w:b w:val="false"/>
          <w:color w:val="000000"/>
          <w:sz w:val="20"/>
        </w:rPr>
        <w:t>For additional information, see the “Results of Operations” section herein and the notes to the unaudited condensed consolidated financial statements. For additional information on how these metrics help us manage our business, see the “How We Evaluate Our Operations” section of MD&amp;A included in the 2024 Annual Report. For information on impending accounting changes that are expected to materially impact our financial results reported in future periods, see Note 2 – Summary of Significant Accounting Policies and Recently Issued Accounting Standards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Consolidated Overview for the Three Months Ended March 31, 2025 and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financial and operating data.</w:t>
      </w:r>
    </w:p>
    <w:tbl>
      <w:tblPr>
        <w:tblW w:w="7929" w:type="dxa"/>
        <w:jc w:val="left"/>
        <w:tblInd w:w="0" w:type="dxa"/>
        <w:tblLayout w:type="fixed"/>
        <w:tblCellMar>
          <w:top w:w="28" w:type="dxa"/>
          <w:left w:w="28" w:type="dxa"/>
          <w:bottom w:w="28" w:type="dxa"/>
          <w:right w:w="28" w:type="dxa"/>
        </w:tblCellMar>
      </w:tblPr>
      <w:tblGrid>
        <w:gridCol w:w="1786"/>
        <w:gridCol w:w="1569"/>
        <w:gridCol w:w="1579"/>
        <w:gridCol w:w="211"/>
        <w:gridCol w:w="721"/>
        <w:gridCol w:w="109"/>
        <w:gridCol w:w="109"/>
        <w:gridCol w:w="109"/>
        <w:gridCol w:w="109"/>
        <w:gridCol w:w="211"/>
        <w:gridCol w:w="826"/>
        <w:gridCol w:w="109"/>
        <w:gridCol w:w="109"/>
        <w:gridCol w:w="109"/>
        <w:gridCol w:w="109"/>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interest rate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Volume throughput </w:t>
            </w:r>
            <w:r>
              <w:rPr>
                <w:rFonts w:ascii="Times New Roman;sans-serif" w:hAnsi="Times New Roman;sans-serif"/>
                <w:b/>
                <w:color w:val="000000"/>
                <w:sz w:val="13"/>
              </w:rPr>
              <w:t>(1)</w:t>
            </w:r>
            <w:r>
              <w:rPr>
                <w:rFonts w:ascii="Times New Roman;sans-serif" w:hAnsi="Times New Roman;sans-serif"/>
                <w:b/>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Excludes volume throughput for Ohio Gathering and Double E. For additional information, see the Northeast and Permian sections herein under the caption “Segment Overview for the Three Months Ended March 31, 2025 and 2024”.</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lineRule="auto" w:line="288" w:before="120" w:after="283"/>
        <w:jc w:val="left"/>
        <w:rPr/>
      </w:pPr>
      <w:r>
        <w:rPr>
          <w:rFonts w:ascii="Times New Roman;sans-serif" w:hAnsi="Times New Roman;sans-serif"/>
          <w:b/>
          <w:i/>
          <w:color w:val="000000"/>
          <w:sz w:val="20"/>
        </w:rPr>
        <w:t xml:space="preserve">Volumes – Gas. </w:t>
      </w:r>
      <w:r>
        <w:rPr>
          <w:rFonts w:ascii="Times New Roman;sans-serif" w:hAnsi="Times New Roman;sans-serif"/>
          <w:b w:val="false"/>
          <w:color w:val="000000"/>
          <w:sz w:val="20"/>
        </w:rPr>
        <w:t>Natural gas throughput volumes decreased</w:t>
      </w:r>
      <w:r>
        <w:rPr>
          <w:color w:val="FF0000"/>
        </w:rPr>
        <w:t> </w:t>
      </w:r>
      <w:r>
        <w:rPr>
          <w:rFonts w:ascii="Times New Roman;sans-serif" w:hAnsi="Times New Roman;sans-serif"/>
          <w:b w:val="false"/>
          <w:color w:val="000000"/>
          <w:sz w:val="20"/>
        </w:rPr>
        <w:t>444 MMcf/d for the three months ended March 31, 2025 compared to the three months ended March 31, 2024, primarily reflecting: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712 MMcf/d for the Northeast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46 MMcf/d for the Piceance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309 MMcf/d for the Mid-Con segment.</w:t>
      </w:r>
    </w:p>
    <w:p>
      <w:pPr>
        <w:pStyle w:val="TextBody"/>
        <w:bidi w:val="0"/>
        <w:spacing w:lineRule="auto" w:line="288" w:before="120" w:after="283"/>
        <w:jc w:val="left"/>
        <w:rPr/>
      </w:pPr>
      <w:r>
        <w:rPr>
          <w:rFonts w:ascii="Times New Roman;sans-serif" w:hAnsi="Times New Roman;sans-serif"/>
          <w:b/>
          <w:i/>
          <w:color w:val="000000"/>
          <w:sz w:val="20"/>
        </w:rPr>
        <w:t xml:space="preserve">Volumes – Liquids. </w:t>
      </w:r>
      <w:r>
        <w:rPr>
          <w:rFonts w:ascii="Times New Roman;sans-serif" w:hAnsi="Times New Roman;sans-serif"/>
          <w:b w:val="false"/>
          <w:color w:val="000000"/>
          <w:sz w:val="20"/>
        </w:rPr>
        <w:t>Crude oil and produced water throughput volumes at the Rockies segment remained consistent for the three months ended March 31, 2025, compared to the three months ended March 31, 2024, primarily due to natural production declines, offset by 19 new well connections that came online subsequent to March 31, 2024 and additional throughput in connection with the Moonrise Acquisition..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volumes, see the “Segment Overview for the Three Months Ended March 31, 2025 and 2024” section herein.</w:t>
      </w:r>
    </w:p>
    <w:p>
      <w:pPr>
        <w:pStyle w:val="TextBody"/>
        <w:bidi w:val="0"/>
        <w:spacing w:lineRule="auto" w:line="288" w:before="120" w:after="283"/>
        <w:jc w:val="left"/>
        <w:rPr/>
      </w:pPr>
      <w:r>
        <w:rPr>
          <w:rFonts w:ascii="Times New Roman;sans-serif" w:hAnsi="Times New Roman;sans-serif"/>
          <w:b/>
          <w:i/>
          <w:color w:val="000000"/>
          <w:sz w:val="20"/>
        </w:rPr>
        <w:t>Revenues.</w:t>
      </w:r>
      <w:r>
        <w:rPr>
          <w:color w:val="000000"/>
        </w:rPr>
        <w:t> </w:t>
      </w:r>
      <w:r>
        <w:rPr>
          <w:rFonts w:ascii="Times New Roman;sans-serif" w:hAnsi="Times New Roman;sans-serif"/>
          <w:b w:val="false"/>
          <w:color w:val="000000"/>
          <w:sz w:val="20"/>
        </w:rPr>
        <w:t>Total revenues increased $13.8 million during the three months ended March 31, 2025 compared to the three months ended March 31, 2024, comprised of a $10.2 million increase</w:t>
      </w:r>
      <w:r>
        <w:rPr>
          <w:color w:val="FF0000"/>
        </w:rPr>
        <w:t> </w:t>
      </w:r>
      <w:r>
        <w:rPr>
          <w:rFonts w:ascii="Times New Roman;sans-serif" w:hAnsi="Times New Roman;sans-serif"/>
          <w:b w:val="false"/>
          <w:color w:val="000000"/>
          <w:sz w:val="20"/>
        </w:rPr>
        <w:t xml:space="preserve">in natural gas, NGLs and condensate sales, a $2.2 million increase in gathering services and related fees and a $1.4 million increase in other revenue. </w:t>
      </w:r>
    </w:p>
    <w:p>
      <w:pPr>
        <w:pStyle w:val="TextBody"/>
        <w:bidi w:val="0"/>
        <w:spacing w:lineRule="auto" w:line="288" w:before="120" w:after="283"/>
        <w:jc w:val="left"/>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increased $2.2 million compared to the three months ended March 31, 2024,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$24.1 million increase in the Mid-Con, primarily due to increased volume throughput as a result of the Tall Oak Acquisition;</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 xml:space="preserve">a $16.9 million decrease in the Northeast, primarily due to the sale of the Mountaineer Midstream system and the disposition of Summit Utica;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$4.6 million decrease in the Piceance, primarily due to decreased volume throughput;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$0.5 million decrease in the Rockies, primarily due to decreased volume throughput. </w:t>
      </w:r>
    </w:p>
    <w:p>
      <w:pPr>
        <w:pStyle w:val="TextBody"/>
        <w:bidi w:val="0"/>
        <w:spacing w:lineRule="auto" w:line="288" w:before="120" w:after="283"/>
        <w:jc w:val="left"/>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revenues increased</w:t>
      </w:r>
      <w:r>
        <w:rPr>
          <w:color w:val="FF0000"/>
        </w:rPr>
        <w:t> </w:t>
      </w:r>
      <w:r>
        <w:rPr>
          <w:rFonts w:ascii="Times New Roman;sans-serif" w:hAnsi="Times New Roman;sans-serif"/>
          <w:b w:val="false"/>
          <w:color w:val="000000"/>
          <w:sz w:val="20"/>
        </w:rPr>
        <w:t xml:space="preserve">$10.2 million compared to the three months ended March 31, 2024, primarily reflecting: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$6.9 million increase in the Rockies, primarily due to increased volume throughput;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$3.4 million increase in the Mid-Con, primarily related to increased volume throughput as a result of the Tall Oak Acquisition.</w:t>
      </w:r>
    </w:p>
    <w:p>
      <w:pPr>
        <w:pStyle w:val="TextBody"/>
        <w:bidi w:val="0"/>
        <w:spacing w:lineRule="auto" w:line="288" w:before="120" w:after="283"/>
        <w:jc w:val="left"/>
        <w:rPr/>
      </w:pPr>
      <w:r>
        <w:rPr>
          <w:rFonts w:ascii="Times New Roman;sans-serif" w:hAnsi="Times New Roman;sans-serif"/>
          <w:b/>
          <w:i/>
          <w:color w:val="000000"/>
          <w:sz w:val="20"/>
        </w:rPr>
        <w:t>Costs and Expenses.</w:t>
      </w:r>
      <w:r>
        <w:rPr>
          <w:color w:val="000000"/>
        </w:rPr>
        <w:t> </w:t>
      </w:r>
      <w:r>
        <w:rPr>
          <w:rFonts w:ascii="Times New Roman;sans-serif" w:hAnsi="Times New Roman;sans-serif"/>
          <w:b w:val="false"/>
          <w:color w:val="000000"/>
          <w:sz w:val="20"/>
        </w:rPr>
        <w:t>Total costs and expenses decreased $55.4 million during the three months ended March 31, 2025 compared to the three months ended March 31, 2024.</w:t>
      </w:r>
    </w:p>
    <w:p>
      <w:pPr>
        <w:pStyle w:val="TextBody"/>
        <w:bidi w:val="0"/>
        <w:spacing w:lineRule="auto" w:line="288" w:before="120" w:after="283"/>
        <w:jc w:val="left"/>
        <w:rPr/>
      </w:pPr>
      <w:r>
        <w:rPr>
          <w:rFonts w:ascii="Times New Roman;sans-serif" w:hAnsi="Times New Roman;sans-serif"/>
          <w:b w:val="false"/>
          <w:color w:val="000000"/>
          <w:sz w:val="20"/>
          <w:u w:val="single"/>
        </w:rPr>
        <w:t>Cost of Natural Gas and NGLs</w:t>
      </w:r>
      <w:r>
        <w:rPr>
          <w:rFonts w:ascii="Times New Roman;sans-serif" w:hAnsi="Times New Roman;sans-serif"/>
          <w:b w:val="false"/>
          <w:color w:val="000000"/>
          <w:sz w:val="20"/>
        </w:rPr>
        <w:t>. Cost of natural gas and NGLs increased $5.3 million for the three months ended March 31, 2025, compared to the three months ended March 31, 2024.</w:t>
      </w:r>
    </w:p>
    <w:p>
      <w:pPr>
        <w:pStyle w:val="TextBody"/>
        <w:bidi w:val="0"/>
        <w:spacing w:lineRule="auto" w:line="288" w:before="120" w:after="283"/>
        <w:jc w:val="left"/>
        <w:rPr/>
      </w:pPr>
      <w:r>
        <w:rPr>
          <w:rFonts w:ascii="Times New Roman;sans-serif" w:hAnsi="Times New Roman;sans-serif"/>
          <w:b w:val="false"/>
          <w:color w:val="000000"/>
          <w:sz w:val="20"/>
          <w:u w:val="single"/>
        </w:rPr>
        <w:t>Operation and Maintenance</w:t>
      </w:r>
      <w:r>
        <w:rPr>
          <w:rFonts w:ascii="Times New Roman;sans-serif" w:hAnsi="Times New Roman;sans-serif"/>
          <w:b w:val="false"/>
          <w:color w:val="000000"/>
          <w:sz w:val="20"/>
        </w:rPr>
        <w:t>. Operation and maintenance expense increased $8.5 million for the three months ended March 31, 2025, compared to the three months ended March 31, 2024.</w:t>
      </w:r>
    </w:p>
    <w:p>
      <w:pPr>
        <w:pStyle w:val="TextBody"/>
        <w:bidi w:val="0"/>
        <w:spacing w:lineRule="auto" w:line="288" w:before="120" w:after="283"/>
        <w:jc w:val="left"/>
        <w:rPr/>
      </w:pPr>
      <w:r>
        <w:rPr>
          <w:rFonts w:ascii="Times New Roman;sans-serif" w:hAnsi="Times New Roman;sans-serif"/>
          <w:b w:val="false"/>
          <w:color w:val="000000"/>
          <w:sz w:val="20"/>
          <w:u w:val="single"/>
        </w:rPr>
        <w:t>Long-lived asset impairments</w:t>
      </w:r>
      <w:r>
        <w:rPr>
          <w:rFonts w:ascii="Times New Roman;sans-serif" w:hAnsi="Times New Roman;sans-serif"/>
          <w:b w:val="false"/>
          <w:color w:val="000000"/>
          <w:sz w:val="20"/>
        </w:rPr>
        <w:t>. During the quarterly period ended March 31, 2024, we recognized an impairment charge of $67.9 million in connection with the Mountaineer Transaction.</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decreased $15.3 million for the three months ended March 31, 2025, compared to three months ended March 31, 2024, primarily due to $18.6 million of reduced interest expense as a result of the 2026 Secured Notes Tender Offer and the Asset Sale Offer that occurred in July 2024 and May 2024, respectively, $4.0 million of reduced interest expense as a result of decreased borrowings on the Amended and Restated ABL Facility and $6.3 million of reduced interest expense due to the full repayment and discharge of the 2026 Unsecured Notes in June 2024, partially offset by $16.7 million of increased borrowing costs in connection with issuance of the 2029 Secured Notes in July 2024 and January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Segment Overview for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Rockies.</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Rockies reportable segment follows.</w:t>
      </w:r>
    </w:p>
    <w:tbl>
      <w:tblPr>
        <w:tblW w:w="9851" w:type="dxa"/>
        <w:jc w:val="left"/>
        <w:tblInd w:w="0" w:type="dxa"/>
        <w:tblLayout w:type="fixed"/>
        <w:tblCellMar>
          <w:top w:w="28" w:type="dxa"/>
          <w:left w:w="28" w:type="dxa"/>
          <w:bottom w:w="28" w:type="dxa"/>
          <w:right w:w="28" w:type="dxa"/>
        </w:tblCellMar>
      </w:tblPr>
      <w:tblGrid>
        <w:gridCol w:w="1786"/>
        <w:gridCol w:w="1572"/>
        <w:gridCol w:w="1577"/>
        <w:gridCol w:w="109"/>
        <w:gridCol w:w="109"/>
        <w:gridCol w:w="109"/>
        <w:gridCol w:w="109"/>
        <w:gridCol w:w="479"/>
        <w:gridCol w:w="479"/>
        <w:gridCol w:w="479"/>
        <w:gridCol w:w="479"/>
        <w:gridCol w:w="483"/>
        <w:gridCol w:w="109"/>
        <w:gridCol w:w="109"/>
        <w:gridCol w:w="109"/>
        <w:gridCol w:w="155"/>
        <w:gridCol w:w="155"/>
        <w:gridCol w:w="156"/>
        <w:gridCol w:w="109"/>
        <w:gridCol w:w="109"/>
        <w:gridCol w:w="109"/>
        <w:gridCol w:w="281"/>
        <w:gridCol w:w="281"/>
        <w:gridCol w:w="399"/>
      </w:tblGrid>
      <w:tr>
        <w:trPr/>
        <w:tc>
          <w:tcPr>
            <w:tcW w:w="178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lineRule="auto" w:line="268" w:before="120" w:after="283"/>
        <w:jc w:val="left"/>
        <w:rPr/>
      </w:pPr>
      <w:r>
        <w:rPr>
          <w:rFonts w:ascii="Times New Roman;sans-serif" w:hAnsi="Times New Roman;sans-serif"/>
          <w:b w:val="false"/>
          <w:color w:val="000000"/>
          <w:sz w:val="20"/>
          <w:u w:val="single"/>
        </w:rPr>
        <w:t>Natural gas</w:t>
      </w:r>
      <w:r>
        <w:rPr>
          <w:rFonts w:ascii="Times New Roman;sans-serif" w:hAnsi="Times New Roman;sans-serif"/>
          <w:b w:val="false"/>
          <w:color w:val="000000"/>
          <w:sz w:val="20"/>
        </w:rPr>
        <w:t>. Natural gas volume throughput increased for the three months ended March 31, 2025,</w:t>
      </w:r>
      <w:r>
        <w:rPr>
          <w:color w:val="FF0000"/>
        </w:rPr>
        <w:t> </w:t>
      </w:r>
      <w:r>
        <w:rPr>
          <w:rFonts w:ascii="Times New Roman;sans-serif" w:hAnsi="Times New Roman;sans-serif"/>
          <w:b w:val="false"/>
          <w:color w:val="000000"/>
          <w:sz w:val="20"/>
        </w:rPr>
        <w:t>compared to the three months ended March 31, 2024, primarily reflecting 83 new well connections that came online subsequent to March 31, 2024, additional throughput in connection with the Moonrise Acquisition, partially offset by a 17 MMcf/d reduction in gas delivered by third parties and natural production declines.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costs of natural gas and NGLs includes $13.3 million and $11.2 million, respectively, of gathering fees collected under percentage of proceeds arrangements.</w:t>
      </w:r>
    </w:p>
    <w:p>
      <w:pPr>
        <w:pStyle w:val="TextBody"/>
        <w:bidi w:val="0"/>
        <w:spacing w:lineRule="auto" w:line="268" w:before="120" w:after="283"/>
        <w:jc w:val="left"/>
        <w:rPr/>
      </w:pPr>
      <w:r>
        <w:rPr>
          <w:rFonts w:ascii="Times New Roman;sans-serif" w:hAnsi="Times New Roman;sans-serif"/>
          <w:b w:val="false"/>
          <w:color w:val="000000"/>
          <w:sz w:val="20"/>
          <w:u w:val="single"/>
        </w:rPr>
        <w:t>Liquids</w:t>
      </w:r>
      <w:r>
        <w:rPr>
          <w:rFonts w:ascii="Times New Roman;sans-serif" w:hAnsi="Times New Roman;sans-serif"/>
          <w:b w:val="false"/>
          <w:color w:val="000000"/>
          <w:sz w:val="20"/>
        </w:rPr>
        <w:t>. Liquids volume throughput remained consistent for the three months ended March 31, 2025, compared to the three months ended March 31, 2024, primarily due to natural production declines, offset by 19 new well connections that came online subsequent to March 31, 2024 and additional throughput in connection with the Moonrise Acquisition.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Rockies reportable segment follows.</w:t>
      </w:r>
    </w:p>
    <w:tbl>
      <w:tblPr>
        <w:tblW w:w="9959" w:type="dxa"/>
        <w:jc w:val="left"/>
        <w:tblInd w:w="0" w:type="dxa"/>
        <w:tblLayout w:type="fixed"/>
        <w:tblCellMar>
          <w:top w:w="28" w:type="dxa"/>
          <w:left w:w="28" w:type="dxa"/>
          <w:bottom w:w="28" w:type="dxa"/>
          <w:right w:w="28" w:type="dxa"/>
        </w:tblCellMar>
      </w:tblPr>
      <w:tblGrid>
        <w:gridCol w:w="1618"/>
        <w:gridCol w:w="1422"/>
        <w:gridCol w:w="1430"/>
        <w:gridCol w:w="109"/>
        <w:gridCol w:w="109"/>
        <w:gridCol w:w="109"/>
        <w:gridCol w:w="109"/>
        <w:gridCol w:w="207"/>
        <w:gridCol w:w="207"/>
        <w:gridCol w:w="402"/>
        <w:gridCol w:w="1374"/>
        <w:gridCol w:w="207"/>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months ended March 31, 2025</w:t>
      </w:r>
      <w:r>
        <w:rPr>
          <w:rFonts w:ascii="Times New Roman;sans-serif" w:hAnsi="Times New Roman;sans-serif"/>
          <w:b w:val="false"/>
          <w:color w:val="000000"/>
          <w:sz w:val="20"/>
        </w:rPr>
        <w:t>. Segment adjusted EBITDA increased $2.0 million, compared to the three months ended March 31, 2024, primarily as a result of higher product margins and approximately $1.1 million of EBITDA in connection with the Moonrise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Permian.</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Permian reportable segment follows.</w:t>
      </w:r>
    </w:p>
    <w:tbl>
      <w:tblPr>
        <w:tblW w:w="9062" w:type="dxa"/>
        <w:jc w:val="left"/>
        <w:tblInd w:w="0" w:type="dxa"/>
        <w:tblLayout w:type="fixed"/>
        <w:tblCellMar>
          <w:top w:w="28" w:type="dxa"/>
          <w:left w:w="28" w:type="dxa"/>
          <w:bottom w:w="28" w:type="dxa"/>
          <w:right w:w="28" w:type="dxa"/>
        </w:tblCellMar>
      </w:tblPr>
      <w:tblGrid>
        <w:gridCol w:w="1444"/>
        <w:gridCol w:w="1271"/>
        <w:gridCol w:w="1275"/>
        <w:gridCol w:w="109"/>
        <w:gridCol w:w="109"/>
        <w:gridCol w:w="109"/>
        <w:gridCol w:w="109"/>
        <w:gridCol w:w="479"/>
        <w:gridCol w:w="479"/>
        <w:gridCol w:w="479"/>
        <w:gridCol w:w="479"/>
        <w:gridCol w:w="483"/>
        <w:gridCol w:w="109"/>
        <w:gridCol w:w="109"/>
        <w:gridCol w:w="109"/>
        <w:gridCol w:w="233"/>
        <w:gridCol w:w="233"/>
        <w:gridCol w:w="156"/>
        <w:gridCol w:w="109"/>
        <w:gridCol w:w="109"/>
        <w:gridCol w:w="109"/>
        <w:gridCol w:w="281"/>
        <w:gridCol w:w="281"/>
        <w:gridCol w:w="399"/>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(Double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Volume throughput for Double E increased </w:t>
      </w:r>
      <w:r>
        <w:rPr>
          <w:rFonts w:ascii="Times New Roman;sans-serif" w:hAnsi="Times New Roman;sans-serif"/>
          <w:b w:val="false"/>
          <w:color w:val="000000"/>
          <w:sz w:val="20"/>
        </w:rPr>
        <w:t>for the three months ended March 31, 2025,</w:t>
      </w:r>
      <w:r>
        <w:rPr>
          <w:color w:val="000000"/>
          <w:shd w:fill="FFFFFF" w:val="clear"/>
        </w:rPr>
        <w:t xml:space="preserve"> </w:t>
      </w:r>
      <w:r>
        <w:rPr>
          <w:rFonts w:ascii="Times New Roman;sans-serif" w:hAnsi="Times New Roman;sans-serif"/>
          <w:b w:val="false"/>
          <w:color w:val="000000"/>
          <w:sz w:val="20"/>
        </w:rPr>
        <w:t>compared to the three months ended March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MVC quantities that Double E’s shippers have contracted to with firm transportation service agreements and related negotiated rate agreements:</w:t>
      </w:r>
    </w:p>
    <w:tbl>
      <w:tblPr>
        <w:tblW w:w="7124" w:type="dxa"/>
        <w:jc w:val="left"/>
        <w:tblInd w:w="0" w:type="dxa"/>
        <w:tblLayout w:type="fixed"/>
        <w:tblCellMar>
          <w:top w:w="28" w:type="dxa"/>
          <w:left w:w="28" w:type="dxa"/>
          <w:bottom w:w="28" w:type="dxa"/>
          <w:right w:w="28" w:type="dxa"/>
        </w:tblCellMar>
      </w:tblPr>
      <w:tblGrid>
        <w:gridCol w:w="744"/>
        <w:gridCol w:w="654"/>
        <w:gridCol w:w="657"/>
        <w:gridCol w:w="1484"/>
        <w:gridCol w:w="1484"/>
        <w:gridCol w:w="2101"/>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MMBTU/day)</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MVC quantities for the year ended December 31,</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1,068,630 </w:t>
            </w:r>
          </w:p>
        </w:tc>
        <w:tc>
          <w:tcPr>
            <w:tcW w:w="21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1,009,521 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105,753 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Permian reportable segment follows.</w:t>
      </w:r>
    </w:p>
    <w:tbl>
      <w:tblPr>
        <w:tblW w:w="9089" w:type="dxa"/>
        <w:jc w:val="left"/>
        <w:tblInd w:w="0" w:type="dxa"/>
        <w:tblLayout w:type="fixed"/>
        <w:tblCellMar>
          <w:top w:w="28" w:type="dxa"/>
          <w:left w:w="28" w:type="dxa"/>
          <w:bottom w:w="28" w:type="dxa"/>
          <w:right w:w="28" w:type="dxa"/>
        </w:tblCellMar>
      </w:tblPr>
      <w:tblGrid>
        <w:gridCol w:w="1342"/>
        <w:gridCol w:w="1177"/>
        <w:gridCol w:w="1185"/>
        <w:gridCol w:w="109"/>
        <w:gridCol w:w="109"/>
        <w:gridCol w:w="109"/>
        <w:gridCol w:w="109"/>
        <w:gridCol w:w="226"/>
        <w:gridCol w:w="226"/>
        <w:gridCol w:w="439"/>
        <w:gridCol w:w="1281"/>
        <w:gridCol w:w="226"/>
        <w:gridCol w:w="109"/>
        <w:gridCol w:w="109"/>
        <w:gridCol w:w="109"/>
        <w:gridCol w:w="211"/>
        <w:gridCol w:w="616"/>
        <w:gridCol w:w="109"/>
        <w:gridCol w:w="109"/>
        <w:gridCol w:w="109"/>
        <w:gridCol w:w="109"/>
        <w:gridCol w:w="281"/>
        <w:gridCol w:w="281"/>
        <w:gridCol w:w="399"/>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Double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months ended March 31, 2025</w:t>
      </w:r>
      <w:r>
        <w:rPr>
          <w:rFonts w:ascii="Times New Roman;sans-serif" w:hAnsi="Times New Roman;sans-serif"/>
          <w:b w:val="false"/>
          <w:color w:val="000000"/>
          <w:sz w:val="20"/>
        </w:rPr>
        <w:t>. Segment adjusted EBITDA increased</w:t>
      </w:r>
      <w:r>
        <w:rPr>
          <w:color w:val="FF0000"/>
        </w:rPr>
        <w:t> </w:t>
      </w:r>
      <w:r>
        <w:rPr>
          <w:rFonts w:ascii="Times New Roman;sans-serif" w:hAnsi="Times New Roman;sans-serif"/>
          <w:b w:val="false"/>
          <w:color w:val="000000"/>
          <w:sz w:val="20"/>
        </w:rPr>
        <w:t xml:space="preserve">$1.0 million compared to the three months ended March 31, 2024, primarily as a result of an increase in proportional adjusted EBITDA from our equity method investment in Double 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Piceance.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Piceance reportable segment follows.</w:t>
      </w:r>
    </w:p>
    <w:tbl>
      <w:tblPr>
        <w:tblW w:w="8972" w:type="dxa"/>
        <w:jc w:val="left"/>
        <w:tblInd w:w="0" w:type="dxa"/>
        <w:tblLayout w:type="fixed"/>
        <w:tblCellMar>
          <w:top w:w="28" w:type="dxa"/>
          <w:left w:w="28" w:type="dxa"/>
          <w:bottom w:w="28" w:type="dxa"/>
          <w:right w:w="28" w:type="dxa"/>
        </w:tblCellMar>
      </w:tblPr>
      <w:tblGrid>
        <w:gridCol w:w="1412"/>
        <w:gridCol w:w="1242"/>
        <w:gridCol w:w="1246"/>
        <w:gridCol w:w="109"/>
        <w:gridCol w:w="109"/>
        <w:gridCol w:w="109"/>
        <w:gridCol w:w="109"/>
        <w:gridCol w:w="479"/>
        <w:gridCol w:w="479"/>
        <w:gridCol w:w="479"/>
        <w:gridCol w:w="479"/>
        <w:gridCol w:w="483"/>
        <w:gridCol w:w="109"/>
        <w:gridCol w:w="109"/>
        <w:gridCol w:w="109"/>
        <w:gridCol w:w="233"/>
        <w:gridCol w:w="233"/>
        <w:gridCol w:w="156"/>
        <w:gridCol w:w="109"/>
        <w:gridCol w:w="109"/>
        <w:gridCol w:w="109"/>
        <w:gridCol w:w="281"/>
        <w:gridCol w:w="281"/>
        <w:gridCol w:w="399"/>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lineRule="auto" w:line="288" w:before="120" w:after="283"/>
        <w:jc w:val="left"/>
        <w:rPr/>
      </w:pPr>
      <w:r>
        <w:rPr>
          <w:rFonts w:ascii="Times New Roman;sans-serif" w:hAnsi="Times New Roman;sans-serif"/>
          <w:b w:val="false"/>
          <w:color w:val="000000"/>
          <w:sz w:val="20"/>
        </w:rPr>
        <w:t>Volume throughput decreased for the three months ended March 31, 2025,</w:t>
      </w:r>
      <w:r>
        <w:rPr>
          <w:color w:val="000000"/>
          <w:shd w:fill="FFFFFF" w:val="clear"/>
        </w:rPr>
        <w:t xml:space="preserve"> </w:t>
      </w:r>
      <w:r>
        <w:rPr>
          <w:rFonts w:ascii="Times New Roman;sans-serif" w:hAnsi="Times New Roman;sans-serif"/>
          <w:b w:val="false"/>
          <w:color w:val="000000"/>
          <w:sz w:val="20"/>
        </w:rPr>
        <w:t>compared to the three months ended March 31, 2024,</w:t>
      </w:r>
      <w:r>
        <w:rPr>
          <w:color w:val="000000"/>
          <w:shd w:fill="FFFFFF" w:val="clear"/>
        </w:rPr>
        <w:t xml:space="preserve"> </w:t>
      </w:r>
      <w:r>
        <w:rPr>
          <w:rFonts w:ascii="Times New Roman;sans-serif" w:hAnsi="Times New Roman;sans-serif"/>
          <w:b w:val="false"/>
          <w:color w:val="000000"/>
          <w:sz w:val="20"/>
        </w:rPr>
        <w:t>primarily as a result of natural production declines.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Piceance reportable segment follows.</w:t>
      </w:r>
    </w:p>
    <w:tbl>
      <w:tblPr>
        <w:tblW w:w="9959" w:type="dxa"/>
        <w:jc w:val="left"/>
        <w:tblInd w:w="0" w:type="dxa"/>
        <w:tblLayout w:type="fixed"/>
        <w:tblCellMar>
          <w:top w:w="28" w:type="dxa"/>
          <w:left w:w="28" w:type="dxa"/>
          <w:bottom w:w="28" w:type="dxa"/>
          <w:right w:w="28" w:type="dxa"/>
        </w:tblCellMar>
      </w:tblPr>
      <w:tblGrid>
        <w:gridCol w:w="1618"/>
        <w:gridCol w:w="1422"/>
        <w:gridCol w:w="1430"/>
        <w:gridCol w:w="109"/>
        <w:gridCol w:w="109"/>
        <w:gridCol w:w="109"/>
        <w:gridCol w:w="109"/>
        <w:gridCol w:w="207"/>
        <w:gridCol w:w="207"/>
        <w:gridCol w:w="402"/>
        <w:gridCol w:w="1374"/>
        <w:gridCol w:w="207"/>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11,786 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months ended March 31, 2025</w:t>
      </w:r>
      <w:r>
        <w:rPr>
          <w:rFonts w:ascii="Times New Roman;sans-serif" w:hAnsi="Times New Roman;sans-serif"/>
          <w:b w:val="false"/>
          <w:color w:val="000000"/>
          <w:sz w:val="20"/>
        </w:rPr>
        <w:t xml:space="preserve">. Segment adjusted EBITDA decreased $3.4 million compared to the three months ended March 31, 2024 primarily related to natural production declines.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Mid-Con.</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Mid-Con reportable segment follows.</w:t>
      </w:r>
    </w:p>
    <w:tbl>
      <w:tblPr>
        <w:tblW w:w="8131" w:type="dxa"/>
        <w:jc w:val="left"/>
        <w:tblInd w:w="0" w:type="dxa"/>
        <w:tblLayout w:type="fixed"/>
        <w:tblCellMar>
          <w:top w:w="28" w:type="dxa"/>
          <w:left w:w="28" w:type="dxa"/>
          <w:bottom w:w="28" w:type="dxa"/>
          <w:right w:w="28" w:type="dxa"/>
        </w:tblCellMar>
      </w:tblPr>
      <w:tblGrid>
        <w:gridCol w:w="1107"/>
        <w:gridCol w:w="975"/>
        <w:gridCol w:w="977"/>
        <w:gridCol w:w="109"/>
        <w:gridCol w:w="109"/>
        <w:gridCol w:w="109"/>
        <w:gridCol w:w="109"/>
        <w:gridCol w:w="479"/>
        <w:gridCol w:w="479"/>
        <w:gridCol w:w="479"/>
        <w:gridCol w:w="479"/>
        <w:gridCol w:w="483"/>
        <w:gridCol w:w="109"/>
        <w:gridCol w:w="109"/>
        <w:gridCol w:w="109"/>
        <w:gridCol w:w="233"/>
        <w:gridCol w:w="233"/>
        <w:gridCol w:w="156"/>
        <w:gridCol w:w="109"/>
        <w:gridCol w:w="109"/>
        <w:gridCol w:w="109"/>
        <w:gridCol w:w="281"/>
        <w:gridCol w:w="281"/>
        <w:gridCol w:w="399"/>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Mid-Con</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c>
      </w:tr>
    </w:tbl>
    <w:p>
      <w:pPr>
        <w:pStyle w:val="TextBody"/>
        <w:bidi w:val="0"/>
        <w:spacing w:lineRule="auto" w:line="288" w:before="120" w:after="283"/>
        <w:jc w:val="left"/>
        <w:rPr/>
      </w:pPr>
      <w:r>
        <w:rPr>
          <w:rFonts w:ascii="Times New Roman;sans-serif" w:hAnsi="Times New Roman;sans-serif"/>
          <w:b w:val="false"/>
          <w:color w:val="000000"/>
          <w:sz w:val="20"/>
        </w:rPr>
        <w:t>Volume throughput increased for the three months ended March 31, 2025,</w:t>
      </w:r>
      <w:r>
        <w:rPr>
          <w:color w:val="000000"/>
          <w:shd w:fill="FFFFFF" w:val="clear"/>
        </w:rPr>
        <w:t xml:space="preserve"> </w:t>
      </w:r>
      <w:r>
        <w:rPr>
          <w:rFonts w:ascii="Times New Roman;sans-serif" w:hAnsi="Times New Roman;sans-serif"/>
          <w:b w:val="false"/>
          <w:color w:val="000000"/>
          <w:sz w:val="20"/>
        </w:rPr>
        <w:t>compared to the three months ended March 31, 2024,</w:t>
      </w:r>
      <w:r>
        <w:rPr>
          <w:color w:val="000000"/>
          <w:shd w:fill="FFFFFF" w:val="clear"/>
        </w:rPr>
        <w:t xml:space="preserve"> </w:t>
      </w:r>
      <w:r>
        <w:rPr>
          <w:rFonts w:ascii="Times New Roman;sans-serif" w:hAnsi="Times New Roman;sans-serif"/>
          <w:b w:val="false"/>
          <w:color w:val="000000"/>
          <w:sz w:val="20"/>
        </w:rPr>
        <w:t>primarily as a result of the Tall Oak Acquisition and 34 new well connections that came online subsequent to March 31, 2024 and the resumption of previous production curtailments associated with reductions in commodity pricing.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Mid-Con reportable segment follows.</w:t>
      </w:r>
    </w:p>
    <w:tbl>
      <w:tblPr>
        <w:tblW w:w="9854" w:type="dxa"/>
        <w:jc w:val="left"/>
        <w:tblInd w:w="0" w:type="dxa"/>
        <w:tblLayout w:type="fixed"/>
        <w:tblCellMar>
          <w:top w:w="28" w:type="dxa"/>
          <w:left w:w="28" w:type="dxa"/>
          <w:bottom w:w="28" w:type="dxa"/>
          <w:right w:w="28" w:type="dxa"/>
        </w:tblCellMar>
      </w:tblPr>
      <w:tblGrid>
        <w:gridCol w:w="1618"/>
        <w:gridCol w:w="1422"/>
        <w:gridCol w:w="1430"/>
        <w:gridCol w:w="109"/>
        <w:gridCol w:w="109"/>
        <w:gridCol w:w="109"/>
        <w:gridCol w:w="109"/>
        <w:gridCol w:w="207"/>
        <w:gridCol w:w="207"/>
        <w:gridCol w:w="402"/>
        <w:gridCol w:w="1374"/>
        <w:gridCol w:w="207"/>
        <w:gridCol w:w="109"/>
        <w:gridCol w:w="109"/>
        <w:gridCol w:w="109"/>
        <w:gridCol w:w="211"/>
        <w:gridCol w:w="616"/>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Mid-Con</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1,967%</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60"/>
        <w:jc w:val="left"/>
        <w:rPr>
          <w:rFonts w:ascii="Times New Roman;sans-serif" w:hAnsi="Times New Roman;sans-serif"/>
          <w:b w:val="false"/>
          <w:color w:val="000000"/>
          <w:sz w:val="16"/>
        </w:rPr>
      </w:pPr>
      <w:r>
        <w:rPr>
          <w:rFonts w:ascii="Times New Roman;sans-serif" w:hAnsi="Times New Roman;sans-serif"/>
          <w:b w:val="false"/>
          <w:color w:val="000000"/>
          <w:sz w:val="16"/>
        </w:rPr>
        <w:t>*Not considered meaningful</w:t>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the amortization expense associated with our favorable gas gathering contracts as reported in Other revenues.</w:t>
      </w:r>
    </w:p>
    <w:p>
      <w:pPr>
        <w:pStyle w:val="TextBody"/>
        <w:bidi w:val="0"/>
        <w:spacing w:lineRule="auto" w:line="288" w:before="120" w:after="283"/>
        <w:jc w:val="left"/>
        <w:rPr/>
      </w:pPr>
      <w:r>
        <w:rPr>
          <w:rFonts w:ascii="Times New Roman;sans-serif" w:hAnsi="Times New Roman;sans-serif"/>
          <w:b w:val="false"/>
          <w:color w:val="000000"/>
          <w:sz w:val="20"/>
          <w:u w:val="single"/>
        </w:rPr>
        <w:t>Three months ended March 31, 2025</w:t>
      </w:r>
      <w:r>
        <w:rPr>
          <w:rFonts w:ascii="Times New Roman;sans-serif" w:hAnsi="Times New Roman;sans-serif"/>
          <w:b w:val="false"/>
          <w:color w:val="000000"/>
          <w:sz w:val="20"/>
        </w:rPr>
        <w:t>. Segment adjusted EBITDA increased $17.4 million compared to the three months ended March 31, 2024, primarily as a result of the increased volume throughput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Northeast.</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reportable segment follows.</w:t>
      </w:r>
    </w:p>
    <w:tbl>
      <w:tblPr>
        <w:tblW w:w="9556" w:type="dxa"/>
        <w:jc w:val="left"/>
        <w:tblInd w:w="0" w:type="dxa"/>
        <w:tblLayout w:type="fixed"/>
        <w:tblCellMar>
          <w:top w:w="28" w:type="dxa"/>
          <w:left w:w="28" w:type="dxa"/>
          <w:bottom w:w="28" w:type="dxa"/>
          <w:right w:w="28" w:type="dxa"/>
        </w:tblCellMar>
      </w:tblPr>
      <w:tblGrid>
        <w:gridCol w:w="1623"/>
        <w:gridCol w:w="1429"/>
        <w:gridCol w:w="1432"/>
        <w:gridCol w:w="109"/>
        <w:gridCol w:w="109"/>
        <w:gridCol w:w="109"/>
        <w:gridCol w:w="109"/>
        <w:gridCol w:w="479"/>
        <w:gridCol w:w="479"/>
        <w:gridCol w:w="479"/>
        <w:gridCol w:w="479"/>
        <w:gridCol w:w="483"/>
        <w:gridCol w:w="109"/>
        <w:gridCol w:w="109"/>
        <w:gridCol w:w="109"/>
        <w:gridCol w:w="233"/>
        <w:gridCol w:w="233"/>
        <w:gridCol w:w="156"/>
        <w:gridCol w:w="109"/>
        <w:gridCol w:w="109"/>
        <w:gridCol w:w="109"/>
        <w:gridCol w:w="281"/>
        <w:gridCol w:w="281"/>
        <w:gridCol w:w="399"/>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(Ohio Gathering)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Not considered meaningful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completed the disposition of Summit Utica, the owner of our equity method investment, Ohio Gathering, and on May 1, 2024, we completed the disposition of our Mountaineer Midstream system.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Northeast reportable segment follows.</w:t>
      </w:r>
    </w:p>
    <w:tbl>
      <w:tblPr>
        <w:tblW w:w="9960" w:type="dxa"/>
        <w:jc w:val="left"/>
        <w:tblInd w:w="0" w:type="dxa"/>
        <w:tblLayout w:type="fixed"/>
        <w:tblCellMar>
          <w:top w:w="28" w:type="dxa"/>
          <w:left w:w="28" w:type="dxa"/>
          <w:bottom w:w="28" w:type="dxa"/>
          <w:right w:w="28" w:type="dxa"/>
        </w:tblCellMar>
      </w:tblPr>
      <w:tblGrid>
        <w:gridCol w:w="1618"/>
        <w:gridCol w:w="1421"/>
        <w:gridCol w:w="1430"/>
        <w:gridCol w:w="109"/>
        <w:gridCol w:w="109"/>
        <w:gridCol w:w="109"/>
        <w:gridCol w:w="109"/>
        <w:gridCol w:w="277"/>
        <w:gridCol w:w="277"/>
        <w:gridCol w:w="536"/>
        <w:gridCol w:w="1032"/>
        <w:gridCol w:w="277"/>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Proportional adjusted EBITDA for Ohio Gathering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Not considered meaningful</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SMLP recorded its financial results of its investment in Ohio Gathering on a one-month lag based on financial information available to us during the reporting period. With the divestiture of Ohio Gathering in March 2024, proportional adjusted EBITDA includes financial results from December 1, 2023 through March 22, 2024 ($2.5 million for March 1, 2024 - March 22, 2024).</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Corporate and Other Overview for the Three Months Ended March 31, 2025 and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and interest expense. Corporate and Other includes intercompany eliminations.</w:t>
      </w:r>
    </w:p>
    <w:tbl>
      <w:tblPr>
        <w:tblW w:w="7799" w:type="dxa"/>
        <w:jc w:val="left"/>
        <w:tblInd w:w="0" w:type="dxa"/>
        <w:tblLayout w:type="fixed"/>
        <w:tblCellMar>
          <w:top w:w="28" w:type="dxa"/>
          <w:left w:w="28" w:type="dxa"/>
          <w:bottom w:w="28" w:type="dxa"/>
          <w:right w:w="28" w:type="dxa"/>
        </w:tblCellMar>
      </w:tblPr>
      <w:tblGrid>
        <w:gridCol w:w="837"/>
        <w:gridCol w:w="734"/>
        <w:gridCol w:w="739"/>
        <w:gridCol w:w="109"/>
        <w:gridCol w:w="109"/>
        <w:gridCol w:w="109"/>
        <w:gridCol w:w="109"/>
        <w:gridCol w:w="207"/>
        <w:gridCol w:w="207"/>
        <w:gridCol w:w="402"/>
        <w:gridCol w:w="1374"/>
        <w:gridCol w:w="207"/>
        <w:gridCol w:w="109"/>
        <w:gridCol w:w="109"/>
        <w:gridCol w:w="109"/>
        <w:gridCol w:w="211"/>
        <w:gridCol w:w="721"/>
        <w:gridCol w:w="109"/>
        <w:gridCol w:w="109"/>
        <w:gridCol w:w="109"/>
        <w:gridCol w:w="109"/>
        <w:gridCol w:w="281"/>
        <w:gridCol w:w="281"/>
        <w:gridCol w:w="39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expenses increased by $1.9 million for the three months ended March 31, 2025,</w:t>
      </w:r>
      <w:r>
        <w:rPr>
          <w:color w:val="000000"/>
          <w:shd w:fill="FFFFFF" w:val="clear"/>
        </w:rPr>
        <w:t xml:space="preserve"> </w:t>
      </w:r>
      <w:r>
        <w:rPr>
          <w:rFonts w:ascii="Times New Roman;sans-serif" w:hAnsi="Times New Roman;sans-serif"/>
          <w:b w:val="false"/>
          <w:color w:val="000000"/>
          <w:sz w:val="20"/>
        </w:rPr>
        <w:t>compared to the three months ended March 31, 2024, primarily due to increased professional and legal expenses.</w:t>
      </w:r>
    </w:p>
    <w:p>
      <w:pPr>
        <w:pStyle w:val="TextBody"/>
        <w:bidi w:val="0"/>
        <w:spacing w:lineRule="auto" w:line="288" w:before="120" w:after="283"/>
        <w:jc w:val="left"/>
        <w:rPr/>
      </w:pPr>
      <w:r>
        <w:rPr>
          <w:rFonts w:ascii="Times New Roman;sans-serif" w:hAnsi="Times New Roman;sans-serif"/>
          <w:b w:val="false"/>
          <w:color w:val="000000"/>
          <w:sz w:val="20"/>
          <w:u w:val="single"/>
        </w:rPr>
        <w:t>Transaction costs.</w:t>
      </w:r>
      <w:r>
        <w:rPr>
          <w:color w:val="000000"/>
        </w:rPr>
        <w:t xml:space="preserve"> </w:t>
      </w:r>
      <w:r>
        <w:rPr>
          <w:rFonts w:ascii="Times New Roman;sans-serif" w:hAnsi="Times New Roman;sans-serif"/>
          <w:b w:val="false"/>
          <w:color w:val="000000"/>
          <w:sz w:val="20"/>
        </w:rPr>
        <w:t>Transaction costs during the three months ended March 31, 2025 and 2024 were primarily related to the the Moonrise Acquisition and Utica Sale, respectively.</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decreased $15.3 million for the three months ended March 31, 2025, compared to three months ended March 31, 2024, primarily due to $18.6 million of reduced interest expense as a result of the 2026 Secured Notes Tender Offer and the Asset Sale Offer that occurred in July 2024 and May 2024, respectively, $4.0 million of reduced interest expense as a result of decreased borrowings on the Amended and Restated ABL Facility and $6.3 million of reduced interest expense due to the full repayment and discharge of the 2026 Unsecured Notes in June 2024, partially offset by $16.7 million of increased borrowing costs in connection with issuance of the 2029 Secured Notes in July 2024 and January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flows as well as current cash balance and external financing sources, including commercial bank borrowings, and the issuance of debt, equity and preferred equity securities, and proceeds from potential asset divestitures to fund our capital expenditures. We believe that our Amended and Restated ABL Facility and Permian Transmission Credit Facilities, together with internally generated cash flows, current cash balance and access to debt or equity capital markets, will be adequate to finance our operations for the next twelve months, and based on current expectations, the long-term, without adversely impacting our liquidity.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off-balance sheet arrangements and transactions that can give rise to material off-balance sheet obligations. As of March 31, 2025, our material off-balance sheet arrangements and transactions include (i) letters of credit outstanding against our Amended and Restated ABL Facility aggregating to $0.8 million, and (ii) letters of credit outstanding against our Permian Transmission Credit Facilities aggregating to $10.5 million. There are no other transactions, arrangements or other relationships with unconsolidated entities or other persons that are reasonably likely to materially affect our liquidity or availability of our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 compliance with all covenants contained in the indenture governing the 2029 Secured Notes, the Amended and Restated ABL Facility and the Permian Transmission Credit Facilities. 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March 31, 2025, the First Lien Net Leverage Ratio (as defined in the Amended and Restated ABL Agreement) and the Interest Coverage Ratio was 0.52:1.00 and 2.80:1.00,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Amended and Restated ABL Facility.</w:t>
      </w:r>
      <w:r>
        <w:rPr>
          <w:color w:val="000000"/>
        </w:rPr>
        <w:t xml:space="preserve"> </w:t>
      </w:r>
      <w:r>
        <w:rPr>
          <w:rFonts w:ascii="Times New Roman;sans-serif" w:hAnsi="Times New Roman;sans-serif"/>
          <w:b w:val="false"/>
          <w:color w:val="000000"/>
          <w:sz w:val="20"/>
        </w:rPr>
        <w:t xml:space="preserve">Concurrently with the issuance of the 2029 Secured Notes, on July 26, 2024, Summit Holdings, as borrower, amended and restated its existing first-lien, senior secured credit agreement, with SMLP, consisting of a $500.0 million asset-based revolving credit facility. As of March 31, 2025, 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As of March 31, 2025, there was $145.0 million outstanding under the Amended and Restated ABL Facility and the available borrowing capacity totaled $354.2 million after giving effect to the issuance thereunder of $0.8 million of outstanding but undrawn irrevocable standby letters of credit. </w:t>
      </w:r>
    </w:p>
    <w:p>
      <w:pPr>
        <w:pStyle w:val="TextBody"/>
        <w:bidi w:val="0"/>
        <w:spacing w:lineRule="auto" w:line="288" w:before="120" w:after="283"/>
        <w:jc w:val="left"/>
        <w:rPr/>
      </w:pPr>
      <w:r>
        <w:rPr>
          <w:rFonts w:ascii="Times New Roman;sans-serif" w:hAnsi="Times New Roman;sans-serif"/>
          <w:b/>
          <w:i/>
          <w:color w:val="000000"/>
          <w:sz w:val="20"/>
        </w:rPr>
        <w:t>2029 Secured Notes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On July 26, 2024, Summit Holdings issued $575.0 million aggregate principal amount of 8.625% Senior Secured Second Lien Notes due 2029.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Summit Holdings issued an additional $250.0 million in aggregate principal amount of 2029 Secured Notes as additional notes under the same indenture pursuant to which, on July 26, 2024, Summit Holdings issued $575.0 million in aggregate principal amount of 2029 Secured Notes. The 2029 Secured Notes mature on October 31, 2029 and have interest payable semi-annually in arrears on each February 15 and August 15. As of March 31, 2025, the outstanding balance of the 2029 Secured Notes was $825.0 million.</w:t>
      </w:r>
    </w:p>
    <w:p>
      <w:pPr>
        <w:pStyle w:val="TextBody"/>
        <w:bidi w:val="0"/>
        <w:spacing w:lineRule="auto" w:line="288" w:before="120" w:after="120"/>
        <w:jc w:val="left"/>
        <w:rPr/>
      </w:pPr>
      <w:r>
        <w:rPr>
          <w:rFonts w:ascii="Times New Roman;sans-serif" w:hAnsi="Times New Roman;sans-serif"/>
          <w:b/>
          <w:i/>
          <w:color w:val="000000"/>
          <w:sz w:val="20"/>
        </w:rPr>
        <w:t>Other.</w:t>
      </w:r>
      <w:r>
        <w:rPr>
          <w:color w:val="000000"/>
        </w:rPr>
        <w:t xml:space="preserve"> </w:t>
      </w:r>
      <w:r>
        <w:rPr>
          <w:rFonts w:ascii="Times New Roman;sans-serif" w:hAnsi="Times New Roman;sans-serif"/>
          <w:b w:val="false"/>
          <w:color w:val="000000"/>
          <w:sz w:val="20"/>
        </w:rPr>
        <w:t>We may in the future use a combination of cash, secured or unsecured borrowings and issuances of our common stock or other securities and the proceeds from asset sales to retire or refinance our outstanding debt or Series A Preferred Stock through privately negotiated transactions, open market repurchases, redemptions, exchange offers, tender offers or otherwise, but we are under no obligation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change in cash and cash equivalents were as follows:</w:t>
      </w:r>
    </w:p>
    <w:tbl>
      <w:tblPr>
        <w:tblW w:w="7194" w:type="dxa"/>
        <w:jc w:val="left"/>
        <w:tblInd w:w="0" w:type="dxa"/>
        <w:tblLayout w:type="fixed"/>
        <w:tblCellMar>
          <w:top w:w="28" w:type="dxa"/>
          <w:left w:w="28" w:type="dxa"/>
          <w:bottom w:w="28" w:type="dxa"/>
          <w:right w:w="28" w:type="dxa"/>
        </w:tblCellMar>
      </w:tblPr>
      <w:tblGrid>
        <w:gridCol w:w="1677"/>
        <w:gridCol w:w="1477"/>
        <w:gridCol w:w="1481"/>
        <w:gridCol w:w="211"/>
        <w:gridCol w:w="721"/>
        <w:gridCol w:w="109"/>
        <w:gridCol w:w="109"/>
        <w:gridCol w:w="109"/>
        <w:gridCol w:w="109"/>
        <w:gridCol w:w="211"/>
        <w:gridCol w:w="82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three months ended March 31, 2025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 net income of $4.6 million plus positive adjustments of $29.4 million for non-cash operating items;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$18.0 million change in working capital accounts.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three months ended March 31,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net income of $132.9 million plus adjustments of $104.0 million for non-cash operating items;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$14.7 million change in working capital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by investing activities during the three months ended March 31, 2025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$70.0 million of cash outflows from cash consideration paid for the acquisition of Moonrise, net of cash acquired in the transaction;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$20.6 million of cash outflows for capital expenditures.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investing activities during the three months ended March 31,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$332.7 million of cash inflows from the proceeds of the sale of our equity method investment;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$292.3 million of cash inflows from the proceeds of the sale of Summit Utica;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$16.4 million of cash outflows for capital expenditures.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financing activities during the three months ended March 31, 2025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$250.0 million of cash outflows for repayments on the Amended and Restated ABL Facility;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$4.0 million of cash outflows for repayments on the Permian Transmission Term Loan;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$258.4 million of cash inflows from the issuance of the Additional 2029 Secured Notes;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$90.0 million of cash inflows from borrowings on the Amended and Restated ABL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three months ended March 31,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$313.0 million of cash outflows for repayments on the Amended and Restated ABL Facility;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$3.8 million of cash outflows for repayments on the Permian Transmission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Capital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required that we categorize our capital expenditures as either: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Corporate Reorganization, SMLP Agreement was amended to, among other things, reflect that all of the issued and outstanding limited partnership interests of the Partnership are held by Summit Midstream Corporation. For information on the Corporate Reorganization, see Note 1 – Organization, Business Operations, Corporate Reorganization and Presentation and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cash paid for capital expenditures totaled $20.6 million which included $2.5 million of maintenance capital expenditures. For the three months ended March 31, 2025, we contributed $2.5 million to Double E.</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primarily on internally generated cash flows, our current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Amended and Restated ABL Facility and the Permian Transmission Credit Facilities, and access to debt or equity capital markets, will be adequate to finance our operations for the next twelve months without adversely impacting our liquidity.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Credit and Counterparty Concentration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there were no material changes to the off-balance sheet obligations disclosed in our 2024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achieve the strategic and other objectives relating to the Tall Oak Acquisition and the Moonrise Acquisition;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risk that we are unable to integrate Tall Oak’s and Moonrise’s operations in a successful manner and in the expected time period;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decision whether to pay, or our ability to grow, our cash dividends;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fluctuations in natural gas, NGLs and crude oil prices, including as a result of political or economic measures taken by various countries or OPEC;</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extent and success of our customers’ drilling and completion efforts, as well as the quantity of natural gas, crude oil, freshwater deliveries, and produced water volumes produced within proximity of our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or delays by our customers in achieving expected production in their natural gas, crude oil and produced water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competitive conditions in our industry and their impact on our ability to connect hydrocarbon supplies to our gathering and processing assets or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ability to attract and retain key management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commercial bank and capital market conditions and the potential impact of changes or disruptions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availability and cost of capital and the results of our financing efforts, including availability of funds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restrictions placed on us by the agreements governing our debt and preferred equity instruments;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availability, terms and cost of downstream transportation and processing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disasters, accidents, weather-related delays, casualty losses and other matters beyond our control;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current and potential future impact of pandemics on our business, results of operations, financial position or cash flows;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operational risks and hazards inherent in the gathering, compression, treating and/or processing of natural gas, crude oil and produced water;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comply with the terms of the agreements comprising the Global Settlement;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weather conditions and terrain in certain areas in which we operate;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physical and financial risks associated with climate change;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other issues that can result in deficiencies in the design, installation or operation of our gathering, compression, treating, processing and freshwater facilities;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 and trade policy and tariffs;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litigation;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interest rates;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changes in general economic conditions;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fluctuations in our effective tax rate;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certain factors discussed elsewhere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in any of these areas could cause actual results to differ materially from those anticipated or projected or cause a significant reduction in the market price of our common stock, Series A Preferred Stock and 2029 Secured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Information About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 maintains a website at www.sec.gov that contains reports, proxy and information statements, and other information regarding issuers, including us,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rate risk exposure, which is largely related to our indebtedness, has not changed materially since December 31, 2024. As of March 31, 2025, we had approximately $825.0 million principal of fixed-rate debt, $145.0 million outstanding under our variable rate Amended and Restated ABL Facility and $125.3 million outstanding under the variable rate Permian Transmission Term Loan (see Note 8 - Debt). As of March 31, 2025, we had $112.8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Amended and Restated ABL Facility, which have a variable interest rate, also expose us to the risk of increasing interest rates. For the three months ended March 31, 2025, a hypothetical 1% increase (decrease) in interest rates on our variable rate debt would have increased (decreased) our interest expense by approximately $0.7 million assuming no changes in amounts drawn or other variables under our Amended and Restated ABL Facility or Permian Transmission Term Loan. For additional information, see the “Interest Rate Risk” section included in Item 7A. Quantitative and Qualitative Disclosures About Market Risk of the 2024 Annual Report and updates to our risk factors included herein.</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Commodity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Mid-Con segment customers and (iii) the sale of condensate we retain from certain gathering services in the Piceance segment. Our gathering agreements with certain Mid-Con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2024. For additional information, see the “Commodity Price Risk” section included in Item 7A. Quantitative and Qualitative Disclosures About Market Risk of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direction of our Chief Executive Officer and Chief Financial Officer, we evaluated our disclosure controls and procedures and internal control over financial reporting and concluded that (i) our disclosure controls and procedures were effective as of March 31, 2025 and (ii) no change in internal control over financial reporting occurred during the quarter ended March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 </w:t>
      </w:r>
    </w:p>
    <w:p>
      <w:pPr>
        <w:pStyle w:val="TextBody"/>
        <w:bidi w:val="0"/>
        <w:spacing w:lineRule="auto" w:line="288" w:before="120" w:after="283"/>
        <w:jc w:val="left"/>
        <w:rPr/>
      </w:pPr>
      <w:r>
        <w:rPr>
          <w:rFonts w:ascii="Times New Roman;sans-serif" w:hAnsi="Times New Roman;sans-serif"/>
          <w:b/>
          <w:i/>
          <w:color w:val="000000"/>
          <w:sz w:val="20"/>
        </w:rPr>
        <w:t>Fiberspar Corporation.</w:t>
      </w:r>
      <w:r>
        <w:rPr>
          <w:color w:val="000000"/>
        </w:rPr>
        <w:t xml:space="preserve"> </w:t>
      </w:r>
      <w:r>
        <w:rPr>
          <w:rFonts w:ascii="Times New Roman;sans-serif" w:hAnsi="Times New Roman;sans-serif"/>
          <w:b w:val="false"/>
          <w:color w:val="000000"/>
          <w:sz w:val="20"/>
        </w:rPr>
        <w:t>On May 3, 2022, Fiberspar Corporation (“Fiberspar”) filed a petition in the District Court of Harris County, Texas alleging, before costs and interest, over $5.0 million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We are unable to predict the final outcome of this matter.</w:t>
      </w:r>
    </w:p>
    <w:p>
      <w:pPr>
        <w:pStyle w:val="TextBody"/>
        <w:bidi w:val="0"/>
        <w:spacing w:lineRule="auto" w:line="288" w:before="120" w:after="283"/>
        <w:jc w:val="left"/>
        <w:rPr/>
      </w:pPr>
      <w:r>
        <w:rPr>
          <w:rFonts w:ascii="Times New Roman;sans-serif" w:hAnsi="Times New Roman;sans-serif"/>
          <w:b/>
          <w:i/>
          <w:color w:val="000000"/>
          <w:sz w:val="20"/>
        </w:rPr>
        <w:t>Global Settlement.</w:t>
      </w:r>
      <w:r>
        <w:rPr>
          <w:color w:val="000000"/>
        </w:rPr>
        <w:t xml:space="preserve"> </w:t>
      </w:r>
      <w:r>
        <w:rPr>
          <w:rFonts w:ascii="Times New Roman;sans-serif" w:hAnsi="Times New Roman;sans-serif"/>
          <w:b w:val="false"/>
          <w:color w:val="000000"/>
          <w:sz w:val="20"/>
        </w:rPr>
        <w:t>On August 4, 2021, SMLP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 (together, the “Global Settlement”).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Decree provides for, among other requirements and subject to the conditions therein, (i) payment of total civil penalties and reimbursement of assessment costs of approximately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Agreement settles a complaint brought by the North Dakota Industrial Commission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6, 2021, the U.S. District Court accepted the Plea Agreement. This Global Settlement resulted in losses amounting to $36.3 million and will be paid over five to six years, of which we have paid principal amounts of $21.3 million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risk factors contained in Item 1A. Risk Factors of the 2024 Annual Report are incorporated herein by reference except to the extent they address risks arising from or relating to the failure of events described therein to occur, which events have since occurred. The risk factor presented below updates, and should be considered in addition to, the risk factors previously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disclosed by us in Item 1A of the 2024 Annual Report.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Tariffs and other trade measures could adversely affect our business, results of operations, financial position, and cash flows.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raw materials, parts, and components that are manufactured and supplied for our operations may be adversely affected by tariffs imposed by the U.S. government on products imported into the United States and tariffs or other retaliatory trade measures imposed by other jurisdictions. Tariffs and other trade restrictions could also disrupt our supply chain and logistics, restrict or limit the availability of materials or supplies, and cause adverse financial impacts due to volatility in foreign exchange rates and interest rates or inflationary pressures on raw materials and energy. We may not be able to fully mitigate the impact of these increased costs or pass price increases on to our customers. While tariffs and other retaliatory trade measures imposed by other countries on U.S. goods have not yet had a significant impact on our business or results of operations, we cannot predict further developments, and such existing or future tariffs could have a material adverse effect on our results of operations, financial position, and cash flows. Recently, the United States has proposed changes in trade policies that include export control restrictions, the negotiation or termination of trade agreements, the imposition of higher tariffs on imports into the United States, increased economic sanctions on individuals, companies, or countries, and other government regulations affecting trade between the United States and other countries, and a number of other nations have proposed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results of operations, and financial position.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shares of common stock issued to Fundare in the Moonrise Acquisition, we did not sell any unregistered equity securities during the quarter ended March 31, 2025.</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5. Other Information</w:t>
      </w:r>
      <w:r>
        <w:rPr>
          <w:rFonts w:ascii="Times New Roman;sans-serif" w:hAnsi="Times New Roman;sans-serif"/>
          <w:b/>
          <w:i/>
          <w:color w:val="000000"/>
          <w:sz w:val="20"/>
        </w:rPr>
        <w: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36"/>
        <w:gridCol w:w="294"/>
        <w:gridCol w:w="297"/>
        <w:gridCol w:w="109"/>
        <w:gridCol w:w="109"/>
        <w:gridCol w:w="109"/>
        <w:gridCol w:w="2860"/>
        <w:gridCol w:w="2508"/>
        <w:gridCol w:w="3583"/>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83"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bookmarkStart w:id="0" w:name="ice6c1c0d9fac4d25977819b9829314fd_3-2-1-"/>
              <w:bookmarkEnd w:id="0"/>
              <w:r>
                <w:rPr>
                  <w:rStyle w:val="InternetLink"/>
                  <w:rFonts w:ascii="Times New Roman;sans-serif" w:hAnsi="Times New Roman;sans-serif"/>
                  <w:b w:val="false"/>
                  <w:color w:val="0000FF"/>
                  <w:sz w:val="20"/>
                  <w:u w:val="single"/>
                </w:rPr>
                <w:t>Amended and Restated Certificate of Incorporation of Summit Midstream Corporation (Incorporated herein by reference to Exhibit 3.1 to SMC’s Current Report on Form 8-K12B filed August 1, 2024 (Commission File No. 001-35666)).</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Summit Midstream Corporation (Incorporated herein by reference to Exhibit 3.2 to SMC’s Current Report on Form 8-K12B filed August 1, 2024 (Commission File No. 001-35666)).</w:t>
              </w:r>
            </w:hyperlink>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Certificate of Designation of Series A Floating Rate Cumulative Redeemable Perpetual Preferred Stock of Summit Midstream Corporation (Incorporated herein by reference to Exhibit 3.3 to SMC’s Current Report on Form 8-K12B filed August 1, 2024 (Commission File No. 001-35666)).</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Certificate of Designation of Class B common stock, par value $0.01 per share, of Summit Midstream Corporation (Incorporated herein by reference to Exhibit 3.1 to SMC’s Current Report on Form 8-K filed December 3, 2024 (Commission File No. 001-42201)).</w:t>
              </w:r>
            </w:hyperlink>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Membership Interest Purchase Agreement, by and among Fundare Resources Company HoldCo, LLC, Summit Midstream Holdings, LLC, Summit Midstream Corporation, and solely for purposes of Section 9.19 thereto, Fundare Resources Company, LLC, dated as of March 10, 2025 (Incorporated herein by reference to Exhibit 10.1 to SMC’s Current Report on Form 8-K filed March 14, 2025 (Commission File No. 001-42201)).</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Registration Rights and Lock-Up Agreement, by and between Summit Midstream Corporation and Fundare Resources Company HoldCo, LLC, dated as of March 10, 2025 (Incorporated herein by reference to Exhibit 10.2 to SMC’s Current Report on Form 8-K filed March 14, 2025 (Commission File No. 001-42201)).</w:t>
              </w:r>
            </w:hyperlink>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ans-serif" w:hAnsi="Times New Roman;sans-serif"/>
                  <w:b w:val="false"/>
                  <w:color w:val="0000FF"/>
                  <w:sz w:val="20"/>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nnexb-2025performancersuf.htm">
              <w:r>
                <w:rPr>
                  <w:rStyle w:val="InternetLink"/>
                  <w:rFonts w:ascii="Times New Roman;sans-serif" w:hAnsi="Times New Roman;sans-serif"/>
                  <w:b w:val="false"/>
                  <w:color w:val="0000FF"/>
                  <w:sz w:val="20"/>
                  <w:u w:val="single"/>
                </w:rPr>
                <w:t>Executive Form of Performance-Based Restricted Stock Unit Award Agreement pursuant to the Summit Midstream Corporation 2024 Long-Term Incentive Plan.</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ans-serif" w:hAnsi="Times New Roman;sans-serif"/>
                  <w:b w:val="false"/>
                  <w:color w:val="0000FF"/>
                  <w:sz w:val="20"/>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nnexc-2025executivetimers.htm">
              <w:r>
                <w:rPr>
                  <w:rStyle w:val="InternetLink"/>
                  <w:rFonts w:ascii="Times New Roman;sans-serif" w:hAnsi="Times New Roman;sans-serif"/>
                  <w:b w:val="false"/>
                  <w:color w:val="0000FF"/>
                  <w:sz w:val="20"/>
                  <w:u w:val="single"/>
                </w:rPr>
                <w:t>Executive Form of Time-Based Restricted Stock Unit Award Agreement pursuant to the Summit Midstream Corporation 2024 Long-Term Incentive Plan.</w:t>
              </w:r>
            </w:hyperlink>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ans-serif" w:hAnsi="Times New Roman;sans-serif"/>
                  <w:b w:val="false"/>
                  <w:color w:val="0000FF"/>
                  <w:sz w:val="20"/>
                  <w:u w:val="single"/>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nnexd-2025employeetimersu.htm">
              <w:r>
                <w:rPr>
                  <w:rStyle w:val="InternetLink"/>
                  <w:rFonts w:ascii="Times New Roman;sans-serif" w:hAnsi="Times New Roman;sans-serif"/>
                  <w:b w:val="false"/>
                  <w:color w:val="0000FF"/>
                  <w:sz w:val="20"/>
                  <w:u w:val="single"/>
                </w:rPr>
                <w:t>Employee Form of Restricted Stock Unit Award Agreement pursuant to the Summit Midstream Corporation 2024 Long-Term Incentive Plan.</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ans-serif" w:hAnsi="Times New Roman;sans-serif"/>
                  <w:b w:val="false"/>
                  <w:color w:val="0000FF"/>
                  <w:sz w:val="20"/>
                  <w:u w:val="single"/>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c-directorformofltipagre.htm">
              <w:r>
                <w:rPr>
                  <w:rStyle w:val="InternetLink"/>
                  <w:rFonts w:ascii="Times New Roman;sans-serif" w:hAnsi="Times New Roman;sans-serif"/>
                  <w:b w:val="false"/>
                  <w:color w:val="0000FF"/>
                  <w:sz w:val="20"/>
                  <w:u w:val="single"/>
                </w:rPr>
                <w:t>Director Form Stock Agreement pursuant to the Summit Midstream Corporation 2024 Long-Term Incentive Plan.</w:t>
              </w:r>
            </w:hyperlink>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c-20250331xex311.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c-20250331xex311.htm">
              <w:r>
                <w:rPr>
                  <w:rStyle w:val="InternetLink"/>
                  <w:rFonts w:ascii="Times New Roman;sans-serif" w:hAnsi="Times New Roman;sans-serif"/>
                  <w:b w:val="false"/>
                  <w:color w:val="0000FF"/>
                  <w:sz w:val="20"/>
                  <w:u w:val="single"/>
                </w:rPr>
                <w:t>Rule 13a-14(a)/15d-14(a) Certification, executed by Heath Deneke, President, Chief Executive Officer and Director</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c-20250331xex312.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c-20250331xex312.htm">
              <w:r>
                <w:rPr>
                  <w:rStyle w:val="InternetLink"/>
                  <w:rFonts w:ascii="Times New Roman;sans-serif" w:hAnsi="Times New Roman;sans-serif"/>
                  <w:b w:val="false"/>
                  <w:color w:val="0000FF"/>
                  <w:sz w:val="20"/>
                  <w:u w:val="single"/>
                </w:rPr>
                <w:t>Rule 13a-14(a)/15d-14(a) Certification, executed by William J. Mault, Executive Vice President and Chief Financial Officer</w:t>
              </w:r>
            </w:hyperlink>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c-20250331xex321.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c-20250331xex321.htm">
              <w:r>
                <w:rPr>
                  <w:rStyle w:val="InternetLink"/>
                  <w:rFonts w:ascii="Times New Roman;sans-serif" w:hAnsi="Times New Roman;sans-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 The financial information contained in the XBRL (eXtensible Business Reporting Language)-related documents is unaudited and unreviewed.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Certain of the schedules and exhibits to the agreement have been omitted pursuant to Item 601(a)(5) of Regulation S-K. A copy of any omitted schedule or exhibit will be furnished to the SEC upon request.</w:t>
      </w:r>
    </w:p>
    <w:p>
      <w:pPr>
        <w:pStyle w:val="TextBody"/>
        <w:bidi w:val="0"/>
        <w:spacing w:lineRule="auto" w:line="288" w:before="120" w:after="283"/>
        <w:jc w:val="left"/>
        <w:rPr>
          <w:color w:val="000000"/>
        </w:rPr>
      </w:pPr>
      <w:r>
        <w:rPr>
          <w:color w:val="000000"/>
        </w:rPr>
        <w:t xml:space="preserve">† </w:t>
      </w:r>
      <w:r>
        <w:rPr>
          <w:rFonts w:ascii="Times New Roman;sans-serif" w:hAnsi="Times New Roman;sans-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c03a3af6a058433da353c898413f6c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9464" w:type="dxa"/>
        <w:jc w:val="left"/>
        <w:tblInd w:w="0" w:type="dxa"/>
        <w:tblLayout w:type="fixed"/>
        <w:tblCellMar>
          <w:top w:w="28" w:type="dxa"/>
          <w:left w:w="28" w:type="dxa"/>
          <w:bottom w:w="28" w:type="dxa"/>
          <w:right w:w="28" w:type="dxa"/>
        </w:tblCellMar>
      </w:tblPr>
      <w:tblGrid>
        <w:gridCol w:w="455"/>
        <w:gridCol w:w="401"/>
        <w:gridCol w:w="404"/>
        <w:gridCol w:w="2396"/>
        <w:gridCol w:w="2396"/>
        <w:gridCol w:w="3412"/>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 Executive Vice President and Chief Financial Officer (Principal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4"/>
        </w:rPr>
      </w:pPr>
      <w:r>
        <w:rPr>
          <w:rFonts w:ascii="Times New Roman;sans-serif" w:hAnsi="Times New Roman;sans-serif"/>
          <w:b/>
          <w:i/>
          <w:color w:val="000000"/>
          <w:sz w:val="24"/>
        </w:rPr>
        <w:t>[Executive Performance-Based Form of Award for RSUs]</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194.2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right"/>
        <w:rPr>
          <w:rFonts w:ascii="Arial;sans-serif" w:hAnsi="Arial;sans-serif"/>
          <w:b/>
          <w:color w:val="000000"/>
          <w:sz w:val="20"/>
        </w:rPr>
      </w:pPr>
      <w:r>
        <w:rPr>
          <w:rFonts w:ascii="Arial;sans-serif" w:hAnsi="Arial;sans-serif"/>
          <w:b/>
          <w:color w:val="000000"/>
          <w:sz w:val="20"/>
        </w:rPr>
        <w:t>EXHIBIT 10.3</w:t>
      </w:r>
    </w:p>
    <w:p>
      <w:pPr>
        <w:pStyle w:val="TextBody"/>
        <w:bidi w:val="0"/>
        <w:spacing w:lineRule="auto" w:line="288" w:before="0" w:after="0"/>
        <w:jc w:val="left"/>
        <w:rPr>
          <w:color w:val="000000"/>
        </w:rPr>
      </w:pPr>
      <w:r>
        <w:rPr>
          <w:color w:val="000000"/>
        </w:rPr>
        <w:t>    </w:t>
      </w:r>
      <w:r>
        <w:rPr>
          <w:rFonts w:ascii="Times New Roman;sans-serif" w:hAnsi="Times New Roman;sans-serif"/>
          <w:b/>
          <w:color w:val="000000"/>
          <w:sz w:val="24"/>
        </w:rPr>
        <w:t>SUMMIT MIDSTREAM CORPORATION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2024 LONG-TERM INCENTIVE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LTIP GRANT AWARD AGREEMENT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(Performance-Based Restricted Stock Units)</w:t>
      </w:r>
    </w:p>
    <w:p>
      <w:pPr>
        <w:pStyle w:val="TextBody"/>
        <w:bidi w:val="0"/>
        <w:spacing w:before="0" w:after="2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Pursuant to this LTIP Grant Award Agreement (Performance-Based Restricted Stock Units), dated as of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 xml:space="preserve">(inclusive of the Grant Notice, Terms and Conditions of the LTIP Grant and </w:t>
      </w:r>
      <w:r>
        <w:rPr>
          <w:rFonts w:ascii="Times New Roman;sans-serif" w:hAnsi="Times New Roman;sans-serif"/>
          <w:b w:val="false"/>
          <w:color w:val="000000"/>
          <w:sz w:val="24"/>
          <w:u w:val="single"/>
        </w:rPr>
        <w:t>Exhibits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attached hereto,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and the Summit Midstream Corporation 2024 Long-Term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Summit Midstream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hereby grants to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the following Restricted Stock Units within the meaning of the Plan (the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 In the event of any conflict between the terms of this Agreement and the Plan (the terms and conditions of which are hereby incorporated into this Agreement by reference), the terms of the Plan shall control. Except as otherwise expressly provided herein, all capitalized terms used in this Agreement, but not otherwise defined herein, shall have the meanings provided in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 of this Agreement, if the Participant has not executed this Agreement within ninety (90) days following the Grant Date, the Participant will be deemed to have accepted this Award, subject to all of the terms and conditions of this Agreement and the Plan.</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GRANT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terms and conditions of this Agreement, the principal features of the Award are as follows: </w:t>
      </w:r>
    </w:p>
    <w:p>
      <w:pPr>
        <w:pStyle w:val="TextBody"/>
        <w:bidi w:val="0"/>
        <w:spacing w:lineRule="auto" w:line="276" w:before="240" w:after="283"/>
        <w:jc w:val="both"/>
        <w:rPr/>
      </w:pPr>
      <w:r>
        <w:rPr>
          <w:rFonts w:ascii="Times New Roman;sans-serif" w:hAnsi="Times New Roman;sans-serif"/>
          <w:b/>
          <w:color w:val="000000"/>
          <w:sz w:val="24"/>
        </w:rPr>
        <w:t>Target Number of Restricted Stock Units</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 xml:space="preserve">Restricted Stock Units, each of which is hereby granted in tandem with a corresponding DER, as further detailed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below. </w:t>
      </w:r>
    </w:p>
    <w:p>
      <w:pPr>
        <w:pStyle w:val="TextBody"/>
        <w:bidi w:val="0"/>
        <w:spacing w:lineRule="auto" w:line="276" w:before="240" w:after="240"/>
        <w:ind w:left="0" w:right="0" w:hanging="1710"/>
        <w:jc w:val="both"/>
        <w:rPr/>
      </w:pPr>
      <w:r>
        <w:rPr>
          <w:rFonts w:ascii="Times New Roman;sans-serif" w:hAnsi="Times New Roman;sans-serif"/>
          <w:b/>
          <w:color w:val="000000"/>
          <w:sz w:val="24"/>
        </w:rPr>
        <w:t>Grant Date</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rFonts w:ascii="Times New Roman;sans-serif" w:hAnsi="Times New Roman;sans-serif"/>
          <w:b/>
          <w:color w:val="000000"/>
          <w:sz w:val="24"/>
        </w:rPr>
        <w:t>, 20</w:t>
      </w:r>
      <w:r>
        <w:rPr>
          <w:rFonts w:ascii="Times New Roman;sans-serif" w:hAnsi="Times New Roman;sans-serif"/>
          <w:b/>
          <w:color w:val="000000"/>
          <w:sz w:val="24"/>
          <w:u w:val="single"/>
        </w:rPr>
        <w:t>[ ]</w:t>
      </w:r>
    </w:p>
    <w:p>
      <w:pPr>
        <w:pStyle w:val="TextBody"/>
        <w:bidi w:val="0"/>
        <w:spacing w:lineRule="auto" w:line="288" w:before="0" w:after="0"/>
        <w:jc w:val="both"/>
        <w:rPr/>
      </w:pPr>
      <w:r>
        <w:rPr>
          <w:rFonts w:ascii="Times New Roman;sans-serif" w:hAnsi="Times New Roman;sans-serif"/>
          <w:b/>
          <w:color w:val="000000"/>
          <w:sz w:val="24"/>
        </w:rPr>
        <w:t>Performance Period</w:t>
      </w:r>
      <w:r>
        <w:rPr>
          <w:rFonts w:ascii="Times New Roman;sans-serif" w:hAnsi="Times New Roman;sans-serif"/>
          <w:b w:val="false"/>
          <w:color w:val="000000"/>
          <w:sz w:val="24"/>
        </w:rPr>
        <w:t xml:space="preserve">: </w:t>
      </w:r>
      <w:r>
        <w:rPr>
          <w:rFonts w:ascii="Times New Roman;sans-serif" w:hAnsi="Times New Roman;sans-serif"/>
          <w:b/>
          <w:color w:val="000000"/>
          <w:sz w:val="24"/>
        </w:rPr>
        <w:t>January 1, 20</w:t>
      </w:r>
      <w:r>
        <w:rPr>
          <w:rFonts w:ascii="Times New Roman;sans-serif" w:hAnsi="Times New Roman;sans-serif"/>
          <w:b/>
          <w:color w:val="000000"/>
          <w:sz w:val="24"/>
          <w:u w:val="single"/>
        </w:rPr>
        <w:t>[ ]</w:t>
      </w:r>
      <w:r>
        <w:rPr>
          <w:rFonts w:ascii="Times New Roman;sans-serif" w:hAnsi="Times New Roman;sans-serif"/>
          <w:b/>
          <w:color w:val="000000"/>
          <w:sz w:val="24"/>
        </w:rPr>
        <w:t>, through December 31, 20</w:t>
      </w:r>
      <w:r>
        <w:rPr>
          <w:rFonts w:ascii="Times New Roman;sans-serif" w:hAnsi="Times New Roman;sans-serif"/>
          <w:b/>
          <w:color w:val="000000"/>
          <w:sz w:val="24"/>
          <w:u w:val="single"/>
        </w:rPr>
        <w: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Vesting of the Award</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Except as otherwise provided in this Agreement or the Plan, the Award shall vest as follows: (1) if and to the extent the Restricted Stock Units are earned, based on the extent to which the Performance Criteria are achieved as determined by the Committee, as described in this Agreement, and (2) subject to the Participant’s continued Service through the Payment Date (as defined in </w:t>
      </w:r>
      <w:r>
        <w:rPr>
          <w:rFonts w:ascii="Times New Roman;sans-serif" w:hAnsi="Times New Roman;sans-serif"/>
          <w:b w:val="false"/>
          <w:color w:val="000000"/>
          <w:sz w:val="24"/>
          <w:u w:val="single"/>
        </w:rPr>
        <w:t>Section 5(a)</w:t>
      </w:r>
      <w:r>
        <w:rPr>
          <w:color w:val="000000"/>
        </w:rPr>
        <w:t xml:space="preserve"> </w:t>
      </w:r>
      <w:r>
        <w:rPr>
          <w:rFonts w:ascii="Times New Roman;sans-serif" w:hAnsi="Times New Roman;sans-serif"/>
          <w:b w:val="false"/>
          <w:color w:val="000000"/>
          <w:sz w:val="24"/>
        </w:rPr>
        <w:t xml:space="preserve">below). </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4"/>
        </w:rPr>
        <w:t xml:space="preserve">Notwithstanding the foregoing, the Restricted Stock Units shall be subject to accelerated vesting as set forth in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4(c)</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below.</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40"/>
        <w:jc w:val="both"/>
        <w:rPr/>
      </w:pPr>
      <w:r>
        <w:rPr>
          <w:rFonts w:ascii="Times New Roman;sans-serif" w:hAnsi="Times New Roman;sans-serif"/>
          <w:b/>
          <w:color w:val="000000"/>
          <w:sz w:val="24"/>
        </w:rPr>
        <w:t>Performance Criteria</w:t>
      </w:r>
      <w:r>
        <w:rPr>
          <w:rFonts w:ascii="Times New Roman;sans-serif" w:hAnsi="Times New Roman;sans-serif"/>
          <w:b w:val="false"/>
          <w:color w:val="000000"/>
          <w:sz w:val="24"/>
        </w:rPr>
        <w:t xml:space="preserve">: The Target Number of Restricted Stock Units set forth above represents the number of Restricted Stock Units that may vest pursuant to this Agreement if the Performance Criteria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color w:val="000000"/>
          <w:sz w:val="24"/>
        </w:rPr>
        <w:t>Performance Criteria</w:t>
      </w:r>
      <w:r>
        <w:rPr>
          <w:color w:val="000000"/>
        </w:rPr>
        <w:t>”</w:t>
      </w:r>
      <w:r>
        <w:rPr>
          <w:rFonts w:ascii="Times New Roman;sans-serif" w:hAnsi="Times New Roman;sans-serif"/>
          <w:b w:val="false"/>
          <w:color w:val="000000"/>
          <w:sz w:val="24"/>
        </w:rPr>
        <w:t xml:space="preserve">) are achieved at the Target level;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however, the actual number of Restricted Stock Units that may vest pursuant to this Agreement will vary based upon the extent to which the Committee determines the Performance Criteria are achieved during the Performance Period in accordance with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and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below.</w:t>
      </w:r>
    </w:p>
    <w:p>
      <w:pPr>
        <w:pStyle w:val="TextBody"/>
        <w:bidi w:val="0"/>
        <w:spacing w:lineRule="auto" w:line="276" w:before="240" w:after="240"/>
        <w:jc w:val="both"/>
        <w:rPr/>
      </w:pPr>
      <w:r>
        <w:rPr>
          <w:rFonts w:ascii="Times New Roman;sans-serif" w:hAnsi="Times New Roman;sans-serif"/>
          <w:b/>
          <w:color w:val="000000"/>
          <w:sz w:val="24"/>
        </w:rPr>
        <w:t>Termination of the Award</w:t>
      </w:r>
      <w:r>
        <w:rPr>
          <w:rFonts w:ascii="Times New Roman;sans-serif" w:hAnsi="Times New Roman;sans-serif"/>
          <w:b w:val="false"/>
          <w:color w:val="000000"/>
          <w:sz w:val="24"/>
        </w:rPr>
        <w:t xml:space="preserve">: Except as otherwise described in the Plan or this Agreement, in the event of a termination of the Participant’s Service for any reason prior to the Payment Date, all Restricted Stock Units that have not vested prior to or in connection with such termination of Service shall thereupon automatically be forfeited by the Participant without further action and without payment of consideration therefor. </w:t>
      </w:r>
    </w:p>
    <w:p>
      <w:pPr>
        <w:pStyle w:val="TextBody"/>
        <w:bidi w:val="0"/>
        <w:spacing w:lineRule="auto" w:line="288" w:before="0" w:after="0"/>
        <w:jc w:val="both"/>
        <w:rPr/>
      </w:pPr>
      <w:r>
        <w:rPr>
          <w:rFonts w:ascii="Times New Roman;sans-serif" w:hAnsi="Times New Roman;sans-serif"/>
          <w:b/>
          <w:color w:val="000000"/>
          <w:sz w:val="24"/>
        </w:rPr>
        <w:t>Payment of the Award</w:t>
      </w:r>
      <w:r>
        <w:rPr>
          <w:rFonts w:ascii="Times New Roman;sans-serif" w:hAnsi="Times New Roman;sans-serif"/>
          <w:b w:val="false"/>
          <w:color w:val="000000"/>
          <w:sz w:val="24"/>
        </w:rPr>
        <w:t xml:space="preserve">: Restricted Stock Units that vest pursuant to this Agreement shall be settled in the form of shares of Stock or, in the Company’s sole discretion, cash as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TERMS AND CONDITIONS OF THE LTIP GRANT</w:t>
      </w:r>
    </w:p>
    <w:p>
      <w:pPr>
        <w:pStyle w:val="TextBody"/>
        <w:bidi w:val="0"/>
        <w:spacing w:before="0" w:after="0"/>
        <w:jc w:val="both"/>
        <w:rPr/>
      </w:pPr>
      <w:r>
        <w:rPr/>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The Company hereby grants to the Participant, as of the Grant Date, that certain Award described in the Grant Notice and consisting of a grant of the Restricted Stock Units, subject to all of the terms and conditions contained in this Agreement and the Plan. Prior to actual payment in respect of any vested Restricted Stock Unit, such Restricted Stock Unit will represent an unsecured obligation of the Company, payable (if at all) only from the general assets of the Company.</w:t>
      </w:r>
    </w:p>
    <w:p>
      <w:pPr>
        <w:pStyle w:val="TextBody"/>
        <w:bidi w:val="0"/>
        <w:spacing w:lineRule="auto" w:line="276" w:before="0" w:after="0"/>
        <w:ind w:left="0" w:right="0" w:firstLine="63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LTIP Grant – In General.</w:t>
      </w:r>
      <w:r>
        <w:rPr>
          <w:color w:val="000000"/>
        </w:rPr>
        <w:t xml:space="preserve"> </w:t>
      </w:r>
      <w:r>
        <w:rPr>
          <w:rFonts w:ascii="Times New Roman;sans-serif" w:hAnsi="Times New Roman;sans-serif"/>
          <w:b w:val="false"/>
          <w:color w:val="000000"/>
          <w:sz w:val="24"/>
        </w:rPr>
        <w:t xml:space="preserve">Each Restricted Stock Unit that becomes vested pursuant to this Agreement shall represent the right to receive payment,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below, in the form of one (1) share of Stock or, in the Company’s sole discretion, cash. Unless and until a Restricted Stock Unit vests, the Participant will have no right to payment in respect of such Restricted Stock Unit. </w:t>
      </w:r>
    </w:p>
    <w:p>
      <w:pPr>
        <w:pStyle w:val="TextBody"/>
        <w:bidi w:val="0"/>
        <w:spacing w:before="0" w:after="0"/>
        <w:jc w:val="both"/>
        <w:rPr/>
      </w:pPr>
      <w:r>
        <w:rPr/>
      </w:r>
    </w:p>
    <w:p>
      <w:pPr>
        <w:pStyle w:val="TextBody"/>
        <w:bidi w:val="0"/>
        <w:spacing w:lineRule="auto" w:line="276" w:before="0" w:after="0"/>
        <w:ind w:left="0" w:right="0" w:firstLine="63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Grant of Tandem DER</w:t>
      </w:r>
      <w:r>
        <w:rPr>
          <w:rFonts w:ascii="Times New Roman;sans-serif" w:hAnsi="Times New Roman;sans-serif"/>
          <w:b w:val="false"/>
          <w:color w:val="000000"/>
          <w:sz w:val="24"/>
        </w:rPr>
        <w:t>. Each Restricted Stock Unit that may vest hereunder is hereby granted in tandem with a corresponding DER, which DER shall remain outstanding from the Grant Date until the earlier of the payment or forfeiture of the Restricted Stock Unit to which it corresponds. Each vested DER shall entitle the Participant to receive payments, subject to and in accordance with this Agreement, in an amount equal to any regular cash dividends made by the Company in respect of the share of Stock underlying the Restricted Stock Unit (which, for clarity, does not include any extraordinary cash dividend) to which such DER relates. The Company shall establish, with respect to the maximum number of Restricted Stock Units in which the Participant can vest, a separate DER bookkeeping account for each such Restricted Stock Unit (a “</w:t>
      </w:r>
      <w:r>
        <w:rPr>
          <w:rFonts w:ascii="Times New Roman;sans-serif" w:hAnsi="Times New Roman;sans-serif"/>
          <w:b/>
          <w:color w:val="000000"/>
          <w:sz w:val="24"/>
        </w:rPr>
        <w:t>DER Account</w:t>
      </w:r>
      <w:r>
        <w:rPr>
          <w:color w:val="000000"/>
        </w:rPr>
        <w:t>”</w:t>
      </w:r>
      <w:r>
        <w:rPr>
          <w:rFonts w:ascii="Times New Roman;sans-serif" w:hAnsi="Times New Roman;sans-serif"/>
          <w:b w:val="false"/>
          <w:color w:val="000000"/>
          <w:sz w:val="24"/>
        </w:rPr>
        <w:t xml:space="preserve">), which shall be credited (without interest) on the applicable dividend dates with an amount equal to any dividends made by the Company during the period that such Restricted Stock Unit remains outstanding with respect to the share of Stock underlying the Restricted Stock Unit to which such DER relates. Upon the vesting of a Restricted Stock Unit, the DER (and the DER Account) with respect to such vested Restricted Stock Unit shall also become vested. For the avoidance of doubt, the DERs (and the DER Account) will be adjusted to reflect the achievement of Performance Criteria in the same manner as the Restricted Stock Units granted hereunder. Similarly, upon the forfeiture of a Restricted Stock Unit, the DER (and the DER Account) with respect to such forfeited Restricted Stock Unit shall also be forfeited. DERs shall not entitle the Participant to any payments relating to dividends occurring after the earlier to occur of the applicable Restricted Stock Unit payment date or the forfeiture of the Restricted Stock Unit underlying such DER. The DERs and any amounts that may become distributable in respect thereof shall be treated separately from the Restricted Stock Units and the rights arising in connection therewith for purposes of Section 409A (including for purposes of the designation of the time and form of payments required by Section 409A). </w:t>
      </w:r>
    </w:p>
    <w:p>
      <w:pPr>
        <w:pStyle w:val="TextBody"/>
        <w:bidi w:val="0"/>
        <w:spacing w:before="0" w:after="0"/>
        <w:jc w:val="both"/>
        <w:rPr/>
      </w:pPr>
      <w:r>
        <w:rPr/>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Vesting and Termination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Vesting</w:t>
      </w:r>
      <w:r>
        <w:rPr>
          <w:rFonts w:ascii="Times New Roman;sans-serif" w:hAnsi="Times New Roman;sans-serif"/>
          <w:b w:val="false"/>
          <w:color w:val="000000"/>
          <w:sz w:val="24"/>
        </w:rPr>
        <w:t xml:space="preserve">. Except as otherwise provided in this Agreement or the Plan, the Restricted Stock Units shall be earned and vest in such amount and at such time as set forth in the Grant Notice above, with the Committee’s determination as to the extent, if any, to which the Performance Criteria are achieved to be made as soon as reasonably practicable, but not later than sixty (60) days following the last day of the Performance Period (the date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the Committee makes such determination, the “</w:t>
      </w:r>
      <w:r>
        <w:rPr>
          <w:rFonts w:ascii="Times New Roman;sans-serif" w:hAnsi="Times New Roman;sans-serif"/>
          <w:b/>
          <w:color w:val="000000"/>
          <w:sz w:val="24"/>
        </w:rPr>
        <w:t>Certification Date</w:t>
      </w:r>
      <w:r>
        <w:rPr>
          <w:color w:val="000000"/>
        </w:rPr>
        <w:t>”</w:t>
      </w:r>
      <w:r>
        <w:rPr>
          <w:rFonts w:ascii="Times New Roman;sans-serif" w:hAnsi="Times New Roman;sans-serif"/>
          <w:b w:val="false"/>
          <w:color w:val="000000"/>
          <w:sz w:val="24"/>
        </w:rPr>
        <w:t xml:space="preserve">), subject to the Participant’s continued Service through the Payment Date (as defined in </w:t>
      </w:r>
      <w:r>
        <w:rPr>
          <w:rFonts w:ascii="Times New Roman;sans-serif" w:hAnsi="Times New Roman;sans-serif"/>
          <w:b w:val="false"/>
          <w:color w:val="000000"/>
          <w:sz w:val="24"/>
          <w:u w:val="single"/>
        </w:rPr>
        <w:t>Section 5(a)</w:t>
      </w:r>
      <w:r>
        <w:rPr>
          <w:color w:val="000000"/>
        </w:rPr>
        <w:t xml:space="preserve"> </w:t>
      </w:r>
      <w:r>
        <w:rPr>
          <w:rFonts w:ascii="Times New Roman;sans-serif" w:hAnsi="Times New Roman;sans-serif"/>
          <w:b w:val="false"/>
          <w:color w:val="000000"/>
          <w:sz w:val="24"/>
        </w:rPr>
        <w:t>below). In the event of the termination of the Participant’s Service for any reason prior to the Payment Date, all Restricted Stock Units that do not otherwise become vested or remain eligible to become vested in connection with such termination of Service shall thereupon automatically be forfeited by the Participant without further action and without payment of consideration therefor.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Termination of Participant’s Service other than for Cause (other than by reason of death or Disability) or for Good Reason</w:t>
      </w:r>
      <w:r>
        <w:rPr>
          <w:rFonts w:ascii="Times New Roman;sans-serif" w:hAnsi="Times New Roman;sans-serif"/>
          <w:b w:val="false"/>
          <w:color w:val="000000"/>
          <w:sz w:val="24"/>
        </w:rPr>
        <w:t xml:space="preserve">. Notwithstanding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 xml:space="preserve">above, and subject to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below, if the Participant’s Service is terminated prior to the Payment Date by the Company or any of its Affiliates other than for Cause (other than by reason of the Participant’s death or Disability) or, if applicable, by the Participant for Good Reason (if applicable, pursuant to and as defined in a written agreement (if any) between the Company and the Participant) (each, a “</w:t>
      </w:r>
      <w:r>
        <w:rPr>
          <w:rFonts w:ascii="Times New Roman;sans-serif" w:hAnsi="Times New Roman;sans-serif"/>
          <w:b/>
          <w:color w:val="000000"/>
          <w:sz w:val="24"/>
        </w:rPr>
        <w:t>Qualifying Termination</w:t>
      </w:r>
      <w:r>
        <w:rPr>
          <w:color w:val="000000"/>
        </w:rPr>
        <w:t>”</w:t>
      </w:r>
      <w:r>
        <w:rPr>
          <w:rFonts w:ascii="Times New Roman;sans-serif" w:hAnsi="Times New Roman;sans-serif"/>
          <w:b w:val="false"/>
          <w:color w:val="000000"/>
          <w:sz w:val="24"/>
        </w:rPr>
        <w:t>), then:</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i.if such termination of Service occurs in the first or second year of the Performance Period, the Restricted Stock Units will vest as of the date of the Qualifying Termination, with the Performance Criteria deemed achieved at the Target level; and</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 xml:space="preserve">ii.if such termination of Service occurs in the third year of the Performance Period, or following the last day of the Performance Period but prior to the Payment Date, the Restricted Stock Units will remain outstanding and will thereafter vest in accordance with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above as if the Participant had remained in the Service of the Company or any of its Affiliates from the Grant Date through the Payment Date.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if the Participant has provided notice to the Company of the Participant’s resignation, the Company may determine, in its sole discretion, that such resignation shall be effective on any date prior to the effective date of resignation provided in such notice (and, if such earlier date is so required, then it shall not change the basis for employee’s resignation nor be construed or deemed to constitute a termination of employment by the Company or any of its Affiliates other than for Cause).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Termination of Service by Reason of Death or Disability</w:t>
      </w:r>
      <w:r>
        <w:rPr>
          <w:rFonts w:ascii="Times New Roman;sans-serif" w:hAnsi="Times New Roman;sans-serif"/>
          <w:b w:val="false"/>
          <w:color w:val="000000"/>
          <w:sz w:val="24"/>
        </w:rPr>
        <w:t xml:space="preserve">. Notwithstanding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 xml:space="preserve">above, and subject to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below, if the Participant’s Service is terminated prior to the Payment Date by reason of the Participant’s death or Disability:</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i.if such termination of Service occurs prior to the end of the Performance Period, the Restricted Stock Units will vest upon such termination of Service, with the Performance Criteria deemed achieved at the Target level; and</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ii.if such termination of Service occurs on or following the last day of the Performance Period, the Restricted Stock Units will remain outstanding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and will thereafter vest in accordance with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above as if the Participant had remained in the Service of the Company or any of its Affiliates from the Grant Date through the Payment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Termination of Service for Cause or Resignation other than for Good Reason</w:t>
      </w:r>
      <w:r>
        <w:rPr>
          <w:rFonts w:ascii="Times New Roman;sans-serif" w:hAnsi="Times New Roman;sans-serif"/>
          <w:b w:val="false"/>
          <w:color w:val="000000"/>
          <w:sz w:val="24"/>
        </w:rPr>
        <w:t>. For the avoidance of doubt, any Restricted Stock Units that have not vested as of the date of the Participant’s termination of Service by the Company or any of its Affiliates for Cause or due to the Participant’s resignation (other than a resignation for Good Reason pursuant to and as defined in a written agreement between the Company and the Participant) shall thereupon automatically be forfeited by the Participant without further action and without payment of consideration therefor.</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Payment of Restricted Stock Units and DERs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Restricted Stock Units</w:t>
      </w:r>
      <w:r>
        <w:rPr>
          <w:rFonts w:ascii="Times New Roman;sans-serif" w:hAnsi="Times New Roman;sans-serif"/>
          <w:b w:val="false"/>
          <w:color w:val="000000"/>
          <w:sz w:val="24"/>
        </w:rPr>
        <w:t xml:space="preserve">. Restricted Stock Units that become vested pursuant to this Agreement shall be paid to the Participant (or in the event of the Participant’s death, to the Participant’s estate) in the form of shares of Stock or, in the Company’s sole discretion, cash or a combination of both, in an amount equal to the Fair Market Value of a share of Stock, in a lump-sum as soon as reasonably practical, but not later than (i) for Restricted Stock Units that become vested pursuant to </w:t>
      </w:r>
      <w:r>
        <w:rPr>
          <w:rFonts w:ascii="Times New Roman;sans-serif" w:hAnsi="Times New Roman;sans-serif"/>
          <w:b w:val="false"/>
          <w:color w:val="000000"/>
          <w:sz w:val="24"/>
          <w:u w:val="single"/>
        </w:rPr>
        <w:t>Section 4(a)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4(b)(ii)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4(c)(ii)</w:t>
      </w:r>
      <w:r>
        <w:rPr>
          <w:color w:val="000000"/>
        </w:rPr>
        <w:t xml:space="preserve"> </w:t>
      </w:r>
      <w:r>
        <w:rPr>
          <w:rFonts w:ascii="Times New Roman;sans-serif" w:hAnsi="Times New Roman;sans-serif"/>
          <w:b w:val="false"/>
          <w:color w:val="000000"/>
          <w:sz w:val="24"/>
        </w:rPr>
        <w:t>above, thirty (30) days following the Certification Date (the date of such payment, the “</w:t>
      </w:r>
      <w:r>
        <w:rPr>
          <w:rFonts w:ascii="Times New Roman;sans-serif" w:hAnsi="Times New Roman;sans-serif"/>
          <w:b/>
          <w:color w:val="000000"/>
          <w:sz w:val="24"/>
        </w:rPr>
        <w:t>Payment Date</w:t>
      </w:r>
      <w:r>
        <w:rPr>
          <w:color w:val="000000"/>
        </w:rPr>
        <w:t>”</w:t>
      </w:r>
      <w:r>
        <w:rPr>
          <w:rFonts w:ascii="Times New Roman;sans-serif" w:hAnsi="Times New Roman;sans-serif"/>
          <w:b w:val="false"/>
          <w:color w:val="000000"/>
          <w:sz w:val="24"/>
        </w:rPr>
        <w:t xml:space="preserve">), (ii) for Restricted Stock Units that become vested pursuant to </w:t>
      </w:r>
      <w:r>
        <w:rPr>
          <w:rFonts w:ascii="Times New Roman;sans-serif" w:hAnsi="Times New Roman;sans-serif"/>
          <w:b w:val="false"/>
          <w:color w:val="000000"/>
          <w:sz w:val="24"/>
          <w:u w:val="single"/>
        </w:rPr>
        <w:t>Section 4(b)(i)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4(c)(i)</w:t>
      </w:r>
      <w:r>
        <w:rPr>
          <w:color w:val="000000"/>
        </w:rPr>
        <w:t xml:space="preserve"> </w:t>
      </w:r>
      <w:r>
        <w:rPr>
          <w:rFonts w:ascii="Times New Roman;sans-serif" w:hAnsi="Times New Roman;sans-serif"/>
          <w:b w:val="false"/>
          <w:color w:val="000000"/>
          <w:sz w:val="24"/>
        </w:rPr>
        <w:t xml:space="preserve">above or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 xml:space="preserve">below, sixty (60) days following the date of the Participant’s termination of Service, and (iii) for Restricted Stock Units that become vested pursuant to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below, fifteen (15) days following the consummation of the Change in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DERs</w:t>
      </w:r>
      <w:r>
        <w:rPr>
          <w:rFonts w:ascii="Times New Roman;sans-serif" w:hAnsi="Times New Roman;sans-serif"/>
          <w:b w:val="false"/>
          <w:color w:val="000000"/>
          <w:sz w:val="24"/>
        </w:rPr>
        <w:t xml:space="preserve">. DERs with respect to Restricted Stock Units that become vested pursuant to this Agreement shall be paid to the Participant (or in the event of the Participant’s death, to the Participant’s estate) as soon as reasonably practical, but not later than, for Restricted Stock Units and related DERs that vest (i) pursuant to </w:t>
      </w:r>
      <w:r>
        <w:rPr>
          <w:rFonts w:ascii="Times New Roman;sans-serif" w:hAnsi="Times New Roman;sans-serif"/>
          <w:b w:val="false"/>
          <w:color w:val="000000"/>
          <w:sz w:val="24"/>
          <w:u w:val="single"/>
        </w:rPr>
        <w:t>Section 4(a)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4(b)(ii)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4(c)(ii)</w:t>
      </w:r>
      <w:r>
        <w:rPr>
          <w:color w:val="000000"/>
        </w:rPr>
        <w:t xml:space="preserve"> </w:t>
      </w:r>
      <w:r>
        <w:rPr>
          <w:rFonts w:ascii="Times New Roman;sans-serif" w:hAnsi="Times New Roman;sans-serif"/>
          <w:b w:val="false"/>
          <w:color w:val="000000"/>
          <w:sz w:val="24"/>
        </w:rPr>
        <w:t xml:space="preserve">above, the Payment Date, (ii) pursuant to </w:t>
      </w:r>
      <w:r>
        <w:rPr>
          <w:rFonts w:ascii="Times New Roman;sans-serif" w:hAnsi="Times New Roman;sans-serif"/>
          <w:b w:val="false"/>
          <w:color w:val="000000"/>
          <w:sz w:val="24"/>
          <w:u w:val="single"/>
        </w:rPr>
        <w:t>Section 4(b)(i)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4(c)(i)</w:t>
      </w:r>
      <w:r>
        <w:rPr>
          <w:color w:val="000000"/>
        </w:rPr>
        <w:t xml:space="preserve"> </w:t>
      </w:r>
      <w:r>
        <w:rPr>
          <w:rFonts w:ascii="Times New Roman;sans-serif" w:hAnsi="Times New Roman;sans-serif"/>
          <w:b w:val="false"/>
          <w:color w:val="000000"/>
          <w:sz w:val="24"/>
        </w:rPr>
        <w:t xml:space="preserve">above or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 xml:space="preserve">below, sixty (60) days following the date on which a Restricted Stock Unit and related DER vests, or (iii) pursuant to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 xml:space="preserve">below, fifteen (15) days following the consummation of the Change in Control, each, in the form of a cash payment equal to the amount then credited to the DER Account with respect to such Restricted Stock Unit.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Potential Six-Month Delay</w:t>
      </w:r>
      <w:r>
        <w:rPr>
          <w:rFonts w:ascii="Times New Roman;sans-serif" w:hAnsi="Times New Roman;sans-serif"/>
          <w:b w:val="false"/>
          <w:color w:val="000000"/>
          <w:sz w:val="24"/>
        </w:rPr>
        <w:t>. Notwithstanding anything to the contrary in this Agreement, no amounts payable under this Agreement shall be paid to the Participant prior to the expiration of the six (6)-month period following the Participant’s “separation from service” (within the meaning of Treasury Regulation Section 1.409A-1(h)) (a “</w:t>
      </w:r>
      <w:r>
        <w:rPr>
          <w:rFonts w:ascii="Times New Roman;sans-serif" w:hAnsi="Times New Roman;sans-serif"/>
          <w:b/>
          <w:color w:val="000000"/>
          <w:sz w:val="24"/>
        </w:rPr>
        <w:t>Separation from Service</w:t>
      </w:r>
      <w:r>
        <w:rPr>
          <w:color w:val="000000"/>
        </w:rPr>
        <w:t>”</w:t>
      </w:r>
      <w:r>
        <w:rPr>
          <w:rFonts w:ascii="Times New Roman;sans-serif" w:hAnsi="Times New Roman;sans-serif"/>
          <w:b w:val="false"/>
          <w:color w:val="000000"/>
          <w:sz w:val="24"/>
        </w:rPr>
        <w:t xml:space="preserve">) to the extent that the Company determines that paying such amounts prior to the expiration of such six (6)-month period would result in a prohibited distribution under Section 409A(a)(2)(B)(i) of the Code. If the payment of any such amounts is delayed as a result of the previous sentence, then on the first business day following the end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applicable six (6)-month period (or such earlier date upon which such amounts can be paid under Section 409A without resulting in a prohibited distribution, including as a result of the Participant’s death), such amounts shall be paid to the Participant, without interest thereon.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The Company and/or its Affiliates shall have the authority and the right to deduct or withhold, or to require the Participant to remit to the Company and/or its Affiliates, an amount sufficient to satisfy all applicable federal, state, local and foreign taxes (including the Participant’s employment tax obligations) that become due under applicable law with respect to any taxable event arising in connection with the Award. In furtherance of the foregoing, the Participant may make arrangements satisfactory to the Company regarding the payment of any income tax, social insurance contribution or other applicable taxes that are required to be withheld in respect of the Award, which arrangements include (if and to the extent permitted by the Company) the delivery of cash or cash equivalents, shares of Stock (including previously owned shares of Stock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of Stock,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of Stock required to satisfy such tax obligations shall be disregarded and the amount due shall be paid instead in cash to the Participant.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xml:space="preserve">. Notwithstanding anything to the contrary in this Agreement, in the event of a Change in Control, any Restricted Stock Units that are outstanding and unvested immediately prior to the consummation of a Change in Control (which, for the avoidance of doubt, will include any Restricted Stock Units that, pursuant to </w:t>
      </w:r>
      <w:r>
        <w:rPr>
          <w:rFonts w:ascii="Times New Roman;sans-serif" w:hAnsi="Times New Roman;sans-serif"/>
          <w:b w:val="false"/>
          <w:color w:val="000000"/>
          <w:sz w:val="24"/>
          <w:u w:val="single"/>
        </w:rPr>
        <w:t>Section 4(b)(ii)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4(c)(ii)</w:t>
      </w:r>
      <w:r>
        <w:rPr>
          <w:color w:val="000000"/>
        </w:rPr>
        <w:t xml:space="preserve"> </w:t>
      </w:r>
      <w:r>
        <w:rPr>
          <w:rFonts w:ascii="Times New Roman;sans-serif" w:hAnsi="Times New Roman;sans-serif"/>
          <w:b w:val="false"/>
          <w:color w:val="000000"/>
          <w:sz w:val="24"/>
        </w:rPr>
        <w:t xml:space="preserve">above, remain outstanding and subject to vesting in accordance with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above) shall be treated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Any such Restricted Stock Units shall vest immediately prior to the Change in Control if the Committee (in effect immediately prior to the consummation of the Change in Control) determines in good faith prior to the Change in Control that the Award will not be continued, assumed, substituted or replaced with an award that meets the requirements of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below (with the Performance Criteria being deemed achieved at the greater of Target and actual performance determined as of the date of such Change in Control).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Any such Restricted Stock Units shall not vest immediately prior to the Change in Control and shall remain subject to the terms and conditions of this Agreement (including accelerated vesting in the event of the termination of Participant’s Service pursuant to a Qualifying Termination) if the Committee (in effect immediately prior to the consummation of the Change in Control) determines prior to the Change in Control that the Award will be continued, assumed, substituted or replaced by the acquiror, surviving or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successor entity with an award that is either based (i) on shares of common stock or common units that, in each case, are traded on a national securities exchange and are registered under the Securities Exchange Act of 1934, as amended, or (ii) on a U.S. dollar-denominated cash award, in each case, having no less than equivalent economic value as the Restricted Stock Units under this Agreement immediately prior to the Change in Control;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upon the termination of Participant’s Service pursuant to a Qualifying Termination or by reason of the Participant’s death or Disability, any such Restricted Stock Units shall immediately become vested as of the date of such termination of Participant’s Service (with the Performance Criteria being deemed achieved at the greater of Target and actual performance determined as of the date of the Change in Control).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Rights as a Stockholder</w:t>
      </w:r>
      <w:r>
        <w:rPr>
          <w:rFonts w:ascii="Times New Roman;sans-serif" w:hAnsi="Times New Roman;sans-serif"/>
          <w:b w:val="false"/>
          <w:color w:val="000000"/>
          <w:sz w:val="24"/>
        </w:rPr>
        <w:t>. Neither the Participant nor any person claiming under, on behalf of or through the Participant shall, with respect to any Restricted Stock Units subject to the Award, have any of the rights or privileges of a holder of shares of Stock in respect of any shares of Stock that may become deliverable hereunder unless and until certificates representing such shares of Stock shall have been issued or recorded in book entry form on the records of the Company or its transfer agents or registrars, and delivered in certificate or book entry form to the Participant or any person claiming under, on behalf of or through the Participant.</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Neither the Restricted Stock Units nor the DERs nor any right of the Participant thereunder may be assigned, alienated, pledged, attached, sold or otherwise transferred or encumbered by the Participant (or any permitted transferee) other than by will or the laws of descent and distribution and any such purported assignment, alienation, pledge, attachment, sale, transfer or encumbrance shall be void and unenforceable against the Company and any of its Affiliates.</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Distribution of Shares of Stock</w:t>
      </w:r>
      <w:r>
        <w:rPr>
          <w:rFonts w:ascii="Times New Roman;sans-serif" w:hAnsi="Times New Roman;sans-serif"/>
          <w:b w:val="false"/>
          <w:color w:val="000000"/>
          <w:sz w:val="24"/>
        </w:rPr>
        <w:t>. Unless otherwise determined by the Committee or required by any applicable law, rule or regulation, the Company shall not deliver to the Participant, with respect to any payment relating to the Restricted Stock Units under the Award, certificates evidencing shares of Stock issued pursuant to this Agreement and instead such shares of Stock shall be recorded in the books of the Company (or, as applicable, its transfer agent or equity plan administrator). All certificates for any such shares of Stock issued pursuant to this Agreement and all shares of Stock issued pursuant to book entry procedures hereunder shall be subject to such stop transfer orders and other restrictions as the Company may deem advisable under the Plan or the rules, regulations, and other requirements of the SEC, any stock exchange upon which such shares of Stock are then listed, and any applicable federal or state laws, and the Company may cause a legend or legends to be inscribed on any such certificates or book entry to make appropriate reference to such restrictions. In addition to the terms and conditions provided herein, the Company may require that the Participant make such covenants, agreements, and representations as the Company, in its sole discretion, deems advisable in order to comply with any such laws, regulations, or requirements. No fractional shares of Stock shall be issued or delivered pursuant to the Restricted Stock Units and the Committee shall determine whether cash, other securities, or other property shall be paid or transferred in lieu of fractional shares of Stock or whether such fractional shares of Stock or any rights thereto shall be canceled, terminated, or otherwise eliminated.</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No Right to Continued Employment, Service or Awards</w:t>
      </w:r>
      <w:r>
        <w:rPr>
          <w:rFonts w:ascii="Times New Roman;sans-serif" w:hAnsi="Times New Roman;sans-serif"/>
          <w:b w:val="false"/>
          <w:color w:val="000000"/>
          <w:sz w:val="24"/>
        </w:rPr>
        <w:t>. Nothing in this Agreement or in the Plan shall be construed as giving the Participant the right to be retained in the employ or service of the Company or any Affiliate thereof. Furthermore, the Company and its Affiliates may at any time dismiss the Participant from employment or consulting free from any liability or any claim under the Plan or this Agreement, unless otherwise expressly provided in the Plan, this Agreement or any other written agreement between the Participant and the Company or an Affiliate thereof. The grant of the Restricted Stock Units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Agreement is or becomes or is deemed to be invalid, illegal, or unenforceable in any jurisdiction, such provision shall be construed or deemed amended to conform to the applicable law or, if it cannot be construed or deemed amended without, in the determination of the Committee, materially altering the intent of this Agreement, such provision shall be stricken as to such jurisdiction, and the remainder of this Agreement shall remain in full force and effect.</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Tax Consultation</w:t>
      </w:r>
      <w:r>
        <w:rPr>
          <w:rFonts w:ascii="Times New Roman;sans-serif" w:hAnsi="Times New Roman;sans-serif"/>
          <w:b w:val="false"/>
          <w:color w:val="000000"/>
          <w:sz w:val="24"/>
        </w:rPr>
        <w:t>. None of the Board, the Committee, the Company nor any of its Affiliates or any of their respective managers, directors, officers, employees or authorized representatives (including attorneys, accountants, consultants, bankers, lenders, prospective lenders and financial representatives) has made any warranty or representation to the Participant with respect to any tax consequences that relate to the Award or the transactions contemplated by this Agreement, and the Participant represents that the Participant is in no manner relying on such entities or their representatives for tax advice or an assessment of such tax consequences. The Participant understands that the Participant may suffer adverse tax consequences in connection with the Restricted Stock Units and the DERs granted hereunder. The Participant represents that the Participant has consulted with any tax consultants that the Participant deems advisable in connection with the Award.</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Amendments, Suspension and Termination</w:t>
      </w:r>
      <w:r>
        <w:rPr>
          <w:rFonts w:ascii="Times New Roman;sans-serif" w:hAnsi="Times New Roman;sans-serif"/>
          <w:b w:val="false"/>
          <w:color w:val="000000"/>
          <w:sz w:val="24"/>
        </w:rPr>
        <w:t>. Subject to Section 8(b) of the Plan, the Committee may waive any conditions or rights under, amend any terms of, or alter this Agreement at any time, provided that no such change, other than pursuant to Section 8(c) of the Plan, shall materially reduce the rights or benefits of the Participant without the Participant’s consent.</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Conformity to Securities Laws</w:t>
      </w:r>
      <w:r>
        <w:rPr>
          <w:rFonts w:ascii="Times New Roman;sans-serif" w:hAnsi="Times New Roman;sans-serif"/>
          <w:b w:val="false"/>
          <w:color w:val="000000"/>
          <w:sz w:val="24"/>
        </w:rPr>
        <w:t>. The Participant acknowledges that the Plan and this Agreement are intended to conform to the extent necessary with all provisions of the Securities Act and the Exchange Act, any and all regulations and rules promulgated by the SEC thereunder, and all applicable state securities laws and regulations. Notwithstanding anything herein to the contrary, the Plan shall be administered, and the Restricted Stock Units and the DERs are granted, only in such a manner as to conform to such laws, rules and regulations. To the extent permitted by applicable law, the Plan and this Agreement shall be deemed amended to the extent necessary to conform to such laws, rules and regulations.</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Neither the Award nor any of the payments made pursuant to this Agreement are intended to constitute or provide for a deferral of compensation that is subject to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Section 409A. To the extent that the Committee determines that the Award or any such payments are not exempt from Section 409A, the Committee may (but shall not be required to) amend this Agreement in a manner intended to comply with the requirements of Section 409A or an exemption therefrom (including amendments with retroactive effect), or take any other actions as it deems necessary or appropriate to (a) exempt the Award or the payments thereunder from Section 409A and/or preserve the intended tax treatment of the benefits provided with respect to the Restricted Stock Units and the DERs, or (b) comply with the requirements of Section 409A. To the extent applicable, this Agreement shall be interpreted in accordance with the provisions of Section 409A. Notwithstanding anything in this Agreement to the contrary, to the extent that any payment or benefit hereunder constitutes non-exempt “nonqualified deferred compensation” for purposes of Section 409A, and such payment or benefit would otherwise be payable or distributable hereunder by reason of the Participant’s termination of Service, all references to the Participant’s termination of Service shall be construed to mean a Separation from Service, and the Participant shall not be considered to have a termination of Service unless such termination constitutes a Separation from Service with respect to the Participant. Notwithstanding the foregoing, the Company and its Affiliates make no representations that the Restricted Stock Units provided under this Agreement are exempt from or compliant with Section 409A and in no event shall the Company or any Affiliate be liable for all or any portion of any taxes, penalties, interest or other expenses that may be incurred by the Participant on account of non-compliance with Section 409A.</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The Participant acknowledges that the Award is subject to modification and termination in certain events as provided in this Agreement and Section 8 of the Plan.</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Clawback</w:t>
      </w:r>
      <w:r>
        <w:rPr>
          <w:rFonts w:ascii="Times New Roman;sans-serif" w:hAnsi="Times New Roman;sans-serif"/>
          <w:b w:val="false"/>
          <w:color w:val="000000"/>
          <w:sz w:val="24"/>
        </w:rPr>
        <w:t>. The Participant’s rights with respect to the Award shall in all events be subject to (a) any right that the Company may have under any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SEC or any other applicable law. The Participant’s acceptance of the Award will constitute the Participant’s acknowledgment of and consent to the Company’s application, implementation and enforcement of any Company recoupment, clawback or similar policy that may apply to the Participant and the Award, whether adopted before or after the Effective Date or Grant Date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Agreement to single or multiple assignees, and this Agreement shall inure to the benefit of the successors and assigns of the Company. Subject to the restrictions on transfer contained herein, this Agreement shall be binding upon the Participant and the Participant’s heirs, executors, administrators, successors and assigns.</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validity, construction, and effect of this Agreement and any rules and regulations relating to this Agreement shall be determined in accordance with the laws of the State of Delaware without regard to its conflicts of laws principles.</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Consent to Jurisdiction and Services of Process; Appointment of Agent</w:t>
      </w:r>
      <w:r>
        <w:rPr>
          <w:rFonts w:ascii="Times New Roman;sans-serif" w:hAnsi="Times New Roman;sans-serif"/>
          <w:b w:val="false"/>
          <w:color w:val="000000"/>
          <w:sz w:val="24"/>
        </w:rPr>
        <w:t>. EACH PARTY TO THIS AGREEMENT HEREBY CONSENTS TO THE EXCLUSIVE</w:t>
      </w:r>
      <w:r>
        <w:rPr>
          <w:color w:val="000000"/>
        </w:rPr>
        <w:t xml:space="preserve"> </w:t>
      </w:r>
      <w:r>
        <w:rPr>
          <w:rFonts w:ascii="Times New Roman;sans-serif" w:hAnsi="Times New Roman;sans-serif"/>
          <w:b w:val="false"/>
          <w:color w:val="000000"/>
          <w:sz w:val="24"/>
        </w:rPr>
        <w:t>JURISDICTION OF THE UNITED STATES DISTRICT COURT FOR THE DISTRICT OF DELAWARE AND OF THE STATE COURTS LOCATED IN THE STATE OF DELAWARE AND IRREVOCABLY AGREES THAT ALL ACTIONS OR PROCEEDINGS ARISING OUT OF OR RELATING TO THIS AGREEMENT OR THE RESTRICTED STOCK UNITS, SHALL BE LITIGATED IN SUCH COURTS. EACH PARTY (a) CONSENTS TO SUBMIT HIMSELF, HERSELF OR ITSELF TO THE PERSONAL JURISDICTION OF SUCH COURTS FOR SUCH ACTIONS OR PROCEEDINGS, (b) AGREES THAT HE, SHE OR IT WILL NOT ATTEMPT TO DENY OR DEFEAT SUCH PERSONAL JURISDICTION BY MOTION OR OTHER REQUEST FOR LEAVE FROM ANY SUCH COURT, AND (c) AGREES THAT HE, SHE OR IT WILL NOT BRING ANY SUCH ACTION OR PROCEEDING IN ANY COURT OTHER THAN SUCH COURTS. EACH PARTY ACCEPTS FOR HIMSELF, HERSELF OR ITSELF AND IN CONNECTION WITH SUCH PARTY’S PROPERTIES, GENERALLY AND UNCONDITIONALLY, THE EXCLUSIVE AND IRREVOCABLE JURISDICTION AND VENUE OF THE AFORESAID COURTS AND WAIVES ANY DEFENSE OF FORUM NON CONVENIENS, AND IRREVOCABLY AGREES TO BE BOUND BY ANY NON-APPEALABLE JUDGMENT RENDERED THEREBY IN CONNECTION WITH SUCH ACTIONS OR PROCEEDINGS. A COPY OF ANY SERVICE OF PROCESS SERVED UPON THE PARTIES SHALL BE MAILED BY REGISTERED MAIL TO THE RESPECTIVE PARTY EXCEPT THAT, UNLESS OTHERWISE PROVIDED BY APPLICABLE LAW, ANY FAILURE TO MAIL SUCH COPY SHALL NOT AFFECT THE VALIDITY OF SERVICE OF PROCESS. IF ANY AGENT APPOINTED BY A PARTY REFUSES TO ACCEPT SERVICE, EACH PARTY AGREES THAT SERVICE UPON THE APPROPRIATE PARTY BY REGISTERED MAIL SHALL CONSTITUTE SUFFICIENT SERVICE. NOTHING HEREIN SHALL AFFECT THE RIGHT OF A PARTY TO SERVE PROCESS IN ANY OTHER MANNER PERMITTED BY LAW.</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Consent to Electronic Delivery; Electronic Signature</w:t>
      </w:r>
      <w:r>
        <w:rPr>
          <w:rFonts w:ascii="Times New Roman;sans-serif" w:hAnsi="Times New Roman;sans-serif"/>
          <w:b w:val="false"/>
          <w:color w:val="000000"/>
          <w:sz w:val="24"/>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w:t>
      </w:r>
      <w:r>
        <w:rPr>
          <w:color w:val="000000"/>
        </w:rPr>
        <w:t>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one or more counterparts, each of which shall be deemed an original and all of which together shall constitute one instrument.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Participant’s signature below indicates the Participant’s agreement with and understanding that the Award is subject to all of the terms and conditions contained in the Plan, in this Agreement and the Grant Notice, and that, in the event that there are any inconsistencies between the terms of the Plan and the terms of this Agreement, the terms of the Plan shall control. The Participant further acknowledges that the Participant has read and understands the Plan and this Agreement, which contain the specific terms and conditions of the Award. The Participant hereby agrees to accept as binding, conclusive and final all decisions or interpretations of the Committee upon any questions arising under the Plan, this Agreement or the Grant Notice.</w:t>
      </w:r>
    </w:p>
    <w:p>
      <w:pPr>
        <w:pStyle w:val="TextBody"/>
        <w:bidi w:val="0"/>
        <w:spacing w:lineRule="auto" w:line="288" w:before="720" w:after="283"/>
        <w:jc w:val="left"/>
        <w:rPr/>
      </w:pPr>
      <w:r>
        <w:rPr>
          <w:rFonts w:ascii="Times New Roman;sans-serif" w:hAnsi="Times New Roman;sans-serif"/>
          <w:b/>
          <w:color w:val="000000"/>
          <w:sz w:val="24"/>
        </w:rPr>
        <w:t>SUMMIT MIDSTREAM CORPORATION</w:t>
      </w:r>
      <w:r>
        <w:rPr>
          <w:rFonts w:ascii="Times New Roman;sans-serif" w:hAnsi="Times New Roman;sans-serif"/>
          <w:b w:val="false"/>
          <w:color w:val="000000"/>
          <w:sz w:val="24"/>
        </w:rPr>
        <w:br/>
        <w:t>a Delaware corporation</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pPr>
      <w:r>
        <w:rPr>
          <w:rFonts w:ascii="Times New Roman;sans-serif" w:hAnsi="Times New Roman;sans-serif"/>
          <w:b w:val="false"/>
          <w:color w:val="000000"/>
          <w:sz w:val="24"/>
        </w:rPr>
        <w:t>By: __________________________________</w:t>
      </w:r>
      <w:r>
        <w:rPr>
          <w:color w:val="000000"/>
          <w:u w:val="single"/>
        </w:rPr>
        <w:t xml:space="preserve">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James Johnston</w:t>
        <w:br/>
        <w:t>Title: EVP, General Counsel, Chief Compliance Officer and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PARTICIPANT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____________________________________</w:t>
        <w:br/>
      </w:r>
      <w:r>
        <w:rPr>
          <w:rFonts w:ascii="Times New Roman;sans-serif" w:hAnsi="Times New Roman;sans-serif"/>
          <w:b/>
          <w:color w:val="000000"/>
          <w:sz w:val="24"/>
          <w:u w:val="single"/>
        </w:rPr>
        <w:t>[_____]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65"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Performance Criteria for Restricted Stock Units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Restricted Stock Units may be earned based upon the achievement of the Performance Criteria and methodology set forth in this Exhibit A.</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each case, if a Performance Criterion is earned at an amount that is at a point between two adjacent performance levels, the level at which the Performance Criterion shall be earned and the number of Restricted Stock Units earned shall be determined by straight line interpolation between such points.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determinations as to the achievement of the Performance Criteria and the amount of Restricted Stock Units that have been earned will be made by the Committee in its sole discretion and such determinations shall be final and binding in all respects.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Restricted Stock Units subject to the Award shall performance vest, as described below.</w:t>
      </w:r>
    </w:p>
    <w:p>
      <w:pPr>
        <w:pStyle w:val="TextBody"/>
        <w:bidi w:val="0"/>
        <w:spacing w:lineRule="auto" w:line="276"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Absolute TSR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Fifty percent (50%) of the Target Number of Restricted Stock Units that may be earned will be based on our total shareholder return (“</w:t>
      </w:r>
      <w:r>
        <w:rPr>
          <w:rFonts w:ascii="Times New Roman;sans-serif" w:hAnsi="Times New Roman;sans-serif"/>
          <w:b/>
          <w:color w:val="000000"/>
          <w:sz w:val="24"/>
        </w:rPr>
        <w:t>TSR</w:t>
      </w:r>
      <w:r>
        <w:rPr>
          <w:color w:val="000000"/>
        </w:rPr>
        <w:t>”</w:t>
      </w:r>
      <w:r>
        <w:rPr>
          <w:rFonts w:ascii="Times New Roman;sans-serif" w:hAnsi="Times New Roman;sans-serif"/>
          <w:b w:val="false"/>
          <w:color w:val="000000"/>
          <w:sz w:val="24"/>
        </w:rPr>
        <w:t>) at the conclusion of the Performance Period (the “</w:t>
      </w:r>
      <w:r>
        <w:rPr>
          <w:rFonts w:ascii="Times New Roman;sans-serif" w:hAnsi="Times New Roman;sans-serif"/>
          <w:b/>
          <w:color w:val="000000"/>
          <w:sz w:val="24"/>
        </w:rPr>
        <w:t>Absolute TSR</w:t>
      </w:r>
      <w:r>
        <w:rPr>
          <w:color w:val="000000"/>
        </w:rPr>
        <w:t>”</w:t>
      </w:r>
      <w:r>
        <w:rPr>
          <w:rFonts w:ascii="Times New Roman;sans-serif" w:hAnsi="Times New Roman;sans-serif"/>
          <w:b w:val="false"/>
          <w:color w:val="000000"/>
          <w:sz w:val="24"/>
        </w:rPr>
        <w:t>), and shall be characterized as “</w:t>
      </w:r>
      <w:r>
        <w:rPr>
          <w:rFonts w:ascii="Times New Roman;sans-serif" w:hAnsi="Times New Roman;sans-serif"/>
          <w:b/>
          <w:color w:val="000000"/>
          <w:sz w:val="24"/>
        </w:rPr>
        <w:t>Absolute TSR RSUs</w:t>
      </w:r>
      <w:r>
        <w:rPr>
          <w:color w:val="000000"/>
        </w:rPr>
        <w:t>”</w:t>
      </w:r>
      <w:r>
        <w:rPr>
          <w:rFonts w:ascii="Times New Roman;sans-serif" w:hAnsi="Times New Roman;sans-serif"/>
          <w:b w:val="false"/>
          <w:color w:val="000000"/>
          <w:sz w:val="24"/>
        </w:rPr>
        <w:t>. The Absolute TSR shall be determined as follows:</w:t>
      </w:r>
    </w:p>
    <w:p>
      <w:pPr>
        <w:pStyle w:val="TextBody"/>
        <w:bidi w:val="0"/>
        <w:spacing w:before="0" w:after="0"/>
        <w:jc w:val="left"/>
        <w:rPr/>
      </w:pPr>
      <w:r>
        <w:rPr/>
      </w:r>
    </w:p>
    <w:p>
      <w:pPr>
        <w:pStyle w:val="TextBody"/>
        <w:bidi w:val="0"/>
        <w:spacing w:before="0" w:after="0"/>
        <w:jc w:val="center"/>
        <w:rPr/>
      </w:pPr>
      <w:r>
        <w:rPr/>
        <w:drawing>
          <wp:inline distT="0" distB="0" distL="0" distR="0">
            <wp:extent cx="3543300" cy="1066800"/>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18"/>
                    <a:stretch>
                      <a:fillRect/>
                    </a:stretch>
                  </pic:blipFill>
                  <pic:spPr bwMode="auto">
                    <a:xfrm>
                      <a:off x="0" y="0"/>
                      <a:ext cx="3543300" cy="10668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foregoing calculation:</w:t>
      </w:r>
    </w:p>
    <w:p>
      <w:pPr>
        <w:pStyle w:val="TextBody"/>
        <w:bidi w:val="0"/>
        <w:spacing w:lineRule="auto" w:line="276" w:before="0" w:after="240"/>
        <w:ind w:left="0" w:right="0" w:firstLine="720"/>
        <w:jc w:val="both"/>
        <w:rPr/>
      </w:pPr>
      <w:r>
        <w:rPr>
          <w:color w:val="000000"/>
        </w:rPr>
        <w:t>“</w:t>
      </w:r>
      <w:r>
        <w:rPr>
          <w:rFonts w:ascii="Times New Roman;sans-serif" w:hAnsi="Times New Roman;sans-serif"/>
          <w:b/>
          <w:color w:val="000000"/>
          <w:sz w:val="24"/>
        </w:rPr>
        <w:t>Beginning Stock Price</w:t>
      </w:r>
      <w:r>
        <w:rPr>
          <w:color w:val="000000"/>
        </w:rPr>
        <w:t xml:space="preserve">” </w:t>
      </w:r>
      <w:r>
        <w:rPr>
          <w:rFonts w:ascii="Times New Roman;sans-serif" w:hAnsi="Times New Roman;sans-serif"/>
          <w:b w:val="false"/>
          <w:color w:val="000000"/>
          <w:sz w:val="24"/>
        </w:rPr>
        <w:t>means the volume-weighted average price of a share of Stock during the 20 consecutive trading dates for the period ending on January 1, 2025;</w:t>
      </w:r>
    </w:p>
    <w:p>
      <w:pPr>
        <w:pStyle w:val="TextBody"/>
        <w:bidi w:val="0"/>
        <w:spacing w:lineRule="auto" w:line="276" w:before="0" w:after="240"/>
        <w:ind w:left="0" w:right="0" w:firstLine="720"/>
        <w:jc w:val="both"/>
        <w:rPr/>
      </w:pPr>
      <w:r>
        <w:rPr>
          <w:color w:val="000000"/>
        </w:rPr>
        <w:t>“</w:t>
      </w:r>
      <w:r>
        <w:rPr>
          <w:rFonts w:ascii="Times New Roman;sans-serif" w:hAnsi="Times New Roman;sans-serif"/>
          <w:b/>
          <w:color w:val="000000"/>
          <w:sz w:val="24"/>
        </w:rPr>
        <w:t>Dividends Paid</w:t>
      </w:r>
      <w:r>
        <w:rPr>
          <w:color w:val="000000"/>
        </w:rPr>
        <w:t xml:space="preserve">” </w:t>
      </w:r>
      <w:r>
        <w:rPr>
          <w:rFonts w:ascii="Times New Roman;sans-serif" w:hAnsi="Times New Roman;sans-serif"/>
          <w:b w:val="false"/>
          <w:color w:val="000000"/>
          <w:sz w:val="24"/>
        </w:rPr>
        <w:t>means the total of all cash dividends paid on one share of Stock during the Performance Period;</w:t>
      </w:r>
    </w:p>
    <w:p>
      <w:pPr>
        <w:pStyle w:val="TextBody"/>
        <w:bidi w:val="0"/>
        <w:spacing w:lineRule="auto" w:line="276" w:before="0" w:after="240"/>
        <w:ind w:left="0" w:right="0" w:firstLine="720"/>
        <w:jc w:val="both"/>
        <w:rPr/>
      </w:pPr>
      <w:r>
        <w:rPr>
          <w:color w:val="000000"/>
        </w:rPr>
        <w:t>“</w:t>
      </w:r>
      <w:r>
        <w:rPr>
          <w:rFonts w:ascii="Times New Roman;sans-serif" w:hAnsi="Times New Roman;sans-serif"/>
          <w:b/>
          <w:color w:val="000000"/>
          <w:sz w:val="24"/>
        </w:rPr>
        <w:t>Ending Stock Price</w:t>
      </w:r>
      <w:r>
        <w:rPr>
          <w:color w:val="000000"/>
        </w:rPr>
        <w:t xml:space="preserve">” </w:t>
      </w:r>
      <w:r>
        <w:rPr>
          <w:rFonts w:ascii="Times New Roman;sans-serif" w:hAnsi="Times New Roman;sans-serif"/>
          <w:b w:val="false"/>
          <w:color w:val="000000"/>
          <w:sz w:val="24"/>
        </w:rPr>
        <w:t>means the volume-weighted average price of a share of Stock during the 20 consecutive trading dates for the period ending December 31, 2027; and</w:t>
      </w:r>
    </w:p>
    <w:p>
      <w:pPr>
        <w:pStyle w:val="TextBody"/>
        <w:bidi w:val="0"/>
        <w:spacing w:lineRule="auto" w:line="276" w:before="0" w:after="240"/>
        <w:ind w:left="0" w:right="0" w:firstLine="720"/>
        <w:jc w:val="both"/>
        <w:rPr/>
      </w:pPr>
      <w:r>
        <w:rPr>
          <w:color w:val="000000"/>
        </w:rPr>
        <w:t>“</w:t>
      </w:r>
      <w:r>
        <w:rPr>
          <w:rFonts w:ascii="Times New Roman;sans-serif" w:hAnsi="Times New Roman;sans-serif"/>
          <w:b/>
          <w:color w:val="000000"/>
          <w:sz w:val="24"/>
        </w:rPr>
        <w:t>N</w:t>
      </w:r>
      <w:r>
        <w:rPr>
          <w:color w:val="000000"/>
        </w:rPr>
        <w:t xml:space="preserve">” </w:t>
      </w:r>
      <w:r>
        <w:rPr>
          <w:rFonts w:ascii="Times New Roman;sans-serif" w:hAnsi="Times New Roman;sans-serif"/>
          <w:b w:val="false"/>
          <w:color w:val="000000"/>
          <w:sz w:val="24"/>
        </w:rPr>
        <w:t>means the number of years in the Performance Period.</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68"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all events, the Absolute TSR shall be adjusted to give effect to any stock dividends, stock splits, reverse stock splits and similar transactions.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Section 4 of this Agreement, the Absolute TSR RSUs shall vest in accordance with the following table:</w:t>
      </w:r>
    </w:p>
    <w:tbl>
      <w:tblPr>
        <w:tblW w:w="10205" w:type="dxa"/>
        <w:jc w:val="left"/>
        <w:tblInd w:w="0" w:type="dxa"/>
        <w:tblLayout w:type="fixed"/>
        <w:tblCellMar>
          <w:top w:w="28" w:type="dxa"/>
          <w:left w:w="28" w:type="dxa"/>
          <w:bottom w:w="28" w:type="dxa"/>
          <w:right w:w="28" w:type="dxa"/>
        </w:tblCellMar>
      </w:tblPr>
      <w:tblGrid>
        <w:gridCol w:w="1571"/>
        <w:gridCol w:w="1370"/>
        <w:gridCol w:w="1376"/>
        <w:gridCol w:w="475"/>
        <w:gridCol w:w="475"/>
        <w:gridCol w:w="478"/>
        <w:gridCol w:w="174"/>
        <w:gridCol w:w="174"/>
        <w:gridCol w:w="176"/>
        <w:gridCol w:w="312"/>
        <w:gridCol w:w="312"/>
        <w:gridCol w:w="314"/>
        <w:gridCol w:w="875"/>
        <w:gridCol w:w="875"/>
        <w:gridCol w:w="1248"/>
      </w:tblGrid>
      <w:tr>
        <w:trPr/>
        <w:tc>
          <w:tcPr>
            <w:tcW w:w="157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Absolute TSR</w:t>
            </w:r>
          </w:p>
        </w:tc>
        <w:tc>
          <w:tcPr>
            <w:tcW w:w="142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Less than 7%</w:t>
            </w:r>
          </w:p>
        </w:tc>
        <w:tc>
          <w:tcPr>
            <w:tcW w:w="52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7%</w:t>
            </w:r>
          </w:p>
        </w:tc>
        <w:tc>
          <w:tcPr>
            <w:tcW w:w="9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20" w:after="120"/>
              <w:jc w:val="center"/>
              <w:rPr>
                <w:rFonts w:ascii="Times New Roman;sans-serif" w:hAnsi="Times New Roman;sans-serif"/>
                <w:b/>
                <w:color w:val="000000"/>
                <w:sz w:val="24"/>
              </w:rPr>
            </w:pPr>
            <w:r>
              <w:rPr>
                <w:rFonts w:ascii="Times New Roman;sans-serif" w:hAnsi="Times New Roman;sans-serif"/>
                <w:b/>
                <w:color w:val="000000"/>
                <w:sz w:val="24"/>
              </w:rPr>
              <w:t>12%</w:t>
            </w:r>
          </w:p>
          <w:p>
            <w:pPr>
              <w:pStyle w:val="TableContents"/>
              <w:bidi w:val="0"/>
              <w:spacing w:lineRule="auto" w:line="276" w:before="120" w:after="120"/>
              <w:jc w:val="center"/>
              <w:rPr>
                <w:rFonts w:ascii="Times New Roman;sans-serif" w:hAnsi="Times New Roman;sans-serif"/>
                <w:b/>
                <w:color w:val="000000"/>
                <w:sz w:val="24"/>
              </w:rPr>
            </w:pPr>
            <w:r>
              <w:rPr>
                <w:rFonts w:ascii="Times New Roman;sans-serif" w:hAnsi="Times New Roman;sans-serif"/>
                <w:b/>
                <w:color w:val="000000"/>
                <w:sz w:val="24"/>
              </w:rPr>
              <w:t>(Target)</w:t>
            </w:r>
          </w:p>
        </w:tc>
        <w:tc>
          <w:tcPr>
            <w:tcW w:w="299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Equal to or greater than 17%</w:t>
            </w:r>
          </w:p>
        </w:tc>
      </w:tr>
      <w:tr>
        <w:trPr/>
        <w:tc>
          <w:tcPr>
            <w:tcW w:w="431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Percentage of Absolute TSR RSUs That Vest*</w:t>
            </w:r>
          </w:p>
        </w:tc>
        <w:tc>
          <w:tcPr>
            <w:tcW w:w="142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c>
          <w:tcPr>
            <w:tcW w:w="52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c>
          <w:tcPr>
            <w:tcW w:w="93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2998"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lineRule="auto" w:line="304" w:before="24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Relative TSR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Fifty percent (50%) of the Target Number of Restricted Stock Units that may be earned will be based on our TSR relative to the TSR of companies in the Peer Group (as defined in Exhibit B) at the conclusion of the Performance Period, and shall be characterized as “</w:t>
      </w:r>
      <w:r>
        <w:rPr>
          <w:rFonts w:ascii="Times New Roman;sans-serif" w:hAnsi="Times New Roman;sans-serif"/>
          <w:b/>
          <w:color w:val="000000"/>
          <w:sz w:val="24"/>
        </w:rPr>
        <w:t>Relative TSR RSUs</w:t>
      </w:r>
      <w:r>
        <w:rPr>
          <w:color w:val="000000"/>
        </w:rPr>
        <w:t>”</w:t>
      </w:r>
      <w:r>
        <w:rPr>
          <w:rFonts w:ascii="Times New Roman;sans-serif" w:hAnsi="Times New Roman;sans-serif"/>
          <w:b w:val="false"/>
          <w:color w:val="000000"/>
          <w:sz w:val="24"/>
        </w:rPr>
        <w:t>. Our TSR and the TSR of each company in the Peer Group shall be determined as follows:</w:t>
      </w:r>
    </w:p>
    <w:p>
      <w:pPr>
        <w:pStyle w:val="TextBody"/>
        <w:bidi w:val="0"/>
        <w:spacing w:before="0" w:after="240"/>
        <w:jc w:val="center"/>
        <w:rPr/>
      </w:pPr>
      <w:r>
        <w:rPr/>
        <w:drawing>
          <wp:inline distT="0" distB="0" distL="0" distR="0">
            <wp:extent cx="3019425" cy="704850"/>
            <wp:effectExtent l="0" t="0" r="0" b="0"/>
            <wp:docPr id="6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 descr=""/>
                    <pic:cNvPicPr>
                      <a:picLocks noChangeAspect="1" noChangeArrowheads="1"/>
                    </pic:cNvPicPr>
                  </pic:nvPicPr>
                  <pic:blipFill>
                    <a:blip r:embed="rId19"/>
                    <a:stretch>
                      <a:fillRect/>
                    </a:stretch>
                  </pic:blipFill>
                  <pic:spPr bwMode="auto">
                    <a:xfrm>
                      <a:off x="0" y="0"/>
                      <a:ext cx="3019425" cy="704850"/>
                    </a:xfrm>
                    <a:prstGeom prst="rect">
                      <a:avLst/>
                    </a:prstGeom>
                  </pic:spPr>
                </pic:pic>
              </a:graphicData>
            </a:graphic>
          </wp:inline>
        </w:drawing>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foregoing calculation:</w:t>
      </w:r>
    </w:p>
    <w:p>
      <w:pPr>
        <w:pStyle w:val="TextBody"/>
        <w:bidi w:val="0"/>
        <w:spacing w:lineRule="auto" w:line="276" w:before="0" w:after="240"/>
        <w:ind w:left="0" w:right="0" w:firstLine="720"/>
        <w:jc w:val="both"/>
        <w:rPr/>
      </w:pPr>
      <w:r>
        <w:rPr>
          <w:color w:val="000000"/>
        </w:rPr>
        <w:t>“</w:t>
      </w:r>
      <w:r>
        <w:rPr>
          <w:rFonts w:ascii="Times New Roman;sans-serif" w:hAnsi="Times New Roman;sans-serif"/>
          <w:b/>
          <w:color w:val="000000"/>
          <w:sz w:val="24"/>
        </w:rPr>
        <w:t>Beginning Stock Price</w:t>
      </w:r>
      <w:r>
        <w:rPr>
          <w:color w:val="000000"/>
        </w:rPr>
        <w:t xml:space="preserve">” </w:t>
      </w:r>
      <w:r>
        <w:rPr>
          <w:rFonts w:ascii="Times New Roman;sans-serif" w:hAnsi="Times New Roman;sans-serif"/>
          <w:b w:val="false"/>
          <w:color w:val="000000"/>
          <w:sz w:val="24"/>
        </w:rPr>
        <w:t>has the meaning provided above under “Absolute TSR”;</w:t>
      </w:r>
    </w:p>
    <w:p>
      <w:pPr>
        <w:pStyle w:val="TextBody"/>
        <w:bidi w:val="0"/>
        <w:spacing w:lineRule="auto" w:line="276" w:before="0" w:after="240"/>
        <w:ind w:left="0" w:right="0" w:firstLine="720"/>
        <w:jc w:val="both"/>
        <w:rPr/>
      </w:pPr>
      <w:r>
        <w:rPr>
          <w:color w:val="000000"/>
        </w:rPr>
        <w:t>“</w:t>
      </w:r>
      <w:r>
        <w:rPr>
          <w:rFonts w:ascii="Times New Roman;sans-serif" w:hAnsi="Times New Roman;sans-serif"/>
          <w:b/>
          <w:color w:val="000000"/>
          <w:sz w:val="24"/>
        </w:rPr>
        <w:t>Change in Stock Price</w:t>
      </w:r>
      <w:r>
        <w:rPr>
          <w:color w:val="000000"/>
        </w:rPr>
        <w:t xml:space="preserve">” </w:t>
      </w:r>
      <w:r>
        <w:rPr>
          <w:rFonts w:ascii="Times New Roman;sans-serif" w:hAnsi="Times New Roman;sans-serif"/>
          <w:b w:val="false"/>
          <w:color w:val="000000"/>
          <w:sz w:val="24"/>
        </w:rPr>
        <w:t xml:space="preserve">means the Ending Stock Price (as defined above under “Absolute TSR”)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the Beginning Stock Price; and</w:t>
      </w:r>
    </w:p>
    <w:p>
      <w:pPr>
        <w:pStyle w:val="TextBody"/>
        <w:bidi w:val="0"/>
        <w:spacing w:lineRule="auto" w:line="276" w:before="0" w:after="240"/>
        <w:ind w:left="0" w:right="0" w:firstLine="720"/>
        <w:jc w:val="both"/>
        <w:rPr/>
      </w:pPr>
      <w:r>
        <w:rPr>
          <w:color w:val="000000"/>
        </w:rPr>
        <w:t>“</w:t>
      </w:r>
      <w:r>
        <w:rPr>
          <w:rFonts w:ascii="Times New Roman;sans-serif" w:hAnsi="Times New Roman;sans-serif"/>
          <w:b/>
          <w:color w:val="000000"/>
          <w:sz w:val="24"/>
        </w:rPr>
        <w:t>Dividends Paid</w:t>
      </w:r>
      <w:r>
        <w:rPr>
          <w:color w:val="000000"/>
        </w:rPr>
        <w:t xml:space="preserve">” </w:t>
      </w:r>
      <w:r>
        <w:rPr>
          <w:rFonts w:ascii="Times New Roman;sans-serif" w:hAnsi="Times New Roman;sans-serif"/>
          <w:b w:val="false"/>
          <w:color w:val="000000"/>
          <w:sz w:val="24"/>
        </w:rPr>
        <w:t>has the meaning provided above under “Absolute TSR”.</w:t>
      </w:r>
    </w:p>
    <w:p>
      <w:pPr>
        <w:pStyle w:val="TextBody"/>
        <w:bidi w:val="0"/>
        <w:spacing w:lineRule="auto" w:line="276" w:before="0" w:after="240"/>
        <w:jc w:val="both"/>
        <w:rPr/>
      </w:pPr>
      <w:r>
        <w:rPr>
          <w:rFonts w:ascii="Times New Roman;sans-serif" w:hAnsi="Times New Roman;sans-serif"/>
          <w:b w:val="false"/>
          <w:i/>
          <w:color w:val="000000"/>
          <w:sz w:val="24"/>
        </w:rPr>
        <w:t>1.</w:t>
      </w:r>
      <w:r>
        <w:rPr>
          <w:rFonts w:ascii="Times New Roman;sans-serif" w:hAnsi="Times New Roman;sans-serif"/>
          <w:b w:val="false"/>
          <w:i/>
          <w:color w:val="000000"/>
          <w:sz w:val="24"/>
        </w:rPr>
        <w:t>Peer Group.</w:t>
      </w:r>
    </w:p>
    <w:p>
      <w:pPr>
        <w:pStyle w:val="TextBody"/>
        <w:bidi w:val="0"/>
        <w:spacing w:lineRule="auto" w:line="276"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The Peer Group</w:t>
      </w:r>
      <w:r>
        <w:rPr>
          <w:rFonts w:ascii="Times New Roman;sans-serif" w:hAnsi="Times New Roman;sans-serif"/>
          <w:b w:val="false"/>
          <w:color w:val="000000"/>
          <w:sz w:val="24"/>
        </w:rPr>
        <w:t>. The “</w:t>
      </w:r>
      <w:r>
        <w:rPr>
          <w:rFonts w:ascii="Times New Roman;sans-serif" w:hAnsi="Times New Roman;sans-serif"/>
          <w:b/>
          <w:color w:val="000000"/>
          <w:sz w:val="24"/>
        </w:rPr>
        <w:t>Peer Group</w:t>
      </w:r>
      <w:r>
        <w:rPr>
          <w:color w:val="000000"/>
        </w:rPr>
        <w:t xml:space="preserve">” </w:t>
      </w:r>
      <w:r>
        <w:rPr>
          <w:rFonts w:ascii="Times New Roman;sans-serif" w:hAnsi="Times New Roman;sans-serif"/>
          <w:b w:val="false"/>
          <w:color w:val="000000"/>
          <w:sz w:val="24"/>
        </w:rPr>
        <w:t>shall include the companies set forth in Exhibit B.</w:t>
      </w:r>
    </w:p>
    <w:p>
      <w:pPr>
        <w:pStyle w:val="TextBody"/>
        <w:bidi w:val="0"/>
        <w:spacing w:lineRule="auto" w:line="276"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Effect of Changes to Peer Group</w:t>
      </w:r>
      <w:r>
        <w:rPr>
          <w:rFonts w:ascii="Times New Roman;sans-serif" w:hAnsi="Times New Roman;sans-serif"/>
          <w:b w:val="false"/>
          <w:color w:val="000000"/>
          <w:sz w:val="24"/>
        </w:rPr>
        <w:t xml:space="preserve">. </w:t>
      </w:r>
    </w:p>
    <w:p>
      <w:pPr>
        <w:pStyle w:val="TextBody"/>
        <w:bidi w:val="0"/>
        <w:spacing w:lineRule="auto" w:line="276"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i.If a company in the Peer Group declares bankruptcy or becomes subject to a similar proceeding as a debtor, or becomes insolvent or liquidates, such company shall be included in the ranking of the TSR of companies in the Peer Group but will be ranked last.</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0"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ii.If a company in the Peer Group is acquired or merged into another company and is not the surviving company, or as a result of any other corporate transaction, such company shall be removed from the Peer Group.</w:t>
      </w:r>
    </w:p>
    <w:p>
      <w:pPr>
        <w:pStyle w:val="TextBody"/>
        <w:bidi w:val="0"/>
        <w:spacing w:lineRule="auto" w:line="276"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iii.If a company in the Peer Group is delisted from its stock exchange, such company shall be included in the ranking of the TSR of companies in the Peer Group but will be ranked last.</w:t>
      </w:r>
    </w:p>
    <w:p>
      <w:pPr>
        <w:pStyle w:val="TextBody"/>
        <w:bidi w:val="0"/>
        <w:spacing w:lineRule="auto" w:line="276"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iv.No new companies will be added to the Peer Group during the Performance Period.</w:t>
      </w:r>
    </w:p>
    <w:p>
      <w:pPr>
        <w:pStyle w:val="TextBody"/>
        <w:bidi w:val="0"/>
        <w:spacing w:lineRule="auto" w:line="276" w:before="0" w:after="240"/>
        <w:jc w:val="both"/>
        <w:rPr/>
      </w:pPr>
      <w:r>
        <w:rPr>
          <w:rFonts w:ascii="Times New Roman;sans-serif" w:hAnsi="Times New Roman;sans-serif"/>
          <w:b w:val="false"/>
          <w:color w:val="000000"/>
          <w:sz w:val="24"/>
        </w:rPr>
        <w:t>2.</w:t>
      </w:r>
      <w:r>
        <w:rPr>
          <w:rFonts w:ascii="Times New Roman;sans-serif" w:hAnsi="Times New Roman;sans-serif"/>
          <w:b w:val="false"/>
          <w:i/>
          <w:color w:val="000000"/>
          <w:sz w:val="24"/>
        </w:rPr>
        <w:t>Ranking Peer Group for Purposes of Percentile Determination.</w:t>
      </w:r>
      <w:r>
        <w:rPr>
          <w:color w:val="000000"/>
        </w:rPr>
        <w:t xml:space="preserve"> </w:t>
      </w:r>
      <w:r>
        <w:rPr>
          <w:rFonts w:ascii="Times New Roman;sans-serif" w:hAnsi="Times New Roman;sans-serif"/>
          <w:b w:val="false"/>
          <w:color w:val="000000"/>
          <w:sz w:val="24"/>
        </w:rPr>
        <w:t>The TSR for each of the companies in the Peer Group (and for the avoidance of doubt, excluding the Company) shall be ranked from the highest to the lowest TSR (rounded, if necessary, to one-tenth of a percentage point by application of regular rounding) and the Company’s TSR shall be compared to such ranking to determine the Company’s relative TSR ranking. Subject to Section 4 of this Agreement, the Relative TSR RSUs shall vest in accordance with the following table:</w:t>
      </w:r>
    </w:p>
    <w:tbl>
      <w:tblPr>
        <w:tblW w:w="10205" w:type="dxa"/>
        <w:jc w:val="left"/>
        <w:tblInd w:w="0" w:type="dxa"/>
        <w:tblLayout w:type="fixed"/>
        <w:tblCellMar>
          <w:top w:w="28" w:type="dxa"/>
          <w:left w:w="28" w:type="dxa"/>
          <w:bottom w:w="28" w:type="dxa"/>
          <w:right w:w="28" w:type="dxa"/>
        </w:tblCellMar>
      </w:tblPr>
      <w:tblGrid>
        <w:gridCol w:w="1215"/>
        <w:gridCol w:w="1018"/>
        <w:gridCol w:w="1025"/>
        <w:gridCol w:w="677"/>
        <w:gridCol w:w="677"/>
        <w:gridCol w:w="679"/>
        <w:gridCol w:w="460"/>
        <w:gridCol w:w="460"/>
        <w:gridCol w:w="462"/>
        <w:gridCol w:w="460"/>
        <w:gridCol w:w="460"/>
        <w:gridCol w:w="462"/>
        <w:gridCol w:w="627"/>
        <w:gridCol w:w="627"/>
        <w:gridCol w:w="896"/>
      </w:tblGrid>
      <w:tr>
        <w:trPr/>
        <w:tc>
          <w:tcPr>
            <w:tcW w:w="121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32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Ranking in Peer Group</w:t>
            </w:r>
          </w:p>
        </w:tc>
        <w:tc>
          <w:tcPr>
            <w:tcW w:w="2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20" w:after="120"/>
              <w:jc w:val="center"/>
              <w:rPr/>
            </w:pPr>
            <w:r>
              <w:rPr>
                <w:rFonts w:ascii="Times New Roman;sans-serif" w:hAnsi="Times New Roman;sans-serif"/>
                <w:b/>
                <w:color w:val="000000"/>
                <w:sz w:val="24"/>
              </w:rPr>
              <w:t>Less than 25</w:t>
            </w:r>
            <w:r>
              <w:rPr>
                <w:rFonts w:ascii="Times New Roman;sans-serif" w:hAnsi="Times New Roman;sans-serif"/>
                <w:b/>
                <w:color w:val="000000"/>
                <w:sz w:val="16"/>
              </w:rPr>
              <w:t>th</w:t>
            </w:r>
            <w:r>
              <w:rPr>
                <w:color w:val="000000"/>
              </w:rPr>
              <w:t xml:space="preserve"> </w:t>
            </w:r>
            <w:r>
              <w:rPr>
                <w:rFonts w:ascii="Times New Roman;sans-serif" w:hAnsi="Times New Roman;sans-serif"/>
                <w:b/>
                <w:color w:val="000000"/>
                <w:sz w:val="24"/>
              </w:rPr>
              <w:t>Percentile</w:t>
            </w:r>
          </w:p>
        </w:tc>
        <w:tc>
          <w:tcPr>
            <w:tcW w:w="13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20" w:after="120"/>
              <w:jc w:val="center"/>
              <w:rPr/>
            </w:pPr>
            <w:r>
              <w:rPr>
                <w:rFonts w:ascii="Times New Roman;sans-serif" w:hAnsi="Times New Roman;sans-serif"/>
                <w:b/>
                <w:color w:val="000000"/>
                <w:sz w:val="24"/>
              </w:rPr>
              <w:t>25</w:t>
            </w:r>
            <w:r>
              <w:rPr>
                <w:rFonts w:ascii="Times New Roman;sans-serif" w:hAnsi="Times New Roman;sans-serif"/>
                <w:b/>
                <w:color w:val="000000"/>
                <w:sz w:val="16"/>
              </w:rPr>
              <w:t>th</w:t>
            </w:r>
            <w:r>
              <w:rPr>
                <w:color w:val="000000"/>
              </w:rPr>
              <w:t xml:space="preserve"> </w:t>
            </w:r>
            <w:r>
              <w:rPr>
                <w:rFonts w:ascii="Times New Roman;sans-serif" w:hAnsi="Times New Roman;sans-serif"/>
                <w:b/>
                <w:color w:val="000000"/>
                <w:sz w:val="24"/>
              </w:rPr>
              <w:t>Percentile</w:t>
            </w:r>
          </w:p>
        </w:tc>
        <w:tc>
          <w:tcPr>
            <w:tcW w:w="13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20" w:after="120"/>
              <w:jc w:val="center"/>
              <w:rPr/>
            </w:pPr>
            <w:r>
              <w:rPr>
                <w:rFonts w:ascii="Times New Roman;sans-serif" w:hAnsi="Times New Roman;sans-serif"/>
                <w:b/>
                <w:color w:val="000000"/>
                <w:sz w:val="24"/>
              </w:rPr>
              <w:t>50</w:t>
            </w:r>
            <w:r>
              <w:rPr>
                <w:rFonts w:ascii="Times New Roman;sans-serif" w:hAnsi="Times New Roman;sans-serif"/>
                <w:b/>
                <w:color w:val="000000"/>
                <w:sz w:val="16"/>
              </w:rPr>
              <w:t>th</w:t>
            </w:r>
            <w:r>
              <w:rPr>
                <w:color w:val="000000"/>
              </w:rPr>
              <w:t xml:space="preserve"> </w:t>
            </w:r>
            <w:r>
              <w:rPr>
                <w:rFonts w:ascii="Times New Roman;sans-serif" w:hAnsi="Times New Roman;sans-serif"/>
                <w:b/>
                <w:color w:val="000000"/>
                <w:sz w:val="24"/>
              </w:rPr>
              <w:t>Percentile</w:t>
            </w:r>
          </w:p>
          <w:p>
            <w:pPr>
              <w:pStyle w:val="TableContents"/>
              <w:bidi w:val="0"/>
              <w:spacing w:lineRule="auto" w:line="276" w:before="120" w:after="120"/>
              <w:jc w:val="center"/>
              <w:rPr>
                <w:rFonts w:ascii="Times New Roman;sans-serif" w:hAnsi="Times New Roman;sans-serif"/>
                <w:b/>
                <w:color w:val="000000"/>
                <w:sz w:val="24"/>
              </w:rPr>
            </w:pPr>
            <w:r>
              <w:rPr>
                <w:rFonts w:ascii="Times New Roman;sans-serif" w:hAnsi="Times New Roman;sans-serif"/>
                <w:b/>
                <w:color w:val="000000"/>
                <w:sz w:val="24"/>
              </w:rPr>
              <w:t>(Target)</w:t>
            </w:r>
          </w:p>
        </w:tc>
        <w:tc>
          <w:tcPr>
            <w:tcW w:w="21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120" w:after="120"/>
              <w:jc w:val="center"/>
              <w:rPr/>
            </w:pPr>
            <w:r>
              <w:rPr>
                <w:rFonts w:ascii="Times New Roman;sans-serif" w:hAnsi="Times New Roman;sans-serif"/>
                <w:b/>
                <w:color w:val="000000"/>
                <w:sz w:val="24"/>
              </w:rPr>
              <w:t>75</w:t>
            </w:r>
            <w:r>
              <w:rPr>
                <w:rFonts w:ascii="Times New Roman;sans-serif" w:hAnsi="Times New Roman;sans-serif"/>
                <w:b/>
                <w:color w:val="000000"/>
                <w:sz w:val="16"/>
              </w:rPr>
              <w:t>th</w:t>
            </w:r>
            <w:r>
              <w:rPr>
                <w:color w:val="000000"/>
              </w:rPr>
              <w:t xml:space="preserve"> </w:t>
            </w:r>
            <w:r>
              <w:rPr>
                <w:rFonts w:ascii="Times New Roman;sans-serif" w:hAnsi="Times New Roman;sans-serif"/>
                <w:b/>
                <w:color w:val="000000"/>
                <w:sz w:val="24"/>
              </w:rPr>
              <w:t>Percentile or Greater</w:t>
            </w:r>
          </w:p>
        </w:tc>
      </w:tr>
      <w:tr>
        <w:trPr/>
        <w:tc>
          <w:tcPr>
            <w:tcW w:w="32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Percentage of Relative TSR RSUs That Vest*</w:t>
            </w:r>
          </w:p>
        </w:tc>
        <w:tc>
          <w:tcPr>
            <w:tcW w:w="203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c>
          <w:tcPr>
            <w:tcW w:w="138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c>
          <w:tcPr>
            <w:tcW w:w="138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215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1"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Peer Group</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4"/>
        </w:rPr>
        <w:t>For purposes of this Agreement (including Exhibit A), the “</w:t>
      </w:r>
      <w:r>
        <w:rPr>
          <w:rFonts w:ascii="Times New Roman;sans-serif" w:hAnsi="Times New Roman;sans-serif"/>
          <w:b/>
          <w:color w:val="000000"/>
          <w:sz w:val="24"/>
        </w:rPr>
        <w:t>Peer Group</w:t>
      </w:r>
      <w:r>
        <w:rPr>
          <w:color w:val="000000"/>
        </w:rPr>
        <w:t xml:space="preserve">” </w:t>
      </w:r>
      <w:r>
        <w:rPr>
          <w:rFonts w:ascii="Times New Roman;sans-serif" w:hAnsi="Times New Roman;sans-serif"/>
          <w:b w:val="false"/>
          <w:color w:val="000000"/>
          <w:sz w:val="24"/>
        </w:rPr>
        <w:t>shall include the following 25 companies: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1.Antero Midstream Corporation (NYSE: AM)</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2.Archrock, Inc. (NYSE: AROC)</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3.Aris Water Solutions, Inc. (NYSE: ARIS)</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4.Cheniere Energy, Inc. (NYSE: LNG)</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5.Delek Logistics Partners, LP (NYSE: DKL)</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6.DT Midstream, Inc. (NYSE: DTM)</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7.Enerflex Ltd. (NYSE: EFXT)</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8.Energy Transfer LP (NYSE: ET)</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9.Enterprise Products Partners LP (NYSE: EPD)</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10.Excelerate Energy, Inc. (NYSE: EE)</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11.Genesis Energy, LP (NYSE: GEL)</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12.Gibson Energy Inc. (OTCMKTS: GBNXF)</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13.Kinder Morgan, Inc. (NYSE: KMI)</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14.Kinetik Holdings Inc. (NYSE: KNTK)</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15.Kodiak Gas Services, Inc. (NYSE: KGS)</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16.MPLX LP (NYSE: MPLX)</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17.New Fortress Energy Inc. (NASDAQ: NFE)</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18.NGL Energy Partners LP (NYSE: NGL)</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19.Oil States International, Inc. (NYSE: OIS)</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20.ONEOK, Inc. (NYSE: OKE)</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21.Select Water Solutions, Inc. (NYSE: WTTR)</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22.Targa Resources Corp. (NYSE: TRGP)</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23.The Williams Companies, Inc. (NYSE: WMB)</w:t>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24.Western Midstream Partners, LP (NYSE: WES)</w:t>
      </w:r>
    </w:p>
    <w:p>
      <w:pPr>
        <w:pStyle w:val="TextBody"/>
        <w:bidi w:val="0"/>
        <w:spacing w:lineRule="auto" w:line="288"/>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25.USA Compression Partners, LP (NYSE: USAC)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4"/>
        </w:rPr>
      </w:pPr>
      <w:r>
        <w:rPr>
          <w:rFonts w:ascii="Times New Roman;sans-serif" w:hAnsi="Times New Roman;sans-serif"/>
          <w:b/>
          <w:i/>
          <w:color w:val="000000"/>
          <w:sz w:val="24"/>
        </w:rPr>
        <w:t>[Executive Time-Based Form of Award for RSUs]</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2"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33.5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Arial;sans-serif" w:hAnsi="Arial;sans-serif"/>
          <w:b/>
          <w:color w:val="000000"/>
          <w:sz w:val="20"/>
        </w:rPr>
      </w:pPr>
      <w:r>
        <w:rPr>
          <w:rFonts w:ascii="Arial;sans-serif" w:hAnsi="Arial;sans-serif"/>
          <w:b/>
          <w:color w:val="000000"/>
          <w:sz w:val="20"/>
        </w:rPr>
        <w:t>EXHIBIT 10.4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SUMMIT MIDSTREAM 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2024 LONG-TERM INCENTIVE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LTIP GRANT AWARD AGREEMENT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(Time-Based Restricted Stock Units)</w:t>
      </w:r>
    </w:p>
    <w:p>
      <w:pPr>
        <w:pStyle w:val="TextBody"/>
        <w:bidi w:val="0"/>
        <w:spacing w:before="0" w:after="2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Pursuant to this LTIP Grant Award Agreement (Time-Based Restricted Stock Units), dated as of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(inclusive of the Grant Notice and Terms and Conditions of the LTIP Grant,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and the Summit Midstream Corporation 2024 Long-Term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Summit Midstream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hereby grants to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the following Restricted Stock Units within the meaning of the Plan (the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 In the event of any conflict between the terms of this Agreement and the Plan (the terms and conditions of which are hereby incorporated into this Agreement by reference), the terms of the Plan shall control. Except as otherwise expressly provided herein, all capitalized terms used in this Agreement, but not otherwise defined herein, shall have the meanings provided in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 of this Agreement, if the Participant has not executed this Agreement within ninety (90) days following the Grant Date, the Participant will be deemed to have accepted this Award, subject to all of the terms and conditions of this Agreement and the Plan.</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GRANT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terms and conditions of this Agreement, the principal features of the Award are as follows: </w:t>
      </w:r>
    </w:p>
    <w:p>
      <w:pPr>
        <w:pStyle w:val="TextBody"/>
        <w:bidi w:val="0"/>
        <w:spacing w:lineRule="auto" w:line="276" w:before="240" w:after="283"/>
        <w:jc w:val="both"/>
        <w:rPr/>
      </w:pPr>
      <w:r>
        <w:rPr>
          <w:rFonts w:ascii="Times New Roman;sans-serif" w:hAnsi="Times New Roman;sans-serif"/>
          <w:b/>
          <w:color w:val="000000"/>
          <w:sz w:val="24"/>
        </w:rPr>
        <w:t>Number of Restricted Stock Units</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 xml:space="preserve">Restricted Stock Units, each of which is hereby granted in tandem with a corresponding DER, as further detailed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below. </w:t>
      </w:r>
    </w:p>
    <w:p>
      <w:pPr>
        <w:pStyle w:val="TextBody"/>
        <w:bidi w:val="0"/>
        <w:spacing w:lineRule="auto" w:line="276" w:before="240" w:after="240"/>
        <w:ind w:left="0" w:right="0" w:hanging="1710"/>
        <w:jc w:val="both"/>
        <w:rPr/>
      </w:pPr>
      <w:r>
        <w:rPr>
          <w:rFonts w:ascii="Times New Roman;sans-serif" w:hAnsi="Times New Roman;sans-serif"/>
          <w:b/>
          <w:color w:val="000000"/>
          <w:sz w:val="24"/>
        </w:rPr>
        <w:t>Grant Date</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rFonts w:ascii="Times New Roman;sans-serif" w:hAnsi="Times New Roman;sans-serif"/>
          <w:b/>
          <w:color w:val="000000"/>
          <w:sz w:val="24"/>
        </w:rPr>
        <w:t>, 20</w:t>
      </w:r>
      <w:r>
        <w:rPr>
          <w:rFonts w:ascii="Times New Roman;sans-serif" w:hAnsi="Times New Roman;sans-serif"/>
          <w:b/>
          <w:color w:val="000000"/>
          <w:sz w:val="24"/>
          <w:u w:val="single"/>
        </w:rPr>
        <w:t>[ ]</w:t>
      </w:r>
    </w:p>
    <w:p>
      <w:pPr>
        <w:pStyle w:val="TextBody"/>
        <w:bidi w:val="0"/>
        <w:spacing w:lineRule="auto" w:line="288" w:before="0" w:after="0"/>
        <w:jc w:val="both"/>
        <w:rPr/>
      </w:pPr>
      <w:r>
        <w:rPr>
          <w:rFonts w:ascii="Times New Roman;sans-serif" w:hAnsi="Times New Roman;sans-serif"/>
          <w:b/>
          <w:color w:val="000000"/>
          <w:sz w:val="24"/>
        </w:rPr>
        <w:t>Reference Date</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rFonts w:ascii="Times New Roman;sans-serif" w:hAnsi="Times New Roman;sans-serif"/>
          <w:b/>
          <w:color w:val="000000"/>
          <w:sz w:val="24"/>
        </w:rPr>
        <w:t>, 20</w:t>
      </w:r>
      <w:r>
        <w:rPr>
          <w:rFonts w:ascii="Times New Roman;sans-serif" w:hAnsi="Times New Roman;sans-serif"/>
          <w:b/>
          <w:color w:val="000000"/>
          <w:sz w:val="24"/>
          <w:u w:val="single"/>
        </w:rPr>
        <w: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Vesting of the Award</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Restricted Stock Units (rounded down to the nearest whole number of Restricted Stock Units, except in the case of the final vesting date) shall vest as follows: In one-third (1/3) installments on each of the first, second and third anniversaries of the Reference Date, subject to the Participant’s continued Service through each applicable vesting date.</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4"/>
        </w:rPr>
        <w:t xml:space="preserve">Notwithstanding the foregoing, the Restricted Stock Units shall be subject to accelerated vesting as set forth in </w:t>
      </w:r>
      <w:r>
        <w:rPr>
          <w:rFonts w:ascii="Times New Roman;sans-serif" w:hAnsi="Times New Roman;sans-serif"/>
          <w:b w:val="false"/>
          <w:color w:val="000000"/>
          <w:sz w:val="24"/>
          <w:u w:val="single"/>
        </w:rPr>
        <w:t>Section 4(b)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below.</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3"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40"/>
        <w:jc w:val="both"/>
        <w:rPr/>
      </w:pPr>
      <w:r>
        <w:rPr>
          <w:rFonts w:ascii="Times New Roman;sans-serif" w:hAnsi="Times New Roman;sans-serif"/>
          <w:b/>
          <w:color w:val="000000"/>
          <w:sz w:val="24"/>
        </w:rPr>
        <w:t>Termination of the Award</w:t>
      </w:r>
      <w:r>
        <w:rPr>
          <w:rFonts w:ascii="Times New Roman;sans-serif" w:hAnsi="Times New Roman;sans-serif"/>
          <w:b w:val="false"/>
          <w:color w:val="000000"/>
          <w:sz w:val="24"/>
        </w:rPr>
        <w:t xml:space="preserve">: Except as otherwise described in the Plan or this Agreement, in the event of a termination of the Participant’s Service for any reason, all Restricted Stock Units that have not vested prior to or in connection with such termination of Service shall thereupon automatically be forfeited by the Participant without further action and without payment of consideration therefor. </w:t>
      </w:r>
    </w:p>
    <w:p>
      <w:pPr>
        <w:pStyle w:val="TextBody"/>
        <w:bidi w:val="0"/>
        <w:spacing w:lineRule="atLeast" w:line="240" w:before="240" w:after="240"/>
        <w:jc w:val="both"/>
        <w:rPr/>
      </w:pPr>
      <w:r>
        <w:rPr>
          <w:rFonts w:ascii="Times New Roman;sans-serif" w:hAnsi="Times New Roman;sans-serif"/>
          <w:b/>
          <w:color w:val="000000"/>
          <w:sz w:val="24"/>
        </w:rPr>
        <w:t>Payment of the Award</w:t>
      </w:r>
      <w:r>
        <w:rPr>
          <w:rFonts w:ascii="Times New Roman;sans-serif" w:hAnsi="Times New Roman;sans-serif"/>
          <w:b w:val="false"/>
          <w:color w:val="000000"/>
          <w:sz w:val="24"/>
        </w:rPr>
        <w:t xml:space="preserve">: Restricted Stock Units that vest pursuant to this Agreement shall be settled in the form of shares of Stock or, in the Company’s sole discretion, cash as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4"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TERMS AND CONDITIONS OF THE LTIP GRANT</w:t>
      </w:r>
    </w:p>
    <w:p>
      <w:pPr>
        <w:pStyle w:val="TextBody"/>
        <w:bidi w:val="0"/>
        <w:spacing w:before="0" w:after="0"/>
        <w:jc w:val="both"/>
        <w:rPr/>
      </w:pPr>
      <w:r>
        <w:rPr/>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The Company hereby grants to the Participant, as of the Grant Date, that certain Award described in the Grant Notice and consisting of a grant of the Restricted Stock Units, subject to all of the terms and conditions contained in this Agreement and the Plan. Prior to actual payment in respect of any vested Restricted Stock Unit, such Restricted Stock Unit will represent an unsecured obligation of the Company, payable (if at all) only from the general assets of the Company.</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LTIP Grant – In General.</w:t>
      </w:r>
      <w:r>
        <w:rPr>
          <w:color w:val="000000"/>
        </w:rPr>
        <w:t xml:space="preserve"> </w:t>
      </w:r>
      <w:r>
        <w:rPr>
          <w:rFonts w:ascii="Times New Roman;sans-serif" w:hAnsi="Times New Roman;sans-serif"/>
          <w:b w:val="false"/>
          <w:color w:val="000000"/>
          <w:sz w:val="24"/>
        </w:rPr>
        <w:t xml:space="preserve">Each Restricted Stock Unit that vests shall represent the right to receive payment,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below, in the form of one (1) share of Stock or, in the Company’s sole discretion, cash. Unless and until a Restricted Stock Unit vests, the Participant will have no right to payment in respect of such Restricted Stock Unit. </w:t>
      </w:r>
    </w:p>
    <w:p>
      <w:pPr>
        <w:pStyle w:val="TextBody"/>
        <w:bidi w:val="0"/>
        <w:spacing w:lineRule="auto" w:line="276" w:before="0" w:after="240"/>
        <w:ind w:left="0" w:right="0" w:firstLine="634"/>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Grant of Tandem DER</w:t>
      </w:r>
      <w:r>
        <w:rPr>
          <w:rFonts w:ascii="Times New Roman;sans-serif" w:hAnsi="Times New Roman;sans-serif"/>
          <w:b w:val="false"/>
          <w:color w:val="000000"/>
          <w:sz w:val="24"/>
        </w:rPr>
        <w:t>. Each Restricted Stock Unit granted hereunder is hereby granted in tandem with a corresponding DER, which DER shall remain outstanding from the Grant Date until the earlier of the payment or forfeiture of the Restricted Stock Unit to which it corresponds. Each vested DER shall entitle the Participant to receive payments, subject to and in accordance with this Agreement, in an amount equal to any regular cash dividends made by the Company in respect of the share of Stock underlying the Restricted Stock Unit (which, for clarity, does not include any extraordinary cash dividend) to which such DER relates. The Company shall establish, with respect to each Restricted Stock Unit, a separate DER bookkeeping account for such Restricted Stock Unit (a “</w:t>
      </w:r>
      <w:r>
        <w:rPr>
          <w:rFonts w:ascii="Times New Roman;sans-serif" w:hAnsi="Times New Roman;sans-serif"/>
          <w:b/>
          <w:color w:val="000000"/>
          <w:sz w:val="24"/>
        </w:rPr>
        <w:t>DER Account</w:t>
      </w:r>
      <w:r>
        <w:rPr>
          <w:color w:val="000000"/>
        </w:rPr>
        <w:t>”</w:t>
      </w:r>
      <w:r>
        <w:rPr>
          <w:rFonts w:ascii="Times New Roman;sans-serif" w:hAnsi="Times New Roman;sans-serif"/>
          <w:b w:val="false"/>
          <w:color w:val="000000"/>
          <w:sz w:val="24"/>
        </w:rPr>
        <w:t xml:space="preserve">), which shall be credited (without interest) on the applicable dividend dates with an amount equal to any dividends made by the Company during the period that such Restricted Stock Unit remains outstanding with respect to the share of Stock underlying the Restricted Stock Unit to which such DER relates. Upon the vesting of a Restricted Stock Unit, the DER (and the DER Account) with respect to such vested Restricted Stock Unit shall also become vested. Similarly, upon the forfeiture of a Restricted Stock Unit, the DER (and the DER Account) with respect to such forfeited Restricted Stock Unit shall also be forfeited. DERs shall not entitle the Participant to any payments relating to dividends occurring after the earlier to occur of the applicable Restricted Stock Unit payment date or the forfeiture of the Restricted Stock Unit underlying such DER. The DERs and any amounts that may become distributable in respect thereof shall be treated separately from the Restricted Stock Units and the rights arising in connection therewith for purposes of Section 409A (including for purposes of the designation of the time and form of payments required by Section 409A). </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Vesting and Termination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Vesting</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 xml:space="preserve">below, the Restricted Stock Units shall vest in such amounts and at such times as set forth in the Grant Notice above.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Accelerated Vesting</w:t>
      </w:r>
      <w:r>
        <w:rPr>
          <w:rFonts w:ascii="Times New Roman;sans-serif" w:hAnsi="Times New Roman;sans-serif"/>
          <w:b w:val="false"/>
          <w:color w:val="000000"/>
          <w:sz w:val="24"/>
        </w:rPr>
        <w:t xml:space="preserve">. Notwithstanding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 xml:space="preserve">above, and subject to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below, the unvested portions of the Restricted Stock Units shall vest in full upon the occurrence of any of the following events: (i) a termination of the Participant’s Service by the Company or any of its Affiliates other than for Cause, (ii) a termination of the Participant’s Service by the Participant for Good Reason (if applicable, pursuant to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5"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and as defined in a written agreement (if any) between the Company and the Participant), or (iii) a termination of the Participant’s Service by reason of the Participant’s death or Disability (each, a “</w:t>
      </w:r>
      <w:r>
        <w:rPr>
          <w:rFonts w:ascii="Times New Roman;sans-serif" w:hAnsi="Times New Roman;sans-serif"/>
          <w:b/>
          <w:color w:val="000000"/>
          <w:sz w:val="24"/>
        </w:rPr>
        <w:t>Qualifying Termination</w:t>
      </w:r>
      <w:r>
        <w:rPr>
          <w:color w:val="000000"/>
        </w:rPr>
        <w:t>”</w:t>
      </w:r>
      <w:r>
        <w:rPr>
          <w:rFonts w:ascii="Times New Roman;sans-serif" w:hAnsi="Times New Roman;sans-serif"/>
          <w:b w:val="false"/>
          <w:color w:val="000000"/>
          <w:sz w:val="24"/>
        </w:rPr>
        <w:t>). For the avoidance of doubt, if the Participant has provided notice to the Company of the Participant’s resignation, the Company may determine, in its sole discretion, that such resignation shall be effective on any date prior to the effective date of resignation provided in such notice (and, if such earlier date is so required, then it shall not change the basis for employee’s resignation nor be construed or deemed to constitute a termination of employment by the Company or any of its Affiliates other than for Cause).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Forfeiture</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color w:val="000000"/>
        </w:rPr>
        <w:t xml:space="preserve"> </w:t>
      </w:r>
      <w:r>
        <w:rPr>
          <w:rFonts w:ascii="Times New Roman;sans-serif" w:hAnsi="Times New Roman;sans-serif"/>
          <w:b w:val="false"/>
          <w:color w:val="000000"/>
          <w:sz w:val="24"/>
        </w:rPr>
        <w:t xml:space="preserve">above and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 xml:space="preserve">below, in the event of a termination of the Participant’s Service for any reason, all Restricted Stock Units that have not vested prior to or in connection with such termination of Service shall thereupon automatically be forfeited by the Participant without further action and without payment of consideration therefor. None of the Restricted Stock Units which have not become vested at the date of the Participant’s termination of Service shall thereafter become vested. </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Payment of Restricted Stock Units and DERs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Restricted Stock Units</w:t>
      </w:r>
      <w:r>
        <w:rPr>
          <w:rFonts w:ascii="Times New Roman;sans-serif" w:hAnsi="Times New Roman;sans-serif"/>
          <w:b w:val="false"/>
          <w:color w:val="000000"/>
          <w:sz w:val="24"/>
        </w:rPr>
        <w:t xml:space="preserve">. Restricted Stock Units that become vested pursuant to this Agreement shall be paid to the Participant (or in the event of the Participant’s death, to the Participant’s estate) in the form of shares of Stock or in the Company’s sole discretion cash, or a combination of both, in an amount equal to the Fair Market Value of a share of Stock, in a lump-sum as soon as reasonably practical, but not later than (i) for Restricted Stock Units that become vested pursuant to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4(b)</w:t>
      </w:r>
      <w:r>
        <w:rPr>
          <w:color w:val="000000"/>
        </w:rPr>
        <w:t xml:space="preserve"> </w:t>
      </w:r>
      <w:r>
        <w:rPr>
          <w:rFonts w:ascii="Times New Roman;sans-serif" w:hAnsi="Times New Roman;sans-serif"/>
          <w:b w:val="false"/>
          <w:color w:val="000000"/>
          <w:sz w:val="24"/>
        </w:rPr>
        <w:t xml:space="preserve">above or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 xml:space="preserve">below, sixty (60) days following the date on which such Restricted Stock Units vest, and (ii) for Restricted Stock Units that become vested pursuant to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 xml:space="preserve">below, fifteen (15) days following the consummation of the Change in Control.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DERs</w:t>
      </w:r>
      <w:r>
        <w:rPr>
          <w:rFonts w:ascii="Times New Roman;sans-serif" w:hAnsi="Times New Roman;sans-serif"/>
          <w:b w:val="false"/>
          <w:color w:val="000000"/>
          <w:sz w:val="24"/>
        </w:rPr>
        <w:t xml:space="preserve">. DERs with respect to Restricted Stock Units that become vested pursuant to this Agreement shall be paid to the Participant (or in the event of the Participant’s death, to the Participant’s estate) as soon as reasonably practical, but not later than, for Restricted Stock Units and related DERs that vest pursuant to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4(b)</w:t>
      </w:r>
      <w:r>
        <w:rPr>
          <w:color w:val="000000"/>
        </w:rPr>
        <w:t xml:space="preserve"> </w:t>
      </w:r>
      <w:r>
        <w:rPr>
          <w:rFonts w:ascii="Times New Roman;sans-serif" w:hAnsi="Times New Roman;sans-serif"/>
          <w:b w:val="false"/>
          <w:color w:val="000000"/>
          <w:sz w:val="24"/>
        </w:rPr>
        <w:t xml:space="preserve">above or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 xml:space="preserve">below, sixty (60) days, and for Restricted Stock Units and related DERs that vest pursuant to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 xml:space="preserve">below, fifteen (15) days, following the date on which a Restricted Stock Unit and related DER vests, in the form of a cash payment equal to the amount then credited to the DER Account maintained with respect to such Restricted Stock Unit.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Potential Six-Month Delay</w:t>
      </w:r>
      <w:r>
        <w:rPr>
          <w:rFonts w:ascii="Times New Roman;sans-serif" w:hAnsi="Times New Roman;sans-serif"/>
          <w:b w:val="false"/>
          <w:color w:val="000000"/>
          <w:sz w:val="24"/>
        </w:rPr>
        <w:t>. Notwithstanding anything to the contrary in this Agreement, no amounts payable under this Agreement shall be paid to the Participant prior to the expiration of the six (6)-month period following the Participant’s “separation from service” (within the meaning of Treasury Regulation Section 1.409A-1(h)) (a “</w:t>
      </w:r>
      <w:r>
        <w:rPr>
          <w:rFonts w:ascii="Times New Roman;sans-serif" w:hAnsi="Times New Roman;sans-serif"/>
          <w:b/>
          <w:color w:val="000000"/>
          <w:sz w:val="24"/>
        </w:rPr>
        <w:t>Separation from Service</w:t>
      </w:r>
      <w:r>
        <w:rPr>
          <w:color w:val="000000"/>
        </w:rPr>
        <w:t>”</w:t>
      </w:r>
      <w:r>
        <w:rPr>
          <w:rFonts w:ascii="Times New Roman;sans-serif" w:hAnsi="Times New Roman;sans-serif"/>
          <w:b w:val="false"/>
          <w:color w:val="000000"/>
          <w:sz w:val="24"/>
        </w:rPr>
        <w:t xml:space="preserve">) to the extent that the Company determines that paying such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6"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amounts prior to the expiration of such six (6)-month period would result in a prohibited distribution under Section 409A(a)(2)(B)(i) of the Code. If the payment of any such amounts is delayed as a result of the previous sentence, then on the first business day following the end of the applicable six (6)-month period (or such earlier date upon which such amounts can be paid under Section 409A without resulting in a prohibited distribution, including as a result of the Participant’s death), such amounts shall be paid to the Participant, without interest thereon.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xml:space="preserve">. The Company and/or its Affiliates shall have the authority and the right to deduct or withhold, or to require the Participant to remit to the Company and/or its Affiliates, an amount sufficient to satisfy all applicable federal, state, local and foreign taxes (including the Participant’s employment tax obligations) that become due under applicable law with respect to any taxable event arising in connection with the Award. In furtherance of the foregoing, the Participant may make arrangements satisfactory to the Company regarding the payment of any income tax, social insurance contribution or other applicable taxes that are required to be withheld in respect of the Award, which arrangements include (if and to the extent permitted by the Company) the delivery of cash or cash equivalents, shares of Stock (including previously owned shares of Stock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of Stock,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of Stock required to satisfy such tax obligations shall be disregarded and the amount due shall be paid instead in cash to the Participant.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Notwithstanding anything to the contrary in this Agreement, in the event of a Change in Control, any Restricted Stock Units that are outstanding and unvested immediately prior to the consummation of a Change in Control shall be treated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Any such Restricted Stock Units shall vest immediately prior to the Change in Control if the Committee (in effect immediately prior to the consummation of the Change in Control) determines in good faith prior to the Change in Control that the Award will not be continued, assumed, substituted or replaced with an award that meets the requirements of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below.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Any such Restricted Stock Units shall not vest immediately prior to the Change in Control and shall remain subject to the terms and conditions of this Agreement (including accelerated vesting in the event of the termination of Participant’s Service pursuant to a Qualifying Termination) if the Committee (in effect immediately prior to the consummation of the Change in Control) determines prior to the Change in Control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77"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that the Award will be continued, assumed, substituted or replaced by the acquiror, surviving or successor entity with an award that is either based (i) on shares of common stock or common units that, in each case, are traded on a national securities exchange and are registered under the Securities Exchange Act of 1934, as amended, or (ii) on a U.S. dollar-denominated cash award, in each case, having no less than equivalent economic value to the Restricted Stock Units under this Agreement immediately prior to the Change in Control.</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Rights as a Stockholder</w:t>
      </w:r>
      <w:r>
        <w:rPr>
          <w:rFonts w:ascii="Times New Roman;sans-serif" w:hAnsi="Times New Roman;sans-serif"/>
          <w:b w:val="false"/>
          <w:color w:val="000000"/>
          <w:sz w:val="24"/>
        </w:rPr>
        <w:t>. Neither the Participant nor any person claiming under, on behalf of or through the Participant shall, with respect to any Restricted Stock Units subject to the Award, have any of the rights or privileges of a holder of shares of Stock in respect of any shares of Stock that may become deliverable hereunder unless and until certificates representing such shares of Stock shall have been issued or recorded in book entry form on the records of the Company or its transfer agents or registrars, and delivered in certificate or book entry form to the Participant or any person claiming under, on behalf of or through the Participant.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Neither the Restricted Stock Units nor the DERs nor any right of the Participant thereunder may be assigned, alienated, pledged, attached, sold or otherwise transferred or encumbered by the Participant (or any permitted transferee) other than by will or the laws of descent and distribution and any such purported assignment, alienation, pledge, attachment, sale, transfer or encumbrance shall be void and unenforceable against the Company and any of its Affiliates.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Distribution of Shares of Stock</w:t>
      </w:r>
      <w:r>
        <w:rPr>
          <w:rFonts w:ascii="Times New Roman;sans-serif" w:hAnsi="Times New Roman;sans-serif"/>
          <w:b w:val="false"/>
          <w:color w:val="000000"/>
          <w:sz w:val="24"/>
        </w:rPr>
        <w:t>. Unless otherwise determined by the Committee or required by any applicable law, rule or regulation, the Company shall not deliver to the Participant, with respect to any payment relating to the Restricted Stock Units under the Award, certificates evidencing shares of Stock issued pursuant to this Agreement and instead such shares of Stock shall be recorded in the books of the Company (or, as applicable, its transfer agent or equity plan administrator). All certificates for any such shares of Stock issued pursuant to this Agreement and all shares of Stock issued pursuant to book entry procedures hereunder shall be subject to such stop transfer orders and other restrictions as the Company may deem advisable under the Plan or the rules, regulations, and other requirements of the SEC, any stock exchange upon which such shares of Stock are then listed, and any applicable federal or state laws, and the Company may cause a legend or legends to be inscribed on any such certificates or book entry to make appropriate reference to such restrictions. In addition to the terms and conditions provided herein, the Company may require that the Participant make such covenants, agreements, and representations as the Company, in its sole discretion, deems advisable in order to comply with any such laws, regulations, or requirements. No fractional shares of Stock shall be issued or delivered pursuant to the Restricted Stock Units and the Committee shall determine whether cash, other securities, or other property shall be paid or transferred in lieu of fractional shares of Stock or whether such fractional shares of Stock or any rights thereto shall be canceled, terminated, or otherwise eliminated.</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No Right to Continued Employment, Service or Awards</w:t>
      </w:r>
      <w:r>
        <w:rPr>
          <w:rFonts w:ascii="Times New Roman;sans-serif" w:hAnsi="Times New Roman;sans-serif"/>
          <w:b w:val="false"/>
          <w:color w:val="000000"/>
          <w:sz w:val="24"/>
        </w:rPr>
        <w:t xml:space="preserve">. Nothing in this Agreement or in the Plan shall be construed as giving the Participant the right to be retained in the employ or service of the Company or any Affiliate thereof. Furthermore, the Company and its Affiliates may at any time dismiss the Participant from employment or consulting free from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78"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liability or any claim under the Plan or this Agreement, unless otherwise expressly provided in the Plan, this Agreement or any other written agreement between the Participant and the Company or an Affiliate thereof. The grant of the Restricted Stock Units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Agreement is or becomes or is deemed to be invalid, illegal, or unenforceable in any jurisdiction, such provision shall be construed or deemed amended to conform to the applicable law or, if it cannot be construed or deemed amended without, in the determination of the Committee, materially altering the intent of this Agreement, such provision shall be stricken as to such jurisdiction, and the remainder of this Agreement shall remain in full force and effect.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Tax Consultation</w:t>
      </w:r>
      <w:r>
        <w:rPr>
          <w:rFonts w:ascii="Times New Roman;sans-serif" w:hAnsi="Times New Roman;sans-serif"/>
          <w:b w:val="false"/>
          <w:color w:val="000000"/>
          <w:sz w:val="24"/>
        </w:rPr>
        <w:t>. None of the Board, the Committee, the Company nor any of its Affiliates or any of their respective managers, directors, officers, employees or authorized representatives (including attorneys, accountants, consultants, bankers, lenders, prospective lenders and financial representatives) has made any warranty or representation to the Participant with respect to any tax consequences that relate to the Award or the transactions contemplated by this Agreement, and the Participant represents that the Participant is in no manner relying on such entities or their representatives for tax advice or an assessment of such tax consequences. The Participant understands that the Participant may suffer adverse tax consequences in connection with the Restricted Stock Units and the DERs granted hereunder. The Participant represents that the Participant has consulted with any tax consultants that the Participant deems advisable in connection with the Award.</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Amendments, Suspension and Termination</w:t>
      </w:r>
      <w:r>
        <w:rPr>
          <w:rFonts w:ascii="Times New Roman;sans-serif" w:hAnsi="Times New Roman;sans-serif"/>
          <w:b w:val="false"/>
          <w:color w:val="000000"/>
          <w:sz w:val="24"/>
        </w:rPr>
        <w:t>. Subject to Section 8(b) of the Plan, the Committee may waive any conditions or rights under, amend any terms of, or alter this Agreement at any time, provided that no such change, other than pursuant to Section 8(c) of the Plan, shall materially reduce the rights or benefits of the Participant without the Participant’s consent.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Conformity to Securities Laws</w:t>
      </w:r>
      <w:r>
        <w:rPr>
          <w:rFonts w:ascii="Times New Roman;sans-serif" w:hAnsi="Times New Roman;sans-serif"/>
          <w:b w:val="false"/>
          <w:color w:val="000000"/>
          <w:sz w:val="24"/>
        </w:rPr>
        <w:t>. The Participant acknowledges that the Plan and this Agreement are intended to conform to the extent necessary with all provisions of the Securities Act and the Exchange Act, any and all regulations and rules promulgated by the SEC thereunder, and all applicable state securities laws and regulations. Notwithstanding anything herein to the contrary, the Plan shall be administered, and the Restricted Stock Units and the DERs are granted, only in such a manner as to conform to such laws, rules and regulations. To the extent permitted by applicable law, the Plan and this Agreement shall be deemed amended to the extent necessary to conform to such laws, rules and regulations.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Neither the Award nor any of the payments made pursuant to this Agreement are intended to constitute or provide for a deferral of compensation that is subject to Section 409A. To the extent that the Committee determines that the Award or any such payments are not exempt from Section 409A, the Committee may (but shall not be required to) amend this Agreement in a manner intended to comply with the requirements of Section 409A or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79"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 exemption therefrom (including amendments with retroactive effect), or take any other actions as it deems necessary or appropriate to (a) exempt the Award or the payments thereunder from Section 409A and/or preserve the intended tax treatment of the benefits provided with respect to the Restricted Stock Units and the DERs, or (b) comply with the requirements of Section 409A. To the extent applicable, this Agreement shall be interpreted in accordance with the provisions of Section 409A. Notwithstanding anything in this Agreement to the contrary, to the extent that any payment or benefit hereunder constitutes non-exempt “nonqualified deferred compensation” for purposes of Section 409A, and such payment or benefit would otherwise be payable or distributable hereunder by reason of the Participant’s termination of Service, all references to the Participant’s termination of Service shall be construed to mean a Separation from Service, and the Participant shall not be considered to have a termination of Service unless such termination constitutes a Separation from Service with respect to the Participant. Notwithstanding the foregoing, the Company and its Affiliates make no representations that the Restricted Stock Units provided under this Agreement are exempt from or compliant with Section 409A and in no event shall the Company or any Affiliate be liable for all or any portion of any taxes, penalties, interest or other expenses that may be incurred by the Participant on account of non-compliance with Section 409A.</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The Participant acknowledges that the Award is subject to modification and termination in certain events as provided in this Agreement and Section 8 of the Plan.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Agreement to single or multiple assignees, and this Agreement shall inure to the benefit of the successors and assigns of the Company. Subject to the restrictions on transfer contained herein, this Agreement shall be binding upon the Participant and the Participant’s heirs, executors, administrators, successors and assigns.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validity, construction, and effect of this Agreement and any rules and regulations relating to this Agreement shall be determined in accordance with the laws of the State of Delaware without regard to its conflicts of laws principles.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Consent to Jurisdiction and Services of Process; Appointment of Agent</w:t>
      </w:r>
      <w:r>
        <w:rPr>
          <w:rFonts w:ascii="Times New Roman;sans-serif" w:hAnsi="Times New Roman;sans-serif"/>
          <w:b w:val="false"/>
          <w:color w:val="000000"/>
          <w:sz w:val="24"/>
        </w:rPr>
        <w:t>. EACH PARTY TO THIS AGREEMENT HEREBY CONSENTS TO THE EXCLUSIVE</w:t>
      </w:r>
      <w:r>
        <w:rPr>
          <w:color w:val="000000"/>
        </w:rPr>
        <w:t xml:space="preserve"> </w:t>
      </w:r>
      <w:r>
        <w:rPr>
          <w:rFonts w:ascii="Times New Roman;sans-serif" w:hAnsi="Times New Roman;sans-serif"/>
          <w:b w:val="false"/>
          <w:color w:val="000000"/>
          <w:sz w:val="24"/>
        </w:rPr>
        <w:t xml:space="preserve">JURISDICTION OF THE UNITED STATES DISTRICT COURT FOR THE DISTRICT OF DELAWARE AND OF THE STATE COURTS LOCATED IN THE STATE OF DELAWARE AND IRREVOCABLY AGREES THAT ALL ACTIONS OR PROCEEDINGS ARISING OUT OF OR RELATING TO THIS AGREEMENT OR THE RESTRICTED STOCK UNITS, SHALL BE LITIGATED IN SUCH COURTS. EACH PARTY (a) CONSENTS TO SUBMIT HIMSELF, HERSELF OR ITSELF TO THE PERSONAL JURISDICTION OF SUCH COURTS FOR SUCH ACTIONS OR PROCEEDINGS, (b) AGREES THAT HE, SHE OR IT WILL NOT ATTEMPT TO DENY OR DEFEAT SUCH PERSONAL JURISDICTION BY MOTION OR OTHER REQUEST FOR LEAVE FROM ANY SUCH COURT, AND (c) AGREES THAT HE, SHE OR IT WILL NOT BRING ANY SUCH ACTION OR PROCEEDING IN ANY COURT OTHER THAN SUCH COURTS. EACH PARTY ACCEPTS FOR HIMSELF, HERSELF OR ITSELF AND IN CONNECTION WITH SUCH PARTY’S PROPERTIES, GENERALLY AND UNCONDITIONALLY, THE EXCLUSIVE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0"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IRREVOCABLE JURISDICTION AND VENUE OF THE AFORESAID COURTS AND WAIVES ANY DEFENSE OF FORUM NON CONVENIENS, AND IRREVOCABLY AGREES TO BE BOUND BY ANY NON-APPEALABLE JUDGMENT RENDERED THEREBY IN CONNECTION WITH SUCH ACTIONS OR PROCEEDINGS. A COPY OF ANY SERVICE OF PROCESS SERVED UPON THE PARTIES SHALL BE MAILED BY REGISTERED MAIL TO THE RESPECTIVE PARTY EXCEPT THAT, UNLESS OTHERWISE PROVIDED BY APPLICABLE LAW, ANY FAILURE TO MAIL SUCH COPY SHALL NOT AFFECT THE VALIDITY OF SERVICE OF PROCESS. IF ANY AGENT APPOINTED BY A PARTY REFUSES TO ACCEPT SERVICE, EACH PARTY AGREES THAT SERVICE UPON THE APPROPRIATE PARTY BY REGISTERED MAIL SHALL CONSTITUTE SUFFICIENT SERVICE. NOTHING HEREIN SHALL AFFECT THE RIGHT OF A PARTY TO SERVE PROCESS IN ANY OTHER MANNER PERMITTED BY LAW.</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p>
      <w:pPr>
        <w:pStyle w:val="TextBody"/>
        <w:bidi w:val="0"/>
        <w:spacing w:lineRule="auto" w:line="276" w:before="0" w:after="240"/>
        <w:ind w:left="0" w:right="0" w:firstLine="648"/>
        <w:jc w:val="both"/>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Consent to Electronic Delivery; Electronic Signature</w:t>
      </w:r>
      <w:r>
        <w:rPr>
          <w:rFonts w:ascii="Times New Roman;sans-serif" w:hAnsi="Times New Roman;sans-serif"/>
          <w:b w:val="false"/>
          <w:color w:val="000000"/>
          <w:sz w:val="24"/>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each of which shall be deemed an original and all of which together shall constitute one instrument.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1"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Participant’s signature below indicates the Participant’s agreement with and understanding that the Award is subject to all of the terms and conditions contained in the Plan, in this Agreement and the Grant Notice, and that, in the event that there are any inconsistencies between the terms of the Plan and the terms of this Agreement, the terms of the Plan shall control. The Participant further acknowledges that the Participant has read and understands the Plan and this Agreement, which contain the specific terms and conditions of the Award. The Participant hereby agrees to accept as binding, conclusive and final all decisions or interpretations of the Committee upon any questions arising under the Plan, this Agreement or the Grant Notice.</w:t>
      </w:r>
    </w:p>
    <w:p>
      <w:pPr>
        <w:pStyle w:val="TextBody"/>
        <w:bidi w:val="0"/>
        <w:spacing w:lineRule="auto" w:line="288" w:before="720" w:after="283"/>
        <w:jc w:val="left"/>
        <w:rPr/>
      </w:pPr>
      <w:r>
        <w:rPr>
          <w:rFonts w:ascii="Times New Roman;sans-serif" w:hAnsi="Times New Roman;sans-serif"/>
          <w:b/>
          <w:color w:val="000000"/>
          <w:sz w:val="24"/>
        </w:rPr>
        <w:t>SUMMIT MIDSTREAM CORPORATION</w:t>
      </w:r>
      <w:r>
        <w:rPr>
          <w:rFonts w:ascii="Times New Roman;sans-serif" w:hAnsi="Times New Roman;sans-serif"/>
          <w:b w:val="false"/>
          <w:color w:val="000000"/>
          <w:sz w:val="24"/>
        </w:rPr>
        <w:br/>
        <w:t>a Delaware corporation</w:t>
      </w:r>
    </w:p>
    <w:p>
      <w:pPr>
        <w:pStyle w:val="TextBody"/>
        <w:bidi w:val="0"/>
        <w:spacing w:lineRule="auto" w:line="288" w:before="0" w:after="0"/>
        <w:ind w:left="0" w:right="0" w:hanging="480"/>
        <w:jc w:val="left"/>
        <w:rPr/>
      </w:pPr>
      <w:r>
        <w:rPr/>
        <w:drawing>
          <wp:inline distT="0" distB="0" distL="0" distR="0">
            <wp:extent cx="1314450" cy="657225"/>
            <wp:effectExtent l="0" t="0" r="0" b="0"/>
            <wp:docPr id="8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 descr=""/>
                    <pic:cNvPicPr>
                      <a:picLocks noChangeAspect="1" noChangeArrowheads="1"/>
                    </pic:cNvPicPr>
                  </pic:nvPicPr>
                  <pic:blipFill>
                    <a:blip r:embed="rId20"/>
                    <a:stretch>
                      <a:fillRect/>
                    </a:stretch>
                  </pic:blipFill>
                  <pic:spPr bwMode="auto">
                    <a:xfrm>
                      <a:off x="0" y="0"/>
                      <a:ext cx="1314450" cy="657225"/>
                    </a:xfrm>
                    <a:prstGeom prst="rect">
                      <a:avLst/>
                    </a:prstGeom>
                  </pic:spPr>
                </pic:pic>
              </a:graphicData>
            </a:graphic>
          </wp:inline>
        </w:drawing>
      </w:r>
      <w:r>
        <w:rPr>
          <w:color w:val="000000"/>
        </w:rPr>
        <w:t xml:space="preserve"> </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pPr>
      <w:r>
        <w:rPr>
          <w:rFonts w:ascii="Times New Roman;sans-serif" w:hAnsi="Times New Roman;sans-serif"/>
          <w:b w:val="false"/>
          <w:color w:val="000000"/>
          <w:sz w:val="24"/>
        </w:rPr>
        <w:t>By: __________________________________</w:t>
      </w:r>
      <w:r>
        <w:rPr>
          <w:color w:val="000000"/>
          <w:u w:val="single"/>
        </w:rPr>
        <w:t xml:space="preserve">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James Johnston</w:t>
        <w:br/>
        <w:t>Title: EVP, General Counsel, Chief Compliance Officer and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PARTICIPANT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____________________________________</w:t>
        <w:br/>
      </w:r>
      <w:r>
        <w:rPr>
          <w:rFonts w:ascii="Times New Roman;sans-serif" w:hAnsi="Times New Roman;sans-serif"/>
          <w:b/>
          <w:color w:val="000000"/>
          <w:sz w:val="24"/>
          <w:u w:val="single"/>
        </w:rPr>
        <w:t>[_____]</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4"/>
        </w:rPr>
      </w:pPr>
      <w:r>
        <w:rPr>
          <w:rFonts w:ascii="Times New Roman;sans-serif" w:hAnsi="Times New Roman;sans-serif"/>
          <w:b/>
          <w:i/>
          <w:color w:val="000000"/>
          <w:sz w:val="24"/>
        </w:rPr>
        <w:t>[Employee Form of Award Agreement - RSUs]</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3"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49.55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right"/>
        <w:rPr>
          <w:rFonts w:ascii="Arial;sans-serif" w:hAnsi="Arial;sans-serif"/>
          <w:b/>
          <w:color w:val="000000"/>
          <w:sz w:val="20"/>
        </w:rPr>
      </w:pPr>
      <w:r>
        <w:rPr>
          <w:rFonts w:ascii="Arial;sans-serif" w:hAnsi="Arial;sans-serif"/>
          <w:b/>
          <w:color w:val="000000"/>
          <w:sz w:val="20"/>
        </w:rPr>
        <w:t>EXHIBIT 10.5</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SUMMIT MIDSTREAM 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2024 LONG-TERM INCENTIVE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LTIP GRANT AWARD AGREEMENT</w:t>
      </w:r>
    </w:p>
    <w:p>
      <w:pPr>
        <w:pStyle w:val="TextBody"/>
        <w:bidi w:val="0"/>
        <w:spacing w:before="0" w:after="2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Pursuant to this LTIP Grant Award Agreement, dated as of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(inclusive of the Grant Notice and Terms and Conditions of the LTIP Grant,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and the Summit Midstream Corporation 2024 Long-Term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Summit Midstream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hereby grants to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the following Restricted Stock Units within the meaning of the Plan (the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 In the event of any conflict between the terms of this Agreement and the Plan (the terms and conditions of which are hereby incorporated into this Agreement by reference), the terms of the Plan shall control. Except as otherwise expressly provided herein, all capitalized terms used in this Agreement, but not otherwise defined herein, shall have the meanings provided in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 of this Agreement, if the Participant has not executed this Agreement within ninety (90) days following the Grant Date, the Participant will be deemed to have accepted this Award, subject to all of the terms and conditions of this Agreement and the Plan.</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GRANT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terms and conditions of this Agreement, the principal features of the Award are as follows: </w:t>
      </w:r>
    </w:p>
    <w:p>
      <w:pPr>
        <w:pStyle w:val="TextBody"/>
        <w:bidi w:val="0"/>
        <w:spacing w:lineRule="auto" w:line="276" w:before="240" w:after="283"/>
        <w:jc w:val="both"/>
        <w:rPr/>
      </w:pPr>
      <w:r>
        <w:rPr>
          <w:rFonts w:ascii="Times New Roman;sans-serif" w:hAnsi="Times New Roman;sans-serif"/>
          <w:b/>
          <w:color w:val="000000"/>
          <w:sz w:val="24"/>
        </w:rPr>
        <w:t>Number of Restricted Stock Units</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 xml:space="preserve">Restricted Stock Units, each of which is hereby granted in tandem with a corresponding DER, as further detailed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below. </w:t>
      </w:r>
    </w:p>
    <w:p>
      <w:pPr>
        <w:pStyle w:val="TextBody"/>
        <w:bidi w:val="0"/>
        <w:spacing w:lineRule="auto" w:line="276" w:before="240" w:after="240"/>
        <w:ind w:left="0" w:right="0" w:hanging="1710"/>
        <w:jc w:val="both"/>
        <w:rPr/>
      </w:pPr>
      <w:r>
        <w:rPr>
          <w:rFonts w:ascii="Times New Roman;sans-serif" w:hAnsi="Times New Roman;sans-serif"/>
          <w:b/>
          <w:color w:val="000000"/>
          <w:sz w:val="24"/>
        </w:rPr>
        <w:t>Grant Date</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rFonts w:ascii="Times New Roman;sans-serif" w:hAnsi="Times New Roman;sans-serif"/>
          <w:b/>
          <w:color w:val="000000"/>
          <w:sz w:val="24"/>
        </w:rPr>
        <w:t>, 20</w:t>
      </w:r>
      <w:r>
        <w:rPr>
          <w:rFonts w:ascii="Times New Roman;sans-serif" w:hAnsi="Times New Roman;sans-serif"/>
          <w:b/>
          <w:color w:val="000000"/>
          <w:sz w:val="24"/>
          <w:u w:val="single"/>
        </w:rPr>
        <w:t>[__]</w:t>
      </w:r>
    </w:p>
    <w:p>
      <w:pPr>
        <w:pStyle w:val="TextBody"/>
        <w:bidi w:val="0"/>
        <w:spacing w:lineRule="auto" w:line="276" w:before="240" w:after="240"/>
        <w:ind w:left="0" w:right="0" w:hanging="1710"/>
        <w:jc w:val="both"/>
        <w:rPr/>
      </w:pPr>
      <w:r>
        <w:rPr>
          <w:rFonts w:ascii="Times New Roman;sans-serif" w:hAnsi="Times New Roman;sans-serif"/>
          <w:b/>
          <w:color w:val="000000"/>
          <w:sz w:val="24"/>
        </w:rPr>
        <w:t>Reference Date</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rFonts w:ascii="Times New Roman;sans-serif" w:hAnsi="Times New Roman;sans-serif"/>
          <w:b/>
          <w:color w:val="000000"/>
          <w:sz w:val="24"/>
        </w:rPr>
        <w:t>, 20</w:t>
      </w:r>
      <w:r>
        <w:rPr>
          <w:rFonts w:ascii="Times New Roman;sans-serif" w:hAnsi="Times New Roman;sans-serif"/>
          <w:b/>
          <w:color w:val="000000"/>
          <w:sz w:val="24"/>
          <w:u w:val="single"/>
        </w:rPr>
        <w:t>[__]</w:t>
      </w:r>
    </w:p>
    <w:p>
      <w:pPr>
        <w:pStyle w:val="TextBody"/>
        <w:bidi w:val="0"/>
        <w:spacing w:lineRule="auto" w:line="288" w:before="0" w:after="0"/>
        <w:jc w:val="both"/>
        <w:rPr/>
      </w:pPr>
      <w:r>
        <w:rPr>
          <w:rFonts w:ascii="Times New Roman;sans-serif" w:hAnsi="Times New Roman;sans-serif"/>
          <w:b/>
          <w:color w:val="000000"/>
          <w:sz w:val="24"/>
        </w:rPr>
        <w:t>Vesting of the Award</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Restricted Stock Units (rounded down to the nearest whole number of Restricted Stock Units, except in the case of the final vesting date) shall vest as follows: In one-third (1/3) installments on each of the first, second and third anniversaries of the Reference Date, subject to the Participant’s continued Service through each applicable vesting date.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Notwithstanding the foregoing, the Restricted Stock Units shall be subject to accelerated vesting as set forth in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below.</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4"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40"/>
        <w:jc w:val="both"/>
        <w:rPr/>
      </w:pPr>
      <w:r>
        <w:rPr>
          <w:rFonts w:ascii="Times New Roman;sans-serif" w:hAnsi="Times New Roman;sans-serif"/>
          <w:b/>
          <w:color w:val="000000"/>
          <w:sz w:val="24"/>
        </w:rPr>
        <w:t>Termination of the Award</w:t>
      </w:r>
      <w:r>
        <w:rPr>
          <w:rFonts w:ascii="Times New Roman;sans-serif" w:hAnsi="Times New Roman;sans-serif"/>
          <w:b w:val="false"/>
          <w:color w:val="000000"/>
          <w:sz w:val="24"/>
        </w:rPr>
        <w:t xml:space="preserve">: Except as otherwise described in the Plan or this Agreement, in the event of a termination of the Participant’s Service for any reason, all Restricted Stock Units that have not vested prior to or in connection with such termination of Service shall thereupon automatically be forfeited by the Participant without further action and without payment of consideration therefor. </w:t>
      </w:r>
    </w:p>
    <w:p>
      <w:pPr>
        <w:pStyle w:val="TextBody"/>
        <w:bidi w:val="0"/>
        <w:spacing w:lineRule="atLeast" w:line="240" w:before="240" w:after="240"/>
        <w:jc w:val="both"/>
        <w:rPr/>
      </w:pPr>
      <w:r>
        <w:rPr>
          <w:rFonts w:ascii="Times New Roman;sans-serif" w:hAnsi="Times New Roman;sans-serif"/>
          <w:b/>
          <w:color w:val="000000"/>
          <w:sz w:val="24"/>
        </w:rPr>
        <w:t>Payment of the Award</w:t>
      </w:r>
      <w:r>
        <w:rPr>
          <w:rFonts w:ascii="Times New Roman;sans-serif" w:hAnsi="Times New Roman;sans-serif"/>
          <w:b w:val="false"/>
          <w:color w:val="000000"/>
          <w:sz w:val="24"/>
        </w:rPr>
        <w:t xml:space="preserve">: Restricted Stock Units that vest pursuant to this Agreement shall be settled in the form of shares of Stock or, in the Company’s sole discretion, cash as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bidi w:val="0"/>
        <w:spacing w:before="240" w:after="240"/>
        <w:jc w:val="both"/>
        <w:rPr/>
      </w:pPr>
      <w:r>
        <w:rPr/>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5"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TERMS AND CONDITIONS OF THE LTIP GRANT</w:t>
      </w:r>
    </w:p>
    <w:p>
      <w:pPr>
        <w:pStyle w:val="TextBody"/>
        <w:bidi w:val="0"/>
        <w:spacing w:before="0" w:after="0"/>
        <w:jc w:val="both"/>
        <w:rPr/>
      </w:pPr>
      <w:r>
        <w:rPr/>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The Company hereby grants to the Participant, as of the Grant Date, that certain Award described in the Grant Notice and consisting of a grant of the Restricted Stock Units, subject to all of the terms and conditions contained in this Agreement and the Plan. Prior to actual payment in respect of any vested Restricted Stock Unit, such Restricted Stock Unit will represent an unsecured obligation of the Company, payable (if at all) only from the general assets of the Company.</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LTIP Grant – In General</w:t>
      </w:r>
      <w:r>
        <w:rPr>
          <w:rFonts w:ascii="Times New Roman;sans-serif" w:hAnsi="Times New Roman;sans-serif"/>
          <w:b w:val="false"/>
          <w:color w:val="000000"/>
          <w:sz w:val="24"/>
        </w:rPr>
        <w:t xml:space="preserve">. Each Restricted Stock Unit that vests shall represent the right to receive payment,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 in the form of one (1) share of Stock or, in the Company’s sole discretion, cash. Unless and until a Restricted Stock Unit vests, the Participant will have no right to payment in respect of such Restricted Stock Unit.</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Grant of Tandem DER</w:t>
      </w:r>
      <w:r>
        <w:rPr>
          <w:rFonts w:ascii="Times New Roman;sans-serif" w:hAnsi="Times New Roman;sans-serif"/>
          <w:b w:val="false"/>
          <w:color w:val="000000"/>
          <w:sz w:val="24"/>
        </w:rPr>
        <w:t>. Each Restricted Stock Unit granted hereunder is hereby granted in tandem with a corresponding DER, which DER shall remain outstanding from the Grant Date until the earlier of the payment or forfeiture of the Restricted Stock Unit to which it corresponds. Each vested DER shall entitle the Participant to receive payments, subject to and in accordance with this Agreement, in an amount equal to any regular cash dividends made by the Company in respect of the share of Stock underlying the Restricted Stock Unit (which, for clarity, does not include any extraordinary cash dividend) to which such DER relates. The Company shall establish, with respect to each Restricted Stock Unit, a separate DER bookkeeping account for such Restricted Stock Unit (a “</w:t>
      </w:r>
      <w:r>
        <w:rPr>
          <w:rFonts w:ascii="Times New Roman;sans-serif" w:hAnsi="Times New Roman;sans-serif"/>
          <w:b/>
          <w:color w:val="000000"/>
          <w:sz w:val="24"/>
        </w:rPr>
        <w:t>DER Account</w:t>
      </w:r>
      <w:r>
        <w:rPr>
          <w:color w:val="000000"/>
        </w:rPr>
        <w:t>”</w:t>
      </w:r>
      <w:r>
        <w:rPr>
          <w:rFonts w:ascii="Times New Roman;sans-serif" w:hAnsi="Times New Roman;sans-serif"/>
          <w:b w:val="false"/>
          <w:color w:val="000000"/>
          <w:sz w:val="24"/>
        </w:rPr>
        <w:t>), which shall be credited (without interest) on the applicable dividend dates with an amount equal to any dividends made by the Company during the period that such Restricted Stock Unit remains outstanding with respect to the share of Stock underlying the Restricted Stock Unit to which such DER relates. Upon the vesting of a Restricted Stock Unit, the DER (and the DER Account) with respect to such vested Restricted Stock Unit shall also become vested. Similarly, upon the forfeiture of a Restricted Stock Unit, the DER (and the DER Account) with respect to such forfeited Restricted Stock Unit shall also be forfeited. DERs shall not entitle the Participant to any payments relating to dividends occurring after the earlier to occur of the applicable Restricted Stock Unit payment date or the forfeiture of the Restricted Stock Unit underlying such DER. The DERs and any amounts that may become distributable in respect thereof shall be treated separately from the Restricted Stock Units and the rights arising in connection therewith for purposes of Section 409A (including for purposes of the designation of the time and form of payments required by Section 409A).</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Vesting and Termination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Vesting</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 xml:space="preserve">below, the Restricted Stock Units shall vest in such amounts and at such times as set forth in the Grant Notice above.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Accelerated Vesting</w:t>
      </w:r>
      <w:r>
        <w:rPr>
          <w:rFonts w:ascii="Times New Roman;sans-serif" w:hAnsi="Times New Roman;sans-serif"/>
          <w:b w:val="false"/>
          <w:color w:val="000000"/>
          <w:sz w:val="24"/>
        </w:rPr>
        <w:t xml:space="preserve">. Notwithstanding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 xml:space="preserve">above, and subject to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 xml:space="preserve">below, the unvested portions of the Restricted Stock Units shall vest in full upon the occurrence of any of the following events: (i) a termination of the Participant’s Service by the Company or any of its Affiliates other than for Cause, (ii) a termination of the Participant’s Service by the Participant for Good Reason (if applicable,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6"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as defined in a written agreement (if any) between the Company and the Participant), (iii) a termination of the Participant’s Service by reason of the Participant’s death or Disability, or (iv) the occurrence of a Change in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Forfeiture</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color w:val="000000"/>
        </w:rPr>
        <w:t xml:space="preserve"> </w:t>
      </w:r>
      <w:r>
        <w:rPr>
          <w:rFonts w:ascii="Times New Roman;sans-serif" w:hAnsi="Times New Roman;sans-serif"/>
          <w:b w:val="false"/>
          <w:color w:val="000000"/>
          <w:sz w:val="24"/>
        </w:rPr>
        <w:t xml:space="preserve">above, in the event of a termination of the Participant’s Service for any reason, all Restricted Stock Units that have not vested prior to or in connection with such termination of Service shall thereupon automatically be forfeited by the Participant without further action and without payment of consideration therefor. None of the Restricted Stock Units which have not become vested at the date of the Participant’s termination of Service shall thereafter become vested. </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Payment of Restricted Stock Units and DERs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Restricted Stock Units</w:t>
      </w:r>
      <w:r>
        <w:rPr>
          <w:rFonts w:ascii="Times New Roman;sans-serif" w:hAnsi="Times New Roman;sans-serif"/>
          <w:b w:val="false"/>
          <w:color w:val="000000"/>
          <w:sz w:val="24"/>
        </w:rPr>
        <w:t xml:space="preserve">. Restricted Stock Units that become vested pursuant to this Agreement shall be paid to the Participant (or in the event of the Participant’s death, to the Participant’s estate) in the form of shares of Stock or in the Company’s sole discretion cash, or a combination of both, in an amount equal to the Fair Market Value of a share of Stock, in a lump-sum as soon as reasonably practical, but not later than (i) for Restricted Stock Units that become vested pursuant to </w:t>
      </w:r>
      <w:r>
        <w:rPr>
          <w:rFonts w:ascii="Times New Roman;sans-serif" w:hAnsi="Times New Roman;sans-serif"/>
          <w:b w:val="false"/>
          <w:color w:val="000000"/>
          <w:sz w:val="24"/>
          <w:u w:val="single"/>
        </w:rPr>
        <w:t>Section 4(b)(i)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4(b)(ii)</w:t>
      </w:r>
      <w:r>
        <w:rPr>
          <w:rFonts w:ascii="Times New Roman;sans-serif" w:hAnsi="Times New Roman;sans-serif"/>
          <w:b w:val="false"/>
          <w:color w:val="000000"/>
          <w:sz w:val="24"/>
        </w:rPr>
        <w:t xml:space="preserve">, or </w:t>
      </w:r>
      <w:r>
        <w:rPr>
          <w:rFonts w:ascii="Times New Roman;sans-serif" w:hAnsi="Times New Roman;sans-serif"/>
          <w:b w:val="false"/>
          <w:color w:val="000000"/>
          <w:sz w:val="24"/>
          <w:u w:val="single"/>
        </w:rPr>
        <w:t>Section 4(b)(iii)</w:t>
      </w:r>
      <w:r>
        <w:rPr>
          <w:color w:val="000000"/>
        </w:rPr>
        <w:t xml:space="preserve"> </w:t>
      </w:r>
      <w:r>
        <w:rPr>
          <w:rFonts w:ascii="Times New Roman;sans-serif" w:hAnsi="Times New Roman;sans-serif"/>
          <w:b w:val="false"/>
          <w:color w:val="000000"/>
          <w:sz w:val="24"/>
        </w:rPr>
        <w:t xml:space="preserve">above, sixty (60) days, following the date on which such Restricted Stock Units vest and (ii) for Restricted Stock Units that become vested pursuant to </w:t>
      </w:r>
      <w:r>
        <w:rPr>
          <w:rFonts w:ascii="Times New Roman;sans-serif" w:hAnsi="Times New Roman;sans-serif"/>
          <w:b w:val="false"/>
          <w:color w:val="000000"/>
          <w:sz w:val="24"/>
          <w:u w:val="single"/>
        </w:rPr>
        <w:t>Section 4(b)(iv)</w:t>
      </w:r>
      <w:r>
        <w:rPr>
          <w:color w:val="000000"/>
        </w:rPr>
        <w:t xml:space="preserve"> </w:t>
      </w:r>
      <w:r>
        <w:rPr>
          <w:rFonts w:ascii="Times New Roman;sans-serif" w:hAnsi="Times New Roman;sans-serif"/>
          <w:b w:val="false"/>
          <w:color w:val="000000"/>
          <w:sz w:val="24"/>
        </w:rPr>
        <w:t xml:space="preserve">above, fifteen (15) days following the consummation of the Change in Control.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DERs</w:t>
      </w:r>
      <w:r>
        <w:rPr>
          <w:rFonts w:ascii="Times New Roman;sans-serif" w:hAnsi="Times New Roman;sans-serif"/>
          <w:b w:val="false"/>
          <w:color w:val="000000"/>
          <w:sz w:val="24"/>
        </w:rPr>
        <w:t xml:space="preserve">. DERs with respect to Restricted Stock Units that become vested pursuant to this Agreement shall be paid to the Participant (or in the event of the Participant’s death, to the Participant’s estate) as soon as reasonably practical, but not later, than for Restricted Stock Units and related DERs that vest pursuant to </w:t>
      </w:r>
      <w:r>
        <w:rPr>
          <w:rFonts w:ascii="Times New Roman;sans-serif" w:hAnsi="Times New Roman;sans-serif"/>
          <w:b w:val="false"/>
          <w:color w:val="000000"/>
          <w:sz w:val="24"/>
          <w:u w:val="single"/>
        </w:rPr>
        <w:t>Section 4(b)(i)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4(b)(ii)</w:t>
      </w:r>
      <w:r>
        <w:rPr>
          <w:rFonts w:ascii="Times New Roman;sans-serif" w:hAnsi="Times New Roman;sans-serif"/>
          <w:b w:val="false"/>
          <w:color w:val="000000"/>
          <w:sz w:val="24"/>
        </w:rPr>
        <w:t xml:space="preserve">, or </w:t>
      </w:r>
      <w:r>
        <w:rPr>
          <w:rFonts w:ascii="Times New Roman;sans-serif" w:hAnsi="Times New Roman;sans-serif"/>
          <w:b w:val="false"/>
          <w:color w:val="000000"/>
          <w:sz w:val="24"/>
          <w:u w:val="single"/>
        </w:rPr>
        <w:t>Section 4(b)(iii)</w:t>
      </w:r>
      <w:r>
        <w:rPr>
          <w:color w:val="000000"/>
        </w:rPr>
        <w:t xml:space="preserve"> </w:t>
      </w:r>
      <w:r>
        <w:rPr>
          <w:rFonts w:ascii="Times New Roman;sans-serif" w:hAnsi="Times New Roman;sans-serif"/>
          <w:b w:val="false"/>
          <w:color w:val="000000"/>
          <w:sz w:val="24"/>
        </w:rPr>
        <w:t xml:space="preserve">above, sixty (60) days, and for Restricted Stock Units and related DERs that vest pursuant to </w:t>
      </w:r>
      <w:r>
        <w:rPr>
          <w:rFonts w:ascii="Times New Roman;sans-serif" w:hAnsi="Times New Roman;sans-serif"/>
          <w:b w:val="false"/>
          <w:color w:val="000000"/>
          <w:sz w:val="24"/>
          <w:u w:val="single"/>
        </w:rPr>
        <w:t>Section 4(b)(iv)</w:t>
      </w:r>
      <w:r>
        <w:rPr>
          <w:color w:val="000000"/>
        </w:rPr>
        <w:t xml:space="preserve"> </w:t>
      </w:r>
      <w:r>
        <w:rPr>
          <w:rFonts w:ascii="Times New Roman;sans-serif" w:hAnsi="Times New Roman;sans-serif"/>
          <w:b w:val="false"/>
          <w:color w:val="000000"/>
          <w:sz w:val="24"/>
        </w:rPr>
        <w:t xml:space="preserve">above, fifteen (15) days, following the date on which a Restricted Stock Unit and related DER vests, in the form of a cash payment equal to the amount then credited to the DER Account maintained with respect to such Restricted Stock Unit.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Potential Six-Month Delay</w:t>
      </w:r>
      <w:r>
        <w:rPr>
          <w:rFonts w:ascii="Times New Roman;sans-serif" w:hAnsi="Times New Roman;sans-serif"/>
          <w:b w:val="false"/>
          <w:color w:val="000000"/>
          <w:sz w:val="24"/>
        </w:rPr>
        <w:t>. Notwithstanding anything to the contrary in this Agreement, no amounts payable under this Agreement shall be paid to the Participant prior to the expiration of the six (6)-month period following the Participant’s “separation from service” (within the meaning of Treasury Regulation Section 1.409A-1(h)) (a “</w:t>
      </w:r>
      <w:r>
        <w:rPr>
          <w:rFonts w:ascii="Times New Roman;sans-serif" w:hAnsi="Times New Roman;sans-serif"/>
          <w:b/>
          <w:color w:val="000000"/>
          <w:sz w:val="24"/>
        </w:rPr>
        <w:t>Separation from Service</w:t>
      </w:r>
      <w:r>
        <w:rPr>
          <w:color w:val="000000"/>
        </w:rPr>
        <w:t>”</w:t>
      </w:r>
      <w:r>
        <w:rPr>
          <w:rFonts w:ascii="Times New Roman;sans-serif" w:hAnsi="Times New Roman;sans-serif"/>
          <w:b w:val="false"/>
          <w:color w:val="000000"/>
          <w:sz w:val="24"/>
        </w:rPr>
        <w:t xml:space="preserve">) to the extent that the Company determines that paying such amounts prior to the expiration of such six (6)-month period would result in a prohibited distribution under Section 409A(a)(2)(B)(i) of the Code. If the payment of any such amounts is delayed as a result of the previous sentence, then on the first business day following the end of the applicable six (6)-month period (or such earlier date upon which such amounts can be paid under Section 409A without resulting in a prohibited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7"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distribution, including as a result of the Participant’s death), such amounts shall be paid to the Participant, without interest thereon.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The Company and/or its Affiliates shall have the authority and the right to deduct or withhold, or to require the Participant to remit to the Company and/or its Affiliates, an amount sufficient to satisfy all applicable federal, state, local and foreign taxes (including the Participant’s employment tax obligations) that become due under applicable law with respect to any taxable event arising in connection with the Award. In furtherance of the foregoing, the Participant may make arrangements satisfactory to the Company regarding the payment of any income tax, social insurance contribution or other applicable taxes that are required to be withheld in respect of the Award, which arrangements include (if and to the extent permitted by the Company) the delivery of cash or cash equivalents, shares of Stock (including previously owned shares of Stock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of Stock,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of Stock required to satisfy such tax obligations shall be disregarded and the amount due shall be paid instead in cash to the Participant.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Rights as a Stockholder</w:t>
      </w:r>
      <w:r>
        <w:rPr>
          <w:rFonts w:ascii="Times New Roman;sans-serif" w:hAnsi="Times New Roman;sans-serif"/>
          <w:b w:val="false"/>
          <w:color w:val="000000"/>
          <w:sz w:val="24"/>
        </w:rPr>
        <w:t>. Neither the Participant nor any person claiming under, on behalf of or through the Participant shall, with respect to any Restricted Stock Units subject to the Award, have any of the rights or privileges of a holder of shares of Stock in respect of any shares of Stock that may become deliverable hereunder unless and until certificates representing such shares of Stock shall have been issued or recorded in book entry form on the records of the Company or its transfer agents or registrars, and delivered in certificate or book entry form to the Participant or any person claiming under, on behalf of or through the Participant.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Neither the Restricted Stock Units nor the DERs nor any right of the Participant thereunder may be assigned, alienated, pledged, attached, sold or otherwise transferred or encumbered by the Participant (or any permitted transferee) other than by will or the laws of descent and distribution and any such purported assignment, alienation, pledge, attachment, sale, transfer or encumbrance shall be void and unenforceable against the Company and any of its Affiliates.</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Distribution of Shares of Stock</w:t>
      </w:r>
      <w:r>
        <w:rPr>
          <w:rFonts w:ascii="Times New Roman;sans-serif" w:hAnsi="Times New Roman;sans-serif"/>
          <w:b w:val="false"/>
          <w:color w:val="000000"/>
          <w:sz w:val="24"/>
        </w:rPr>
        <w:t xml:space="preserve">. Unless otherwise determined by the Committee or required by any applicable law, rule or regulation, the Company shall not deliver to the Participant, with respect to any payment relating to the Restricted Stock Units under the Award, certificates evidencing shares of Stock issued pursuant to this Agreement and instead such shares of Stock shall be recorded in the books of the Company (or, as applicable, its transfer agent or equity plan administrator). All certificates for any such shares of Stock issued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88"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and all shares of Stock issued pursuant to book entry procedures hereunder shall be subject to such stop transfer orders and other restrictions as the Company may deem advisable under the Plan or the rules, regulations, and other requirements of the SEC, any stock exchange upon which such shares of Stock are then listed, and any applicable federal or state laws, and the Company may cause a legend or legends to be inscribed on any such certificates or book entry to make appropriate reference to such restrictions. In addition to the terms and conditions provided herein, the Company may require that the Participant make such covenants, agreements, and representations as the Company, in its sole discretion, deems advisable in order to comply with any such laws, regulations, or requirements. No fractional shares of Stock shall be issued or delivered pursuant to the Restricted Stock Units and the Committee shall determine whether cash, other securities, or other property shall be paid or transferred in lieu of fractional shares of Stock or whether such fractional shares of Stock or any rights thereto shall be canceled, terminated, or otherwise eliminated.</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No Right to Continued Employment, Service or Awards</w:t>
      </w:r>
      <w:r>
        <w:rPr>
          <w:rFonts w:ascii="Times New Roman;sans-serif" w:hAnsi="Times New Roman;sans-serif"/>
          <w:b w:val="false"/>
          <w:color w:val="000000"/>
          <w:sz w:val="24"/>
        </w:rPr>
        <w:t>. Nothing in this Agreement or in the Plan shall be construed as giving the Participant the right to be retained in the employ or service of the Company or any Affiliate thereof. Furthermore, the Company and its Affiliates may at any time dismiss the Participant from employment or consulting free from any liability or any claim under the Plan or this Agreement, unless otherwise expressly provided in the Plan, this Agreement or any other written agreement between the Participant and the Company or an Affiliate thereof. The grant of the Restricted Stock Units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Agreement is or becomes or is deemed to be invalid, illegal, or unenforceable in any jurisdiction, such provision shall be construed or deemed amended to conform to the applicable law or, if it cannot be construed or deemed amended without, in the determination of the Committee, materially altering the intent of this Agreement, such provision shall be stricken as to such jurisdiction, and the remainder of this Agreement shall remain in full force and effect.</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Tax Consultation</w:t>
      </w:r>
      <w:r>
        <w:rPr>
          <w:rFonts w:ascii="Times New Roman;sans-serif" w:hAnsi="Times New Roman;sans-serif"/>
          <w:b w:val="false"/>
          <w:color w:val="000000"/>
          <w:sz w:val="24"/>
        </w:rPr>
        <w:t>. None of the Board, the Committee, the Company nor any of its Affiliates or any of their respective managers, directors, officers, employees or authorized representatives (including attorneys, accountants, consultants, bankers, lenders, prospective lenders and financial representatives) has made any warranty or representation to the Participant with respect to any tax consequences that relate to the Award or the transactions contemplated by this Agreement, and the Participant represents that the Participant is in no manner relying on such entities or their representatives for tax advice or an assessment of such tax consequences. The Participant understands that the Participant may suffer adverse tax consequences in connection with the Restricted Stock Units and the DERs granted hereunder. The Participant represents that the Participant has consulted with any tax consultants that the Participant deems advisable in connection with the Award.</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Amendments, Suspension and Termination</w:t>
      </w:r>
      <w:r>
        <w:rPr>
          <w:rFonts w:ascii="Times New Roman;sans-serif" w:hAnsi="Times New Roman;sans-serif"/>
          <w:b w:val="false"/>
          <w:color w:val="000000"/>
          <w:sz w:val="24"/>
        </w:rPr>
        <w:t xml:space="preserve">. Subject to Section 8(b) of the Plan, the Committee may waive any conditions or rights under, amend any terms of, or alter this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89"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at any time, provided that no such change, other than pursuant to Section 8(c) of the Plan, shall materially reduce the rights or benefits of the Participant without the Participant’s consent.</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Conformity to Securities Laws</w:t>
      </w:r>
      <w:r>
        <w:rPr>
          <w:rFonts w:ascii="Times New Roman;sans-serif" w:hAnsi="Times New Roman;sans-serif"/>
          <w:b w:val="false"/>
          <w:color w:val="000000"/>
          <w:sz w:val="24"/>
        </w:rPr>
        <w:t>. The Participant acknowledges that the Plan and this Agreement are intended to conform to the extent necessary with all provisions of the Securities Act and the Exchange Act, any and all regulations and rules promulgated by the SEC thereunder, and all applicable state securities laws and regulations. Notwithstanding anything herein to the contrary, the Plan shall be administered, and the Restricted Stock Units and the DERs are granted, only in such a manner as to conform to such laws, rules and regulations. To the extent permitted by applicable law, the Plan and this Agreement shall be deemed amended to the extent necessary to conform to such laws, rules and regulations.</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Neither the Award nor any of the payments made pursuant to this Agreement are intended to constitute or provide for a deferral of compensation that is subject to Section 409A. To the extent that the Committee determines that the Award or any such payments are not exempt from Section 409A, the Committee may (but shall not be required to) amend this Agreement in a manner intended to comply with the requirements of Section 409A or an exemption therefrom (including amendments with retroactive effect), or take any other actions as it deems necessary or appropriate to (a) exempt the Award or the payments thereunder from Section 409A and/or preserve the intended tax treatment of the benefits provided with respect to the Restricted Stock Units and the DERs, or (b) comply with the requirements of Section 409A. To the extent applicable, this Agreement shall be interpreted in accordance with the provisions of Section 409A. Notwithstanding anything in this Agreement to the contrary, to the extent that any payment or benefit hereunder constitutes non-exempt “nonqualified deferred compensation” for purposes of Section 409A, and such payment or benefit would otherwise be payable or distributable hereunder by reason of the Participant’s termination of Service, all references to the Participant’s termination of Service shall be construed to mean a Separation from Service, and the Participant shall not be considered to have a termination of Service unless such termination constitutes a Separation from Service with respect to the Participant. Notwithstanding the foregoing, the Company and its Affiliates make no representations that the Restricted Stock Units provided under this Agreement are exempt from or compliant with Section 409A and in no event shall the Company or any Affiliate be liable for all or any portion of any taxes, penalties, interest or other expenses that may be incurred by the Participant on account of non-compliance with Section 409A.</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The Participant acknowledges that the Award is subject to modification and termination in certain events as provided in this Agreement and Section 8 of the Plan.</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Clawback</w:t>
      </w:r>
      <w:r>
        <w:rPr>
          <w:rFonts w:ascii="Times New Roman;sans-serif" w:hAnsi="Times New Roman;sans-serif"/>
          <w:b w:val="false"/>
          <w:color w:val="000000"/>
          <w:sz w:val="24"/>
        </w:rPr>
        <w:t xml:space="preserve">. The Participant’s rights with respect to the Award shall in all events be subject to (a) any right that the Company may have under any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SEC or any other applicable law. The Participant’s acceptance of the Award will constitute the Participant’s acknowledgment of and consent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1155"/>
                <wp:effectExtent l="0" t="0" r="0" b="0"/>
                <wp:wrapNone/>
                <wp:docPr id="90"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Company’s application, implementation and enforcement of any Company recoupment, clawback or similar policy that may apply to the Participant and the Award, whether adopted before or after the Effective Date or Grant Date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Agreement to single or multiple assignees, and this Agreement shall inure to the benefit of the successors and assigns of the Company. Subject to the restrictions on transfer contained herein, this Agreement shall be binding upon the Participant and the Participant’s heirs, executors, administrators, successors and assigns.</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validity, construction, and effect of this Agreement and any rules and regulations relating to this Agreement shall be determined in accordance with the laws of the State of Delaware without regard to its conflicts of laws principles.</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Consent to Jurisdiction and Services of Process; Appointment of Agent</w:t>
      </w:r>
      <w:r>
        <w:rPr>
          <w:rFonts w:ascii="Times New Roman;sans-serif" w:hAnsi="Times New Roman;sans-serif"/>
          <w:b w:val="false"/>
          <w:color w:val="000000"/>
          <w:sz w:val="24"/>
        </w:rPr>
        <w:t>. EACH PARTY TO THIS AGREEMENT HEREBY CONSENTS TO THE EXCLUSIVE</w:t>
      </w:r>
      <w:r>
        <w:rPr>
          <w:color w:val="000000"/>
        </w:rPr>
        <w:t xml:space="preserve"> </w:t>
      </w:r>
      <w:r>
        <w:rPr>
          <w:rFonts w:ascii="Times New Roman;sans-serif" w:hAnsi="Times New Roman;sans-serif"/>
          <w:b w:val="false"/>
          <w:color w:val="000000"/>
          <w:sz w:val="24"/>
        </w:rPr>
        <w:t>JURISDICTION OF THE UNITED STATES DISTRICT COURT FOR THE DISTRICT OF DELAWARE AND OF THE STATE COURTS LOCATED IN THE STATE OF DELAWARE AND IRREVOCABLY AGREES THAT ALL ACTIONS OR PROCEEDINGS ARISING OUT OF OR RELATING TO THIS AGREEMENT OR THE RESTRICTED STOCK UNITS, SHALL BE LITIGATED IN SUCH COURTS. EACH PARTY (a) CONSENTS TO SUBMIT HIMSELF, HERSELF OR ITSELF TO THE PERSONAL JURISDICTION OF SUCH COURTS FOR SUCH ACTIONS OR PROCEEDINGS, (b) AGREES THAT HE, SHE OR IT WILL NOT ATTEMPT TO DENY OR DEFEAT SUCH PERSONAL JURISDICTION BY MOTION OR OTHER REQUEST FOR LEAVE FROM ANY SUCH COURT, AND (c) AGREES THAT HE, SHE OR IT WILL NOT BRING ANY SUCH ACTION OR PROCEEDING IN ANY COURT OTHER THAN SUCH COURTS. EACH PARTY ACCEPTS FOR HIMSELF, HERSELF OR ITSELF AND IN CONNECTION WITH SUCH PARTY’S PROPERTIES, GENERALLY AND UNCONDITIONALLY, THE EXCLUSIVE AND IRREVOCABLE JURISDICTION AND VENUE OF THE AFORESAID COURTS AND WAIVES ANY DEFENSE OF FORUM NON CONVENIENS, AND IRREVOCABLY AGREES TO BE BOUND BY ANY NON-APPEALABLE JUDGMENT RENDERED THEREBY IN CONNECTION WITH SUCH ACTIONS OR PROCEEDINGS. A COPY OF ANY SERVICE OF PROCESS SERVED UPON THE PARTIES SHALL BE MAILED BY REGISTERED MAIL TO THE RESPECTIVE PARTY EXCEPT THAT, UNLESS OTHERWISE PROVIDED BY APPLICABLE LAW, ANY FAILURE TO MAIL SUCH COPY SHALL NOT AFFECT THE VALIDITY OF SERVICE OF PROCESS. IF ANY AGENT APPOINTED BY A PARTY REFUSES TO ACCEPT SERVICE, EACH PARTY AGREES THAT SERVICE UPON THE APPROPRIATE PARTY BY REGISTERED MAIL SHALL CONSTITUTE SUFFICIENT SERVICE. NOTHING HEREIN SHALL AFFECT THE RIGHT OF A PARTY TO SERVE PROCESS IN ANY OTHER MANNER PERMITTED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1155"/>
                <wp:effectExtent l="0" t="0" r="0" b="0"/>
                <wp:wrapNone/>
                <wp:docPr id="91" name="Frame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634"/>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p>
      <w:pPr>
        <w:pStyle w:val="TextBody"/>
        <w:bidi w:val="0"/>
        <w:spacing w:lineRule="auto" w:line="276" w:before="0" w:after="240"/>
        <w:ind w:left="0" w:right="0" w:firstLine="634"/>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Consent to Electronic Delivery; Electronic Signature</w:t>
      </w:r>
      <w:r>
        <w:rPr>
          <w:rFonts w:ascii="Times New Roman;sans-serif" w:hAnsi="Times New Roman;sans-serif"/>
          <w:b w:val="false"/>
          <w:color w:val="000000"/>
          <w:sz w:val="24"/>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pStyle w:val="TextBody"/>
        <w:bidi w:val="0"/>
        <w:spacing w:lineRule="auto" w:line="276" w:before="0" w:after="240"/>
        <w:ind w:left="0" w:right="0" w:firstLine="634"/>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each of which shall be deemed an original and all of which together shall constitute one instrument.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1155"/>
                <wp:effectExtent l="0" t="0" r="0" b="0"/>
                <wp:wrapNone/>
                <wp:docPr id="92" name="Frame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Participant’s signature below indicates the Participant’s agreement with and understanding that the Award is subject to all of the terms and conditions contained in the Plan, in this Agreement and the Grant Notice, and that, in the event that there are any inconsistencies between the terms of the Plan and the terms of this Agreement, the terms of the Plan shall control. The Participant further acknowledges that the Participant has read and understands the Plan and this Agreement, which contain the specific terms and conditions of the Award. The Participant hereby agrees to accept as binding, conclusive and final all decisions or interpretations of the Committee upon any questions arising under the Plan, this Agreement or the Grant Notice.</w:t>
      </w:r>
    </w:p>
    <w:p>
      <w:pPr>
        <w:pStyle w:val="TextBody"/>
        <w:bidi w:val="0"/>
        <w:spacing w:lineRule="auto" w:line="288" w:before="720" w:after="283"/>
        <w:jc w:val="left"/>
        <w:rPr/>
      </w:pPr>
      <w:r>
        <w:rPr>
          <w:rFonts w:ascii="Times New Roman;sans-serif" w:hAnsi="Times New Roman;sans-serif"/>
          <w:b/>
          <w:color w:val="000000"/>
          <w:sz w:val="24"/>
        </w:rPr>
        <w:t>SUMMIT MIDSTREAM CORPORATION</w:t>
      </w:r>
      <w:r>
        <w:rPr>
          <w:rFonts w:ascii="Times New Roman;sans-serif" w:hAnsi="Times New Roman;sans-serif"/>
          <w:b w:val="false"/>
          <w:color w:val="000000"/>
          <w:sz w:val="24"/>
        </w:rPr>
        <w:br/>
        <w:t>a Delaware corporation</w:t>
      </w:r>
    </w:p>
    <w:p>
      <w:pPr>
        <w:pStyle w:val="TextBody"/>
        <w:bidi w:val="0"/>
        <w:spacing w:lineRule="auto" w:line="288" w:before="0" w:after="0"/>
        <w:ind w:left="0" w:right="0" w:hanging="480"/>
        <w:jc w:val="left"/>
        <w:rPr/>
      </w:pPr>
      <w:r>
        <w:rPr/>
        <w:drawing>
          <wp:inline distT="0" distB="0" distL="0" distR="0">
            <wp:extent cx="1314450" cy="657225"/>
            <wp:effectExtent l="0" t="0" r="0" b="0"/>
            <wp:docPr id="9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 descr=""/>
                    <pic:cNvPicPr>
                      <a:picLocks noChangeAspect="1" noChangeArrowheads="1"/>
                    </pic:cNvPicPr>
                  </pic:nvPicPr>
                  <pic:blipFill>
                    <a:blip r:embed="rId21"/>
                    <a:stretch>
                      <a:fillRect/>
                    </a:stretch>
                  </pic:blipFill>
                  <pic:spPr bwMode="auto">
                    <a:xfrm>
                      <a:off x="0" y="0"/>
                      <a:ext cx="1314450" cy="657225"/>
                    </a:xfrm>
                    <a:prstGeom prst="rect">
                      <a:avLst/>
                    </a:prstGeom>
                  </pic:spPr>
                </pic:pic>
              </a:graphicData>
            </a:graphic>
          </wp:inline>
        </w:drawing>
      </w:r>
      <w:r>
        <w:rPr>
          <w:color w:val="000000"/>
        </w:rPr>
        <w:t xml:space="preserve"> </w:t>
      </w:r>
    </w:p>
    <w:p>
      <w:pPr>
        <w:pStyle w:val="TextBody"/>
        <w:bidi w:val="0"/>
        <w:spacing w:before="0" w:after="0"/>
        <w:ind w:left="0" w:right="0" w:hanging="480"/>
        <w:jc w:val="left"/>
        <w:rPr/>
      </w:pPr>
      <w:r>
        <w:rPr/>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pPr>
      <w:r>
        <w:rPr>
          <w:rFonts w:ascii="Times New Roman;sans-serif" w:hAnsi="Times New Roman;sans-serif"/>
          <w:b w:val="false"/>
          <w:color w:val="000000"/>
          <w:sz w:val="24"/>
        </w:rPr>
        <w:t>By: __________________________________</w:t>
      </w:r>
      <w:r>
        <w:rPr>
          <w:color w:val="000000"/>
          <w:u w:val="single"/>
        </w:rPr>
        <w:t xml:space="preserve">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James Johnston</w:t>
        <w:br/>
        <w:t>Title: EVP, General Counsel, Chief Compliance Officer and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PARTICIPANT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24"/>
        </w:rPr>
        <w:t>____________________________________</w:t>
        <w:br/>
      </w:r>
      <w:r>
        <w:rPr>
          <w:rFonts w:ascii="Times New Roman;sans-serif" w:hAnsi="Times New Roman;sans-serif"/>
          <w:b/>
          <w:color w:val="000000"/>
          <w:sz w:val="24"/>
          <w:u w:val="single"/>
        </w:rPr>
        <w:t>[_____]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4"/>
        </w:rPr>
      </w:pPr>
      <w:r>
        <w:rPr>
          <w:rFonts w:ascii="Times New Roman;sans-serif" w:hAnsi="Times New Roman;sans-serif"/>
          <w:b/>
          <w:i/>
          <w:color w:val="000000"/>
          <w:sz w:val="24"/>
        </w:rPr>
        <w:t>[Final Form]</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5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p>
                  </w:txbxContent>
                </v:textbox>
                <w10:wrap type="none"/>
              </v:rect>
            </w:pict>
          </mc:Fallback>
        </mc:AlternateContent>
      </w:r>
    </w:p>
    <w:p>
      <w:pPr>
        <w:pStyle w:val="TextBody"/>
        <w:bidi w:val="0"/>
        <w:spacing w:lineRule="auto" w:line="240" w:before="120" w:after="283"/>
        <w:jc w:val="right"/>
        <w:rPr>
          <w:rFonts w:ascii="Arial;sans-serif" w:hAnsi="Arial;sans-serif"/>
          <w:b/>
          <w:color w:val="000000"/>
          <w:sz w:val="20"/>
        </w:rPr>
      </w:pPr>
      <w:r>
        <w:rPr>
          <w:rFonts w:ascii="Arial;sans-serif" w:hAnsi="Arial;sans-serif"/>
          <w:b/>
          <w:color w:val="000000"/>
          <w:sz w:val="20"/>
        </w:rPr>
        <w:t>EXHIBIT 10.6</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SUMMIT MIDSTREAM 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2024 LONG-TERM INCENTIVE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DIRECTOR STOCK AGREEMENT</w:t>
      </w:r>
    </w:p>
    <w:p>
      <w:pPr>
        <w:pStyle w:val="TextBody"/>
        <w:bidi w:val="0"/>
        <w:spacing w:before="0" w:after="2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Pursuant to this Director Stock Agreement, dated as of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(inclusive of the Grant Notice and Terms and Conditions of the Stock Grant,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Summit Midstream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hereby grants to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the following Stock Award pursuant and subject to the terms and conditions of this Agreement and the Summit Midstream Corporation 2024 Long-Term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xml:space="preserve">), the terms and conditions of which are hereby incorporated into this Agreement by reference. In the event of any conflict between the terms of this Agreement and the Plan, the terms of the Plan shall control. Except as otherwise expressly provided herein, all capitalized terms used in this Agreement, but not otherwise defined herein, shall have the meanings provided in the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 of this Agreement, if the Participant has not executed this Agreement within ninety (90) days following the Grant Date, the Participant will be deemed to have accepted this Award, subject to all of the terms and conditions of this Agreement and the Plan.</w:t>
      </w:r>
    </w:p>
    <w:p>
      <w:pPr>
        <w:pStyle w:val="TextBody"/>
        <w:bidi w:val="0"/>
        <w:spacing w:before="0" w:after="0"/>
        <w:ind w:left="0" w:right="0" w:firstLine="720"/>
        <w:jc w:val="both"/>
        <w:rPr/>
      </w:pPr>
      <w:r>
        <w:rPr/>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GRANT NOTICE</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terms and conditions of this Agreement, the principal features of this Award are as follows: </w:t>
      </w:r>
    </w:p>
    <w:p>
      <w:pPr>
        <w:pStyle w:val="TextBody"/>
        <w:bidi w:val="0"/>
        <w:spacing w:lineRule="auto" w:line="276" w:before="240" w:after="283"/>
        <w:ind w:left="0" w:right="0" w:hanging="1710"/>
        <w:jc w:val="both"/>
        <w:rPr/>
      </w:pPr>
      <w:r>
        <w:rPr>
          <w:rFonts w:ascii="Times New Roman;sans-serif" w:hAnsi="Times New Roman;sans-serif"/>
          <w:b/>
          <w:color w:val="000000"/>
          <w:sz w:val="24"/>
        </w:rPr>
        <w:t>Number of Shares of Stock</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color w:val="000000"/>
        </w:rPr>
        <w:t xml:space="preserve"> </w:t>
      </w:r>
      <w:r>
        <w:rPr>
          <w:rFonts w:ascii="Times New Roman;sans-serif" w:hAnsi="Times New Roman;sans-serif"/>
          <w:b w:val="false"/>
          <w:color w:val="000000"/>
          <w:sz w:val="24"/>
        </w:rPr>
        <w:t>shares of Stock</w:t>
      </w:r>
    </w:p>
    <w:p>
      <w:pPr>
        <w:pStyle w:val="TextBody"/>
        <w:bidi w:val="0"/>
        <w:spacing w:lineRule="auto" w:line="276" w:before="240" w:after="283"/>
        <w:ind w:left="0" w:right="0" w:hanging="1710"/>
        <w:jc w:val="both"/>
        <w:rPr/>
      </w:pPr>
      <w:r>
        <w:rPr>
          <w:rFonts w:ascii="Times New Roman;sans-serif" w:hAnsi="Times New Roman;sans-serif"/>
          <w:b/>
          <w:color w:val="000000"/>
          <w:sz w:val="24"/>
        </w:rPr>
        <w:t>Grant Date</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[_____]</w:t>
      </w:r>
      <w:r>
        <w:rPr>
          <w:rFonts w:ascii="Times New Roman;sans-serif" w:hAnsi="Times New Roman;sans-serif"/>
          <w:b/>
          <w:color w:val="000000"/>
          <w:sz w:val="24"/>
        </w:rPr>
        <w:t>, 20</w:t>
      </w:r>
      <w:r>
        <w:rPr>
          <w:rFonts w:ascii="Times New Roman;sans-serif" w:hAnsi="Times New Roman;sans-serif"/>
          <w:b/>
          <w:color w:val="000000"/>
          <w:sz w:val="24"/>
          <w:u w:val="single"/>
        </w:rPr>
        <w:t>[ ]</w:t>
      </w:r>
    </w:p>
    <w:p>
      <w:pPr>
        <w:pStyle w:val="TextBody"/>
        <w:bidi w:val="0"/>
        <w:spacing w:lineRule="auto" w:line="276" w:before="240" w:after="283"/>
        <w:ind w:left="0" w:right="0" w:firstLine="720"/>
        <w:jc w:val="both"/>
        <w:rPr/>
      </w:pPr>
      <w:r>
        <w:rPr>
          <w:rFonts w:ascii="Times New Roman;sans-serif" w:hAnsi="Times New Roman;sans-serif"/>
          <w:b/>
          <w:color w:val="000000"/>
          <w:sz w:val="24"/>
        </w:rPr>
        <w:t>Vesting of the Award</w:t>
      </w:r>
      <w:r>
        <w:rPr>
          <w:rFonts w:ascii="Times New Roman;sans-serif" w:hAnsi="Times New Roman;sans-serif"/>
          <w:b w:val="false"/>
          <w:color w:val="000000"/>
          <w:sz w:val="24"/>
        </w:rPr>
        <w:t>: All shares of Stocks subject to the Stock Award are fully vested as of the Grant Date.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92100"/>
                <wp:effectExtent l="0" t="0" r="0" b="0"/>
                <wp:wrapNone/>
                <wp:docPr id="95" name="Frame9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TERMS AND CONDITIONS OF THE STOCK GRANT</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xml:space="preserve">. The Company hereby grants to the Participant, as of the Grant Date, an award of shares of Stock as set forth in the Grant Notice, subject to all of the terms and conditions contained in this Agreement and the Plan. For the avoidance of doubt, the shares of Stock granted hereunder are not subject to forfeiture restrictions and, as soon as administratively practicable following the Grant Date, such shares of Stock shall be issued in accordance with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hereof. </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The Participant shall be solely responsible for all applicable income and self-employment taxes and other wage deductions incurred in connection with the grant or disposition of the shares of Stock subject to this Agreement. Unless required to do so by applicable law, the Company and its Affiliates shall not pay or withhold any federal, state, local, foreign or other taxes of any kind with respect thereto.</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Delivery of Shares of Stock</w:t>
      </w:r>
      <w:r>
        <w:rPr>
          <w:rFonts w:ascii="Times New Roman;sans-serif" w:hAnsi="Times New Roman;sans-serif"/>
          <w:b w:val="false"/>
          <w:color w:val="000000"/>
          <w:sz w:val="24"/>
        </w:rPr>
        <w:t xml:space="preserve">. Unless otherwise determined by the Committee or required by any applicable law, rule or regulation, the Company shall not deliver to the Participant certificates evidencing shares of Stock issued pursuant to this Agreement and instead such shares of Stock shall be recorded in the books of the Company (or, as applicable, its transfer agent or equity plan administrator). All certificates for shares of Stock issued pursuant to this Agreement and all shares of Stock issued pursuant to book entry procedures hereunder shall be subject to such stop transfer orders and other restrictions as the Company may deem advisable under the Plan or the rules, regulations, and other requirements of the SEC, any stock exchange upon which such shares of Stock are then listed, and any applicable federal or state laws, and the Company may cause a legend or legends to be inscribed on any such certificates or book entry to make appropriate reference to such restrictions. In addition to the terms and conditions provided herein, the Company may require that the Participant make such covenants, agreements, and representations as the Company, in its sole discretion, deems advisable in order to comply with any such laws, regulations, or requirements. </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No Right to Continued Service or Awards</w:t>
      </w:r>
      <w:r>
        <w:rPr>
          <w:rFonts w:ascii="Times New Roman;sans-serif" w:hAnsi="Times New Roman;sans-serif"/>
          <w:b w:val="false"/>
          <w:color w:val="000000"/>
          <w:sz w:val="24"/>
        </w:rPr>
        <w:t>. Nothing in this Agreement or in the Plan shall be construed as giving the Participant the right to be retained in the employ or service of the Company or any Affiliate thereof. Furthermore, the Company and its Affiliates may at any time dismiss the Participant from the Participant’s services free from any liability or any claim under the Plan or this Agreement, unless otherwise expressly provided in the Plan, this Agreement or any other written agreement between the Participant and the Company or an Affiliate thereof. The grant of the shares of Stock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If any provision of this Agreement is or becomes or is deemed to be invalid, illegal, or unenforceable in any jurisdiction, such provision shall be construed or deemed amended to conform to the applicable law or, if it cannot be construed or deemed amended without, in the determination of the Committee, materially altering the intent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1155"/>
                <wp:effectExtent l="0" t="0" r="0" b="0"/>
                <wp:wrapNone/>
                <wp:docPr id="96" name="Frame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such provision shall be stricken as to such jurisdiction, and the remainder of this Agreement shall remain in full force and effect.</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Consultation</w:t>
      </w:r>
      <w:r>
        <w:rPr>
          <w:rFonts w:ascii="Times New Roman;sans-serif" w:hAnsi="Times New Roman;sans-serif"/>
          <w:b w:val="false"/>
          <w:color w:val="000000"/>
          <w:sz w:val="24"/>
        </w:rPr>
        <w:t>. None of the Board, the Committee, the Company nor any of its Affiliates or any of their respective managers, directors, officers, employees or authorized representatives (including attorneys, accountants, consultants, bankers, lenders, prospective lenders and financial representatives) has made any warranty or representation to the Participant with respect to any tax consequences of the issuance or disposition of the shares of Stock or the transactions contemplated by this Agreement, and the Participant represents that the Participant is in no manner relying on such entities or their representatives for tax advice or an assessment of such tax consequences. The Participant understands that the Participant may suffer adverse tax consequences in connection with the shares of Stock granted pursuant to this Agreement. The Participant represents that the Participant has consulted with any tax consultants that the Participant deems advisable in connection with the shares of Stock.</w:t>
      </w:r>
    </w:p>
    <w:p>
      <w:pPr>
        <w:pStyle w:val="TextBody"/>
        <w:bidi w:val="0"/>
        <w:spacing w:lineRule="auto" w:line="276" w:before="0" w:after="240"/>
        <w:ind w:left="0" w:right="0" w:firstLine="634"/>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Conformity to Securities Laws</w:t>
      </w:r>
      <w:r>
        <w:rPr>
          <w:rFonts w:ascii="Times New Roman;sans-serif" w:hAnsi="Times New Roman;sans-serif"/>
          <w:b w:val="false"/>
          <w:color w:val="000000"/>
          <w:sz w:val="24"/>
        </w:rPr>
        <w:t>. The Participant acknowledges that the Plan and this Agreement are intended to conform to the extent necessary with all provisions of the Securities Act and the Exchange Act, any and all regulations and rules promulgated by the SEC thereunder, and all applicable state securities laws and regulations. Notwithstanding anything herein to the contrary, the Plan shall be administered, and the shares of Stock are granted, only in such a manner as to conform to such laws, rules and regulations. To the extent permitted by applicable law, the Plan and this Agreement shall be deemed amended to the extent necessary to conform to such laws, rules and regulations.</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Agreement to single or multiple assignees, and this Agreement shall inure to the benefit of the successors and assigns of the Company. Subject to the restrictions on transfer contained herein, this Agreement shall be binding upon the Participant and the Participant’s heirs, executors, administrators, successors and assigns.</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validity, construction, and effect of this Agreement and any rules and regulations relating to this Agreement shall be determined in accordance with the laws of the State of Delaware without regard to its conflicts of laws principles.</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Consent to Jurisdiction and Services of Process; Appointment of Agent</w:t>
      </w:r>
      <w:r>
        <w:rPr>
          <w:rFonts w:ascii="Times New Roman;sans-serif" w:hAnsi="Times New Roman;sans-serif"/>
          <w:b w:val="false"/>
          <w:color w:val="000000"/>
          <w:sz w:val="24"/>
        </w:rPr>
        <w:t>. EACH PARTY TO THIS AGREEMENT HEREBY CONSENTS TO THE EXCLUSIVE</w:t>
      </w:r>
      <w:r>
        <w:rPr>
          <w:color w:val="000000"/>
        </w:rPr>
        <w:t xml:space="preserve"> </w:t>
      </w:r>
      <w:r>
        <w:rPr>
          <w:rFonts w:ascii="Times New Roman;sans-serif" w:hAnsi="Times New Roman;sans-serif"/>
          <w:b w:val="false"/>
          <w:color w:val="000000"/>
          <w:sz w:val="24"/>
        </w:rPr>
        <w:t xml:space="preserve">JURISDICTION OF THE UNITED STATES DISTRICT COURT FOR THE DISTRICT OF DELAWARE AND OF THE STATE COURTS LOCATED IN THE STATE OF DELAWARE AND IRREVOCABLY AGREES THAT ALL ACTIONS OR PROCEEDINGS ARISING OUT OF OR RELATING TO THIS AGREEMENT OR THE SHARES OF STOCK, SHALL BE LITIGATED IN SUCH COURTS. EACH PARTY (a) CONSENTS TO SUBMIT HIMSELF, HERSELF OR ITSELF TO THE PERSONAL JURISDICTION OF SUCH COURTS FOR SUCH ACTIONS OR PROCEEDINGS, (b) AGREES THAT HE, SHE OR IT WILL NOT ATTEMPT TO DENY OR DEFEAT SUCH PERSONAL JURISDICTION BY MOTION OR OTHER REQUEST FOR LEAVE FROM ANY SUCH COURT, AND (c) AGREES THAT HE, SHE OR IT WILL NOT BRING ANY SUCH ACTION OR PROCEEDING IN ANY COURT OTHER THAN SUCH COURTS. EACH PARTY ACCEPTS FOR HIMSELF, HERSELF OR ITSELF AND IN CONNECTION WITH SUCH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1155"/>
                <wp:effectExtent l="0" t="0" r="0" b="0"/>
                <wp:wrapNone/>
                <wp:docPr id="97" name="Frame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PARTY’S PROPERTIES, GENERALLY AND UNCONDITIONALLY, THE EXCLUSIVE AND IRREVOCABLE JURISDICTION AND VENUE OF THE AFORESAID COURTS AND WAIVES ANY DEFENSE OF FORUM NON CONVENIENS, AND IRREVOCABLY AGREES TO BE BOUND BY ANY NON-APPEALABLE JUDGMENT RENDERED THEREBY IN CONNECTION WITH SUCH ACTIONS OR PROCEEDINGS. A COPY OF ANY SERVICE OF PROCESS SERVED UPON THE PARTIES SHALL BE MAILED BY REGISTERED MAIL TO THE RESPECTIVE PARTY EXCEPT THAT, UNLESS OTHERWISE PROVIDED BY APPLICABLE LAW, ANY FAILURE TO MAIL SUCH COPY SHALL NOT AFFECT THE VALIDITY OF SERVICE OF PROCESS. IF ANY AGENT APPOINTED BY A PARTY REFUSES TO ACCEPT SERVICE, EACH PARTY AGREES THAT SERVICE UPON THE APPROPRIATE PARTY BY REGISTERED MAIL SHALL CONSTITUTE SUFFICIENT SERVICE. NOTHING HEREIN SHALL AFFECT THE RIGHT OF A PARTY TO SERVE PROCESS IN ANY OTHER MANNER PERMITTED BY LAW.</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Consent to Electronic Delivery; Electronic Signature</w:t>
      </w:r>
      <w:r>
        <w:rPr>
          <w:rFonts w:ascii="Times New Roman;sans-serif" w:hAnsi="Times New Roman;sans-serif"/>
          <w:b w:val="false"/>
          <w:color w:val="000000"/>
          <w:sz w:val="24"/>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pStyle w:val="TextBody"/>
        <w:bidi w:val="0"/>
        <w:spacing w:lineRule="auto" w:line="276" w:before="0" w:after="240"/>
        <w:ind w:left="0" w:right="0" w:firstLine="63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each of which shall be deemed an original and all of which together shall constitute one instrument.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98" name="Frame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Participant’s signature below indicates the Participant’s agreement with and understanding that this Award is subject to all of the terms and conditions contained in the Plan, in this Agreement and the Grant Notice, and that, in the event that there are any inconsistencies between the terms of the Plan and the terms of this Agreement, the terms of the Plan shall control. The Participant further acknowledges that the Participant has read and understands the Plan and this Agreement, which contain the specific terms and conditions of this grant of shares of Stock. The Participant hereby agrees to accept as binding, conclusive and final all decisions or interpretations of the Committee upon any questions arising under the Plan, this Agreement or the Grant Notice.</w:t>
      </w:r>
    </w:p>
    <w:p>
      <w:pPr>
        <w:pStyle w:val="TextBody"/>
        <w:bidi w:val="0"/>
        <w:spacing w:lineRule="auto" w:line="288" w:before="720" w:after="283"/>
        <w:jc w:val="left"/>
        <w:rPr/>
      </w:pPr>
      <w:r>
        <w:rPr>
          <w:rFonts w:ascii="Times New Roman;sans-serif" w:hAnsi="Times New Roman;sans-serif"/>
          <w:b/>
          <w:color w:val="000000"/>
          <w:sz w:val="24"/>
        </w:rPr>
        <w:t>SUMMIT MIDSTREAM CORPORATION</w:t>
      </w:r>
      <w:r>
        <w:rPr>
          <w:rFonts w:ascii="Times New Roman;sans-serif" w:hAnsi="Times New Roman;sans-serif"/>
          <w:b w:val="false"/>
          <w:color w:val="000000"/>
          <w:sz w:val="24"/>
        </w:rPr>
        <w:br/>
        <w:t>a Delaware corporation</w:t>
      </w:r>
    </w:p>
    <w:p>
      <w:pPr>
        <w:pStyle w:val="TextBody"/>
        <w:bidi w:val="0"/>
        <w:spacing w:lineRule="auto" w:line="288" w:before="720" w:after="283"/>
        <w:ind w:left="0" w:right="0" w:hanging="480"/>
        <w:jc w:val="left"/>
        <w:rPr/>
      </w:pPr>
      <w:r>
        <w:rPr/>
        <w:drawing>
          <wp:inline distT="0" distB="0" distL="0" distR="0">
            <wp:extent cx="1314450" cy="657225"/>
            <wp:effectExtent l="0" t="0" r="0" b="0"/>
            <wp:docPr id="9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 descr=""/>
                    <pic:cNvPicPr>
                      <a:picLocks noChangeAspect="1" noChangeArrowheads="1"/>
                    </pic:cNvPicPr>
                  </pic:nvPicPr>
                  <pic:blipFill>
                    <a:blip r:embed="rId22"/>
                    <a:stretch>
                      <a:fillRect/>
                    </a:stretch>
                  </pic:blipFill>
                  <pic:spPr bwMode="auto">
                    <a:xfrm>
                      <a:off x="0" y="0"/>
                      <a:ext cx="1314450" cy="657225"/>
                    </a:xfrm>
                    <a:prstGeom prst="rect">
                      <a:avLst/>
                    </a:prstGeom>
                  </pic:spPr>
                </pic:pic>
              </a:graphicData>
            </a:graphic>
          </wp:inline>
        </w:drawing>
      </w:r>
      <w:r>
        <w:rPr>
          <w:color w:val="000000"/>
        </w:rPr>
        <w:t xml:space="preserve"> </w:t>
      </w:r>
      <w:r>
        <w:rPr>
          <w:rFonts w:ascii="Times New Roman;sans-serif" w:hAnsi="Times New Roman;sans-serif"/>
          <w:b w:val="false"/>
          <w:color w:val="000000"/>
          <w:sz w:val="24"/>
        </w:rPr>
        <w:t>By: __________________________________</w:t>
      </w:r>
      <w:r>
        <w:rPr>
          <w:color w:val="000000"/>
          <w:u w:val="single"/>
        </w:rPr>
        <w:t xml:space="preserve">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James Johnston</w:t>
        <w:br/>
        <w:t>Title: EVP, General Counsel, Chief Compliance Officer and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PARTICIPANT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24"/>
        </w:rPr>
        <w:t>____________________________________</w:t>
        <w:br/>
      </w:r>
      <w:r>
        <w:rPr>
          <w:rFonts w:ascii="Times New Roman;sans-serif" w:hAnsi="Times New Roman;sans-serif"/>
          <w:b/>
          <w:color w:val="000000"/>
          <w:sz w:val="24"/>
          <w:u w:val="single"/>
        </w:rPr>
        <w:t>[_____]</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1155"/>
                <wp:effectExtent l="0" t="0" r="0" b="0"/>
                <wp:wrapNone/>
                <wp:docPr id="100" name="Frame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Heath Deneke,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8937"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109"/>
        <w:gridCol w:w="109"/>
        <w:gridCol w:w="109"/>
        <w:gridCol w:w="1967"/>
        <w:gridCol w:w="1967"/>
        <w:gridCol w:w="280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Heath Deneke</w:t>
              <w:br/>
              <w:t>President, Chief Executive Officer and Director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050"/>
                <wp:effectExtent l="0" t="0" r="0" b="0"/>
                <wp:wrapNone/>
                <wp:docPr id="101" name="Frame9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William J. Mault,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9342"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109"/>
        <w:gridCol w:w="109"/>
        <w:gridCol w:w="109"/>
        <w:gridCol w:w="2081"/>
        <w:gridCol w:w="2081"/>
        <w:gridCol w:w="297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Mault</w:t>
              <w:br/>
              <w:t>Executive Vice President and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050"/>
                <wp:effectExtent l="0" t="0" r="0" b="0"/>
                <wp:wrapNone/>
                <wp:docPr id="102" name="Frame9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Summit Midstream Corporation (the “Registrant”) for the quarterly period ended March 31, 2025, as filed with the Securities and Exchange Commission on the date hereof (the “Report”), the undersigned, Heath Deneke, as President, Chief Executive Officer and Director of the Registrant, and William J. Mault, as Executive Vice President and Chief Financial Officer of the Registrant, each hereby certify, pursuant to 18 U.S.C. Section 1350, as adopted pursuant to Section 906 of the Sarbanes-Oxley Act of 2002, that, to his knowledge:</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Registrant.</w:t>
      </w:r>
    </w:p>
    <w:tbl>
      <w:tblPr>
        <w:tblW w:w="5448" w:type="dxa"/>
        <w:jc w:val="left"/>
        <w:tblInd w:w="0" w:type="dxa"/>
        <w:tblLayout w:type="fixed"/>
        <w:tblCellMar>
          <w:top w:w="28" w:type="dxa"/>
          <w:left w:w="28" w:type="dxa"/>
          <w:bottom w:w="28" w:type="dxa"/>
          <w:right w:w="28" w:type="dxa"/>
        </w:tblCellMar>
      </w:tblPr>
      <w:tblGrid>
        <w:gridCol w:w="249"/>
        <w:gridCol w:w="220"/>
        <w:gridCol w:w="221"/>
        <w:gridCol w:w="176"/>
        <w:gridCol w:w="176"/>
        <w:gridCol w:w="176"/>
        <w:gridCol w:w="1236"/>
        <w:gridCol w:w="1236"/>
        <w:gridCol w:w="1758"/>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544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Heath Deneke</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w:t>
              <w:b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12, 2025</w:t>
            </w:r>
          </w:p>
        </w:tc>
      </w:tr>
    </w:tbl>
    <w:tbl>
      <w:tblPr>
        <w:tblW w:w="6054" w:type="dxa"/>
        <w:jc w:val="center"/>
        <w:tblInd w:w="0" w:type="dxa"/>
        <w:tblLayout w:type="fixed"/>
        <w:tblCellMar>
          <w:top w:w="28" w:type="dxa"/>
          <w:left w:w="28" w:type="dxa"/>
          <w:bottom w:w="28" w:type="dxa"/>
          <w:right w:w="28" w:type="dxa"/>
        </w:tblCellMar>
      </w:tblPr>
      <w:tblGrid>
        <w:gridCol w:w="249"/>
        <w:gridCol w:w="220"/>
        <w:gridCol w:w="221"/>
        <w:gridCol w:w="193"/>
        <w:gridCol w:w="193"/>
        <w:gridCol w:w="193"/>
        <w:gridCol w:w="1397"/>
        <w:gridCol w:w="1397"/>
        <w:gridCol w:w="199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605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J. Mault</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br/>
              <w:t>(Principal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12,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050"/>
                <wp:effectExtent l="0" t="0" r="0" b="0"/>
                <wp:wrapNone/>
                <wp:docPr id="103" name="Frame9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4218/000101376224003515/ea021024101ex3-1_summit.htm" TargetMode="External"/><Relationship Id="rId3" Type="http://schemas.openxmlformats.org/officeDocument/2006/relationships/hyperlink" Target="https://www.sec.gov/Archives/edgar/data/2024218/000101376224003515/ea021024101ex3-1_summit.htm" TargetMode="External"/><Relationship Id="rId4" Type="http://schemas.openxmlformats.org/officeDocument/2006/relationships/hyperlink" Target="https://www.sec.gov/Archives/edgar/data/2024218/000101376224003515/ea021024101ex3-2_summit.htm" TargetMode="External"/><Relationship Id="rId5" Type="http://schemas.openxmlformats.org/officeDocument/2006/relationships/hyperlink" Target="https://www.sec.gov/Archives/edgar/data/2024218/000101376224003515/ea021024101ex3-2_summit.htm" TargetMode="External"/><Relationship Id="rId6" Type="http://schemas.openxmlformats.org/officeDocument/2006/relationships/hyperlink" Target="https://www.sec.gov/Archives/edgar/data/2024218/000101376224003515/ea021024101ex3-3_summit.htm" TargetMode="External"/><Relationship Id="rId7" Type="http://schemas.openxmlformats.org/officeDocument/2006/relationships/hyperlink" Target="https://www.sec.gov/Archives/edgar/data/2024218/000101376224003515/ea021024101ex3-3_summit.htm" TargetMode="External"/><Relationship Id="rId8" Type="http://schemas.openxmlformats.org/officeDocument/2006/relationships/hyperlink" Target="https://www.sec.gov/Archives/edgar/data/1549922/000101376224001777/ea021008501ex4-1_summit.htm" TargetMode="External"/><Relationship Id="rId9" Type="http://schemas.openxmlformats.org/officeDocument/2006/relationships/hyperlink" Target="https://www.sec.gov/Archives/edgar/data/2024218/000202421824000041/exhibit31-summitmidstrea.htm" TargetMode="External"/><Relationship Id="rId10" Type="http://schemas.openxmlformats.org/officeDocument/2006/relationships/hyperlink" Target="https://www.sec.gov/Archives/edgar/data/1549922/000101376224001777/ea021008501ex10-1_summit.htm" TargetMode="External"/><Relationship Id="rId11" Type="http://schemas.openxmlformats.org/officeDocument/2006/relationships/hyperlink" Target="https://www.sec.gov/Archives/edgar/data/2024218/000202421825000025/smc-ex101toclosingform8x.htm" TargetMode="External"/><Relationship Id="rId12" Type="http://schemas.openxmlformats.org/officeDocument/2006/relationships/hyperlink" Target="https://www.sec.gov/Archives/edgar/data/1549922/000101376224001777/ea021008501ex10-2_summit.htm" TargetMode="External"/><Relationship Id="rId13" Type="http://schemas.openxmlformats.org/officeDocument/2006/relationships/hyperlink" Target="https://www.sec.gov/Archives/edgar/data/2024218/000202421825000025/smc-ex102toclosingform8x.htm" TargetMode="External"/><Relationship Id="rId14" Type="http://schemas.openxmlformats.org/officeDocument/2006/relationships/hyperlink" Target="https://www.sec.gov/Archives/edgar/data/1549922/000154992224000050/summitmidstream-firstamend.htm" TargetMode="External"/><Relationship Id="rId15" Type="http://schemas.openxmlformats.org/officeDocument/2006/relationships/hyperlink" Target="https://www.sec.gov/Archives/edgar/data/2024218/000101376224003515/ea021024101ex10-1_summit.htm" TargetMode="External"/><Relationship Id="rId16" Type="http://schemas.openxmlformats.org/officeDocument/2006/relationships/hyperlink" Target="https://www.sec.gov/Archives/edgar/data/2024218/000101376224003515/ea021024101ex10-2_summit.htm" TargetMode="External"/><Relationship Id="rId17" Type="http://schemas.openxmlformats.org/officeDocument/2006/relationships/hyperlink" Target="https://www.sec.gov/Archives/edgar/data/2024218/000101376224003515/ea021024101ex10-3_summit.htm" TargetMode="External"/><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3.png"/><Relationship Id="rId22" Type="http://schemas.openxmlformats.org/officeDocument/2006/relationships/image" Target="media/image3.pn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43669</Words>
  <Characters>239217</Characters>
  <CharactersWithSpaces>281146</CharactersWithSpaces>
  <Paragraphs>3190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