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ectPr>
          <w:pgSz w:w="11900" w:h="16838" w:orient="portrait"/>
          <w:cols w:equalWidth="0" w:num="1">
            <w:col w:w="11260"/>
          </w:cols>
          <w:pgMar w:left="320" w:top="229" w:right="319" w:bottom="1440" w:gutter="0" w:footer="0" w:header="0"/>
        </w:sectPr>
      </w:pPr>
    </w:p>
    <w:p>
      <w:pPr>
        <w:spacing w:after="0" w:line="132" w:lineRule="exact"/>
        <w:rPr>
          <w:sz w:val="24"/>
          <w:szCs w:val="24"/>
          <w:color w:val="auto"/>
        </w:rPr>
      </w:pPr>
    </w:p>
    <w:p>
      <w:pPr>
        <w:ind w:left="120"/>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1" w:lineRule="exact"/>
        <w:rPr>
          <w:sz w:val="24"/>
          <w:szCs w:val="24"/>
          <w:color w:val="auto"/>
        </w:rPr>
      </w:pPr>
    </w:p>
    <w:p>
      <w:pPr>
        <w:sectPr>
          <w:pgSz w:w="11900" w:h="16838" w:orient="portrait"/>
          <w:cols w:equalWidth="0" w:num="2">
            <w:col w:w="980" w:space="720"/>
            <w:col w:w="9560"/>
          </w:cols>
          <w:pgMar w:left="320" w:top="229"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ectPr>
          <w:pgSz w:w="11900" w:h="16838" w:orient="portrait"/>
          <w:cols w:equalWidth="0" w:num="1">
            <w:col w:w="11260"/>
          </w:cols>
          <w:pgMar w:left="320" w:top="229" w:right="319" w:bottom="1440" w:gutter="0" w:footer="0" w:header="0"/>
          <w:type w:val="continuous"/>
        </w:sectPr>
      </w:pPr>
    </w:p>
    <w:p>
      <w:pPr>
        <w:spacing w:after="0" w:line="220" w:lineRule="exact"/>
        <w:rPr>
          <w:sz w:val="24"/>
          <w:szCs w:val="24"/>
          <w:color w:val="auto"/>
        </w:rPr>
      </w:pPr>
    </w:p>
    <w:p>
      <w:pPr>
        <w:ind w:left="140"/>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5" w:lineRule="exact"/>
        <w:rPr>
          <w:sz w:val="24"/>
          <w:szCs w:val="24"/>
          <w:color w:val="auto"/>
        </w:rPr>
      </w:pPr>
    </w:p>
    <w:p>
      <w:pPr>
        <w:sectPr>
          <w:pgSz w:w="11900" w:h="16838" w:orient="portrait"/>
          <w:cols w:equalWidth="0" w:num="2">
            <w:col w:w="980" w:space="720"/>
            <w:col w:w="9560"/>
          </w:cols>
          <w:pgMar w:left="320" w:top="229" w:right="319" w:bottom="1440" w:gutter="0" w:footer="0" w:header="0"/>
          <w:type w:val="continuous"/>
        </w:sectPr>
      </w:pPr>
    </w:p>
    <w:p>
      <w:pPr>
        <w:ind w:left="434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Commission file number: 001-42201</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Summit Midstream Corporation</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0"/>
          </w:cols>
          <w:pgMar w:left="320" w:top="229" w:right="319" w:bottom="1440" w:gutter="0" w:footer="0" w:header="0"/>
          <w:type w:val="continuous"/>
        </w:sectPr>
      </w:pPr>
    </w:p>
    <w:p>
      <w:pPr>
        <w:spacing w:after="0" w:line="8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99-3056990</w:t>
      </w:r>
    </w:p>
    <w:p>
      <w:pPr>
        <w:spacing w:after="0" w:line="75" w:lineRule="exact"/>
        <w:rPr>
          <w:sz w:val="24"/>
          <w:szCs w:val="24"/>
          <w:color w:val="auto"/>
        </w:rPr>
      </w:pPr>
    </w:p>
    <w:p>
      <w:pPr>
        <w:sectPr>
          <w:pgSz w:w="11900" w:h="16838" w:orient="portrait"/>
          <w:cols w:equalWidth="0" w:num="2">
            <w:col w:w="7400" w:space="720"/>
            <w:col w:w="3140"/>
          </w:cols>
          <w:pgMar w:left="320" w:top="229" w:right="31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86" w:lineRule="exact"/>
        <w:rPr>
          <w:sz w:val="24"/>
          <w:szCs w:val="24"/>
          <w:color w:val="auto"/>
        </w:rPr>
      </w:pPr>
    </w:p>
    <w:p>
      <w:pPr>
        <w:sectPr>
          <w:pgSz w:w="11900" w:h="16838" w:orient="portrait"/>
          <w:cols w:equalWidth="0" w:num="2">
            <w:col w:w="7240" w:space="720"/>
            <w:col w:w="3300"/>
          </w:cols>
          <w:pgMar w:left="320" w:top="229" w:right="31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84" w:lineRule="exact"/>
        <w:rPr>
          <w:sz w:val="24"/>
          <w:szCs w:val="24"/>
          <w:color w:val="auto"/>
        </w:rPr>
      </w:pPr>
    </w:p>
    <w:p>
      <w:pPr>
        <w:sectPr>
          <w:pgSz w:w="11900" w:h="16838" w:orient="portrait"/>
          <w:cols w:equalWidth="0" w:num="2">
            <w:col w:w="7200" w:space="720"/>
            <w:col w:w="3340"/>
          </w:cols>
          <w:pgMar w:left="320" w:top="229" w:right="31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b w:val="1"/>
          <w:bCs w:val="1"/>
          <w:color w:val="auto"/>
        </w:rPr>
        <w:t>910 Louisiana Street, Suite 4200</w:t>
      </w:r>
    </w:p>
    <w:p>
      <w:pPr>
        <w:sectPr>
          <w:pgSz w:w="11900" w:h="16838" w:orient="portrait"/>
          <w:cols w:equalWidth="0" w:num="1">
            <w:col w:w="11260"/>
          </w:cols>
          <w:pgMar w:left="320" w:top="229" w:right="319" w:bottom="1440" w:gutter="0" w:footer="0" w:header="0"/>
          <w:type w:val="continuous"/>
        </w:sectPr>
      </w:pPr>
    </w:p>
    <w:p>
      <w:pPr>
        <w:spacing w:after="0" w:line="73"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Houston, TX</w:t>
            </w:r>
          </w:p>
        </w:tc>
        <w:tc>
          <w:tcPr>
            <w:tcW w:w="49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77002</w:t>
            </w: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4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980" w:type="dxa"/>
            <w:vAlign w:val="bottom"/>
            <w:vMerge w:val="restart"/>
          </w:tcPr>
          <w:p>
            <w:pPr>
              <w:jc w:val="center"/>
              <w:ind w:left="417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4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4980" w:type="dxa"/>
            <w:vAlign w:val="bottom"/>
          </w:tcPr>
          <w:p>
            <w:pPr>
              <w:jc w:val="center"/>
              <w:ind w:right="1439"/>
              <w:spacing w:after="0"/>
              <w:rPr>
                <w:sz w:val="20"/>
                <w:szCs w:val="20"/>
                <w:color w:val="auto"/>
              </w:rPr>
            </w:pPr>
            <w:r>
              <w:rPr>
                <w:rFonts w:ascii="Times New Roman" w:cs="Times New Roman" w:eastAsia="Times New Roman" w:hAnsi="Times New Roman"/>
                <w:sz w:val="16"/>
                <w:szCs w:val="16"/>
                <w:b w:val="1"/>
                <w:bCs w:val="1"/>
                <w:color w:val="auto"/>
              </w:rPr>
              <w:t>(832) 413-4770</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2"/>
                <w:szCs w:val="22"/>
                <w:color w:val="auto"/>
              </w:rPr>
            </w:pPr>
          </w:p>
        </w:tc>
        <w:tc>
          <w:tcPr>
            <w:tcW w:w="498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4980" w:type="dxa"/>
            <w:vAlign w:val="bottom"/>
          </w:tcPr>
          <w:p>
            <w:pPr>
              <w:jc w:val="center"/>
              <w:ind w:right="1459"/>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0" w:type="dxa"/>
            <w:vAlign w:val="bottom"/>
          </w:tcPr>
          <w:p>
            <w:pPr>
              <w:spacing w:after="0"/>
              <w:rPr>
                <w:sz w:val="1"/>
                <w:szCs w:val="1"/>
                <w:color w:val="auto"/>
              </w:rPr>
            </w:pPr>
          </w:p>
        </w:tc>
      </w:tr>
      <w:tr>
        <w:trPr>
          <w:trHeight w:val="270"/>
        </w:trPr>
        <w:tc>
          <w:tcPr>
            <w:tcW w:w="7540" w:type="dxa"/>
            <w:vAlign w:val="bottom"/>
            <w:gridSpan w:val="2"/>
          </w:tcPr>
          <w:p>
            <w:pPr>
              <w:jc w:val="center"/>
              <w:ind w:left="93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bl>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SMC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39" w:lineRule="exact"/>
        <w:rPr>
          <w:sz w:val="24"/>
          <w:szCs w:val="24"/>
          <w:color w:val="auto"/>
        </w:rPr>
      </w:pPr>
    </w:p>
    <w:p>
      <w:pPr>
        <w:ind w:right="24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3" w:lineRule="exact"/>
        <w:rPr>
          <w:sz w:val="24"/>
          <w:szCs w:val="24"/>
          <w:color w:val="auto"/>
        </w:rPr>
      </w:pPr>
    </w:p>
    <w:p>
      <w:pPr>
        <w:ind w:right="1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3" w:lineRule="exact"/>
        <w:rPr>
          <w:sz w:val="24"/>
          <w:szCs w:val="24"/>
          <w:color w:val="auto"/>
        </w:rPr>
      </w:pPr>
    </w:p>
    <w:p>
      <w:pPr>
        <w:ind w:left="20"/>
        <w:spacing w:after="0"/>
        <w:tabs>
          <w:tab w:leader="none" w:pos="460" w:val="left"/>
          <w:tab w:leader="none" w:pos="920" w:val="left"/>
          <w:tab w:leader="none" w:pos="1360" w:val="left"/>
        </w:tabs>
        <w:rPr>
          <w:sz w:val="20"/>
          <w:szCs w:val="20"/>
          <w:color w:val="auto"/>
        </w:rPr>
      </w:pP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6"/>
          <w:szCs w:val="16"/>
          <w:color w:val="auto"/>
        </w:rPr>
        <w:t>Yes</w:t>
      </w:r>
      <w:r>
        <w:rPr>
          <w:sz w:val="20"/>
          <w:szCs w:val="20"/>
          <w:color w:val="auto"/>
        </w:rPr>
        <w:tab/>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6"/>
          <w:szCs w:val="16"/>
          <w:color w:val="auto"/>
        </w:rPr>
        <w:t>No</w:t>
      </w:r>
    </w:p>
    <w:p>
      <w:pPr>
        <w:spacing w:after="0" w:line="104"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900"/>
              <w:spacing w:after="0"/>
              <w:rPr>
                <w:sz w:val="20"/>
                <w:szCs w:val="20"/>
                <w:color w:val="auto"/>
              </w:rPr>
            </w:pPr>
            <w:r>
              <w:rPr>
                <w:rFonts w:ascii="Times New Roman" w:cs="Times New Roman" w:eastAsia="Times New Roman" w:hAnsi="Times New Roman"/>
                <w:sz w:val="16"/>
                <w:szCs w:val="16"/>
                <w:color w:val="auto"/>
                <w:w w:val="99"/>
              </w:rPr>
              <w:t xml:space="preserve">Accelerated filer </w:t>
            </w:r>
            <w:r>
              <w:rPr>
                <w:rFonts w:ascii="Wingdings" w:cs="Wingdings" w:eastAsia="Wingdings" w:hAnsi="Wingdings"/>
                <w:sz w:val="16"/>
                <w:szCs w:val="16"/>
                <w:b w:val="1"/>
                <w:bCs w:val="1"/>
                <w:color w:val="auto"/>
                <w:w w:val="99"/>
              </w:rPr>
              <w:t>x</w:t>
            </w:r>
          </w:p>
        </w:tc>
      </w:t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22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r>
    </w:tbl>
    <w:p>
      <w:pPr>
        <w:spacing w:after="0" w:line="133" w:lineRule="exact"/>
        <w:rPr>
          <w:sz w:val="24"/>
          <w:szCs w:val="24"/>
          <w:color w:val="auto"/>
        </w:rPr>
      </w:pPr>
    </w:p>
    <w:p>
      <w:pPr>
        <w:ind w:right="580"/>
        <w:spacing w:after="0" w:line="29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w:t>
      </w:r>
      <w:r>
        <w:rPr>
          <w:rFonts w:ascii="Wingdings" w:cs="Wingdings" w:eastAsia="Wingdings" w:hAnsi="Wingdings"/>
          <w:sz w:val="14"/>
          <w:szCs w:val="14"/>
          <w:b w:val="1"/>
          <w:bCs w:val="1"/>
          <w:color w:val="auto"/>
        </w:rPr>
        <w:t>o</w:t>
      </w:r>
    </w:p>
    <w:p>
      <w:pPr>
        <w:ind w:right="372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Yes</w:t>
      </w:r>
      <w:r>
        <w:rPr>
          <w:rFonts w:ascii="Times New Roman" w:cs="Times New Roman" w:eastAsia="Times New Roman" w:hAnsi="Times New Roman"/>
          <w:sz w:val="14"/>
          <w:szCs w:val="14"/>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30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94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As of May 8, 2026</w:t>
            </w:r>
          </w:p>
        </w:tc>
      </w:tr>
      <w:tr>
        <w:trPr>
          <w:trHeight w:val="37"/>
        </w:trPr>
        <w:tc>
          <w:tcPr>
            <w:tcW w:w="4980" w:type="dxa"/>
            <w:vAlign w:val="bottom"/>
            <w:tcBorders>
              <w:bottom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217"/>
        </w:trPr>
        <w:tc>
          <w:tcPr>
            <w:tcW w:w="630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940" w:type="dxa"/>
            <w:vAlign w:val="bottom"/>
          </w:tcPr>
          <w:p>
            <w:pPr>
              <w:jc w:val="right"/>
              <w:ind w:right="2022"/>
              <w:spacing w:after="0"/>
              <w:rPr>
                <w:sz w:val="20"/>
                <w:szCs w:val="20"/>
                <w:color w:val="auto"/>
              </w:rPr>
            </w:pPr>
            <w:r>
              <w:rPr>
                <w:rFonts w:ascii="Times New Roman" w:cs="Times New Roman" w:eastAsia="Times New Roman" w:hAnsi="Times New Roman"/>
                <w:sz w:val="16"/>
                <w:szCs w:val="16"/>
                <w:color w:val="auto"/>
              </w:rPr>
              <w:t>13,814,286</w:t>
            </w:r>
          </w:p>
        </w:tc>
      </w:tr>
      <w:tr>
        <w:trPr>
          <w:trHeight w:val="243"/>
        </w:trPr>
        <w:tc>
          <w:tcPr>
            <w:tcW w:w="630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4940" w:type="dxa"/>
            <w:vAlign w:val="bottom"/>
          </w:tcPr>
          <w:p>
            <w:pPr>
              <w:jc w:val="right"/>
              <w:ind w:right="2062"/>
              <w:spacing w:after="0"/>
              <w:rPr>
                <w:sz w:val="20"/>
                <w:szCs w:val="20"/>
                <w:color w:val="auto"/>
              </w:rPr>
            </w:pPr>
            <w:r>
              <w:rPr>
                <w:rFonts w:ascii="Times New Roman" w:cs="Times New Roman" w:eastAsia="Times New Roman" w:hAnsi="Times New Roman"/>
                <w:sz w:val="16"/>
                <w:szCs w:val="16"/>
                <w:color w:val="auto"/>
              </w:rPr>
              <w:t>6,524,467</w:t>
            </w:r>
          </w:p>
        </w:tc>
      </w:tr>
      <w:tr>
        <w:trPr>
          <w:trHeight w:val="560"/>
        </w:trPr>
        <w:tc>
          <w:tcPr>
            <w:tcW w:w="4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757"/>
        </w:trPr>
        <w:tc>
          <w:tcPr>
            <w:tcW w:w="4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0377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COMMONLY USED 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0377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r>
      <w:tr>
        <w:trPr>
          <w:trHeight w:val="250"/>
        </w:trPr>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780" w:type="dxa"/>
            <w:vAlign w:val="bottom"/>
            <w:gridSpan w:val="3"/>
          </w:tcPr>
          <w:p>
            <w:pPr>
              <w:spacing w:after="0"/>
              <w:rPr>
                <w:sz w:val="21"/>
                <w:szCs w:val="21"/>
                <w:color w:val="auto"/>
              </w:rPr>
            </w:pPr>
          </w:p>
        </w:tc>
        <w:tc>
          <w:tcPr>
            <w:tcW w:w="22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4260" w:type="dxa"/>
            <w:vAlign w:val="bottom"/>
            <w:gridSpan w:val="7"/>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w:t>
            </w:r>
          </w:p>
        </w:tc>
        <w:tc>
          <w:tcPr>
            <w:tcW w:w="2000" w:type="dxa"/>
            <w:vAlign w:val="bottom"/>
            <w:gridSpan w:val="3"/>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Equity.</w:t>
            </w:r>
          </w:p>
        </w:tc>
        <w:tc>
          <w:tcPr>
            <w:tcW w:w="2320" w:type="dxa"/>
            <w:vAlign w:val="bottom"/>
            <w:gridSpan w:val="5"/>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r>
              <w:rPr>
                <w:rFonts w:ascii="Times New Roman" w:cs="Times New Roman" w:eastAsia="Times New Roman" w:hAnsi="Times New Roman"/>
                <w:sz w:val="18"/>
                <w:szCs w:val="18"/>
                <w:color w:val="000000"/>
              </w:rPr>
              <w:t>.</w:t>
            </w: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60" w:type="dxa"/>
            <w:vAlign w:val="bottom"/>
            <w:gridSpan w:val="4"/>
          </w:tcPr>
          <w:p>
            <w:pPr>
              <w:spacing w:after="0"/>
              <w:rPr>
                <w:sz w:val="21"/>
                <w:szCs w:val="21"/>
                <w:color w:val="auto"/>
              </w:rPr>
            </w:pP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20" w:type="dxa"/>
            <w:vAlign w:val="bottom"/>
            <w:gridSpan w:val="2"/>
          </w:tcPr>
          <w:p>
            <w:pPr>
              <w:spacing w:after="0"/>
              <w:rPr>
                <w:sz w:val="21"/>
                <w:szCs w:val="21"/>
                <w:color w:val="auto"/>
              </w:rPr>
            </w:pPr>
          </w:p>
        </w:tc>
        <w:tc>
          <w:tcPr>
            <w:tcW w:w="13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00" w:type="dxa"/>
            <w:vAlign w:val="bottom"/>
            <w:tcBorders>
              <w:top w:val="single" w:sz="8" w:color="0000FF"/>
            </w:tcBorders>
            <w:gridSpan w:val="3"/>
          </w:tcPr>
          <w:p>
            <w:pPr>
              <w:spacing w:after="0"/>
              <w:rPr>
                <w:sz w:val="21"/>
                <w:szCs w:val="21"/>
                <w:color w:val="auto"/>
              </w:rPr>
            </w:pPr>
          </w:p>
        </w:tc>
        <w:tc>
          <w:tcPr>
            <w:tcW w:w="4620" w:type="dxa"/>
            <w:vAlign w:val="bottom"/>
            <w:gridSpan w:val="8"/>
          </w:tcPr>
          <w:p>
            <w:pPr>
              <w:spacing w:after="0"/>
              <w:rPr>
                <w:sz w:val="21"/>
                <w:szCs w:val="21"/>
                <w:color w:val="auto"/>
              </w:rPr>
            </w:pP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6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r>
              <w:rPr>
                <w:rFonts w:ascii="Times New Roman" w:cs="Times New Roman" w:eastAsia="Times New Roman" w:hAnsi="Times New Roman"/>
                <w:sz w:val="18"/>
                <w:szCs w:val="18"/>
                <w:color w:val="000000"/>
              </w:rPr>
              <w:t>.</w:t>
            </w:r>
          </w:p>
        </w:tc>
      </w:tr>
      <w:tr>
        <w:trPr>
          <w:trHeight w:val="25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0" w:type="dxa"/>
            <w:vAlign w:val="bottom"/>
            <w:gridSpan w:val="12"/>
          </w:tcPr>
          <w:p>
            <w:pPr>
              <w:spacing w:after="0"/>
              <w:rPr>
                <w:sz w:val="21"/>
                <w:szCs w:val="21"/>
                <w:color w:val="auto"/>
              </w:rPr>
            </w:pPr>
          </w:p>
        </w:tc>
      </w:tr>
      <w:tr>
        <w:trPr>
          <w:trHeight w:val="520"/>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-2536825</wp:posOffset>
            </wp:positionV>
            <wp:extent cx="70377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0377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0377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0377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0377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0377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0377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377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49</w:t>
      </w:r>
    </w:p>
    <w:p>
      <w:pPr>
        <w:sectPr>
          <w:pgSz w:w="11900" w:h="16838" w:orient="portrait"/>
          <w:cols w:equalWidth="0" w:num="2">
            <w:col w:w="10180" w:space="720"/>
            <w:col w:w="180"/>
          </w:cols>
          <w:pgMar w:left="320" w:top="229"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COMMONLY USED 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2015 Blacktail Release</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2029 Secured Notes</w:t>
      </w: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ABL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right="1360"/>
        <w:spacing w:after="0" w:line="329" w:lineRule="auto"/>
        <w:rPr>
          <w:sz w:val="20"/>
          <w:szCs w:val="20"/>
          <w:color w:val="auto"/>
        </w:rPr>
      </w:pPr>
      <w:r>
        <w:rPr>
          <w:rFonts w:ascii="Times New Roman" w:cs="Times New Roman" w:eastAsia="Times New Roman" w:hAnsi="Times New Roman"/>
          <w:sz w:val="18"/>
          <w:szCs w:val="18"/>
          <w:color w:val="auto"/>
        </w:rPr>
        <w:t>a 2015 rupture of our four-inch produced water gathering pipeline near Williston, North Dakota Summit Holdings’ 8.625% Senior Secured Second Lien Notes due October 2029</w:t>
      </w:r>
    </w:p>
    <w:p>
      <w:pPr>
        <w:spacing w:after="0" w:line="18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-542290</wp:posOffset>
            </wp:positionV>
            <wp:extent cx="7132320"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720"/>
            <w:col w:w="8240"/>
          </w:cols>
          <w:pgMar w:left="320" w:top="229" w:right="3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asset-based lending credit facility governed by the ABL Agreement</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5"/>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2029 Secured Notes</w:t>
            </w: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$250,000,000 in aggregate principal amount of 2029 Secured Notes issued on January</w:t>
            </w:r>
          </w:p>
        </w:tc>
      </w:tr>
      <w:tr>
        <w:trPr>
          <w:trHeight w:val="241"/>
        </w:trPr>
        <w:tc>
          <w:tcPr>
            <w:tcW w:w="28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10, 2025</w:t>
            </w:r>
          </w:p>
        </w:tc>
      </w:tr>
      <w:tr>
        <w:trPr>
          <w:trHeight w:val="225"/>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ABL</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Loan and Security Agreement, dated as of July 26, 2024, among Summit Holdings, as</w:t>
            </w: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borrower, SMLP and certain subsidiaries from time to time party thereto, as guarantors, Bank of America, N.A.,</w:t>
            </w:r>
          </w:p>
        </w:tc>
      </w:tr>
      <w:tr>
        <w:trPr>
          <w:trHeight w:val="216"/>
        </w:trPr>
        <w:tc>
          <w:tcPr>
            <w:tcW w:w="280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agent, and Bank of America, N.A., Royal Bank of Canada, Regions Capital Markets, TD Securities (USA)</w:t>
            </w:r>
          </w:p>
        </w:tc>
      </w:tr>
      <w:tr>
        <w:trPr>
          <w:trHeight w:val="216"/>
        </w:trPr>
        <w:tc>
          <w:tcPr>
            <w:tcW w:w="280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LLC, JPMorgan Chase Bank, N.A, Citizens Bank, N.A., and Truist Bank, as joint lead arrangers and joint</w:t>
            </w:r>
          </w:p>
        </w:tc>
      </w:tr>
      <w:tr>
        <w:trPr>
          <w:trHeight w:val="234"/>
        </w:trPr>
        <w:tc>
          <w:tcPr>
            <w:tcW w:w="280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bookrunners</w:t>
            </w:r>
          </w:p>
        </w:tc>
      </w:tr>
      <w:tr>
        <w:trPr>
          <w:trHeight w:val="270"/>
        </w:trPr>
        <w:tc>
          <w:tcPr>
            <w:tcW w:w="2800" w:type="dxa"/>
            <w:vAlign w:val="bottom"/>
          </w:tcPr>
          <w:p>
            <w:pPr>
              <w:spacing w:after="0"/>
              <w:rPr>
                <w:sz w:val="23"/>
                <w:szCs w:val="23"/>
                <w:color w:val="auto"/>
              </w:rPr>
            </w:pPr>
          </w:p>
        </w:tc>
        <w:tc>
          <w:tcPr>
            <w:tcW w:w="8440" w:type="dxa"/>
            <w:vAlign w:val="bottom"/>
          </w:tcPr>
          <w:p>
            <w:pPr>
              <w:spacing w:after="0"/>
              <w:rPr>
                <w:sz w:val="23"/>
                <w:szCs w:val="23"/>
                <w:color w:val="auto"/>
              </w:rPr>
            </w:pPr>
          </w:p>
        </w:tc>
      </w:tr>
      <w:tr>
        <w:trPr>
          <w:trHeight w:val="225"/>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Amended and Restated ABL</w:t>
            </w: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asset-based lending credit facility governed by the Amended and Restated ABL Agreement</w:t>
            </w:r>
          </w:p>
        </w:tc>
      </w:tr>
      <w:tr>
        <w:trPr>
          <w:trHeight w:val="268"/>
        </w:trPr>
        <w:tc>
          <w:tcPr>
            <w:tcW w:w="2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w:t>
            </w:r>
          </w:p>
        </w:tc>
        <w:tc>
          <w:tcPr>
            <w:tcW w:w="8440" w:type="dxa"/>
            <w:vAlign w:val="bottom"/>
            <w:tcBorders>
              <w:bottom w:val="single" w:sz="8" w:color="CCEEFF"/>
            </w:tcBorders>
            <w:shd w:val="clear" w:color="auto" w:fill="CCEEFF"/>
          </w:tcPr>
          <w:p>
            <w:pPr>
              <w:spacing w:after="0"/>
              <w:rPr>
                <w:sz w:val="23"/>
                <w:szCs w:val="23"/>
                <w:color w:val="auto"/>
              </w:rPr>
            </w:pPr>
          </w:p>
        </w:tc>
      </w:tr>
      <w:tr>
        <w:trPr>
          <w:trHeight w:val="24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ASU</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5"/>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Bcf/d</w:t>
            </w: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equivalent of one billion cubic feet per day; generally calculated when liquids are converted into natural gas;</w:t>
            </w:r>
          </w:p>
        </w:tc>
      </w:tr>
      <w:tr>
        <w:trPr>
          <w:trHeight w:val="241"/>
        </w:trPr>
        <w:tc>
          <w:tcPr>
            <w:tcW w:w="28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determined using a ratio of six thousand cubic feet of natural gas to one barrel of liquids</w:t>
            </w:r>
          </w:p>
        </w:tc>
      </w:tr>
      <w:tr>
        <w:trPr>
          <w:trHeight w:val="24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of Directors</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board of directors of Summit Midstream Corporation</w:t>
            </w:r>
          </w:p>
        </w:tc>
      </w:tr>
      <w:tr>
        <w:trPr>
          <w:trHeight w:val="270"/>
        </w:trPr>
        <w:tc>
          <w:tcPr>
            <w:tcW w:w="2800" w:type="dxa"/>
            <w:vAlign w:val="bottom"/>
          </w:tcPr>
          <w:p>
            <w:pPr>
              <w:spacing w:after="0"/>
              <w:rPr>
                <w:sz w:val="23"/>
                <w:szCs w:val="23"/>
                <w:color w:val="auto"/>
              </w:rPr>
            </w:pPr>
          </w:p>
        </w:tc>
        <w:tc>
          <w:tcPr>
            <w:tcW w:w="8440" w:type="dxa"/>
            <w:vAlign w:val="bottom"/>
          </w:tcPr>
          <w:p>
            <w:pPr>
              <w:spacing w:after="0"/>
              <w:rPr>
                <w:sz w:val="23"/>
                <w:szCs w:val="23"/>
                <w:color w:val="auto"/>
              </w:rPr>
            </w:pPr>
          </w:p>
        </w:tc>
      </w:tr>
      <w:tr>
        <w:trPr>
          <w:trHeight w:val="243"/>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B common stock of the Company, par value $0.01 per share</w:t>
            </w:r>
          </w:p>
        </w:tc>
      </w:tr>
      <w:tr>
        <w:trPr>
          <w:trHeight w:val="270"/>
        </w:trPr>
        <w:tc>
          <w:tcPr>
            <w:tcW w:w="2800" w:type="dxa"/>
            <w:vAlign w:val="bottom"/>
            <w:shd w:val="clear" w:color="auto" w:fill="CCEEFF"/>
          </w:tcPr>
          <w:p>
            <w:pPr>
              <w:spacing w:after="0"/>
              <w:rPr>
                <w:sz w:val="23"/>
                <w:szCs w:val="23"/>
                <w:color w:val="auto"/>
              </w:rPr>
            </w:pPr>
          </w:p>
        </w:tc>
        <w:tc>
          <w:tcPr>
            <w:tcW w:w="8440" w:type="dxa"/>
            <w:vAlign w:val="bottom"/>
            <w:shd w:val="clear" w:color="auto" w:fill="CCEEFF"/>
          </w:tcPr>
          <w:p>
            <w:pPr>
              <w:spacing w:after="0"/>
              <w:rPr>
                <w:sz w:val="23"/>
                <w:szCs w:val="23"/>
                <w:color w:val="auto"/>
              </w:rPr>
            </w:pPr>
          </w:p>
        </w:tc>
      </w:tr>
      <w:tr>
        <w:trPr>
          <w:trHeight w:val="24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of the Company, par value $0.01 per share</w:t>
            </w:r>
          </w:p>
        </w:tc>
      </w:tr>
      <w:tr>
        <w:trPr>
          <w:trHeight w:val="270"/>
        </w:trPr>
        <w:tc>
          <w:tcPr>
            <w:tcW w:w="2800" w:type="dxa"/>
            <w:vAlign w:val="bottom"/>
          </w:tcPr>
          <w:p>
            <w:pPr>
              <w:spacing w:after="0"/>
              <w:rPr>
                <w:sz w:val="23"/>
                <w:szCs w:val="23"/>
                <w:color w:val="auto"/>
              </w:rPr>
            </w:pPr>
          </w:p>
        </w:tc>
        <w:tc>
          <w:tcPr>
            <w:tcW w:w="8440" w:type="dxa"/>
            <w:vAlign w:val="bottom"/>
          </w:tcPr>
          <w:p>
            <w:pPr>
              <w:spacing w:after="0"/>
              <w:rPr>
                <w:sz w:val="23"/>
                <w:szCs w:val="23"/>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Committee</w:t>
            </w:r>
          </w:p>
        </w:tc>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compensation committee of the Board of Directors</w:t>
            </w:r>
          </w:p>
        </w:tc>
      </w:tr>
      <w:tr>
        <w:trPr>
          <w:trHeight w:val="225"/>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condensate</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natural gas liquid with a low vapor pressure, mainly composed of propane, butane, pentane, and heavier</w:t>
            </w:r>
          </w:p>
        </w:tc>
      </w:tr>
      <w:tr>
        <w:trPr>
          <w:trHeight w:val="234"/>
        </w:trPr>
        <w:tc>
          <w:tcPr>
            <w:tcW w:w="280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hydrocarbon fractions</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5"/>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Reorganization</w:t>
            </w: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August 1, 2024 consummation of a transaction that resulted in SMLP becoming a wholly owned subsidiary of</w:t>
            </w:r>
          </w:p>
        </w:tc>
      </w:tr>
      <w:tr>
        <w:trPr>
          <w:trHeight w:val="234"/>
        </w:trPr>
        <w:tc>
          <w:tcPr>
            <w:tcW w:w="2800" w:type="dxa"/>
            <w:vAlign w:val="bottom"/>
            <w:shd w:val="clear" w:color="auto" w:fill="CCEEFF"/>
          </w:tcPr>
          <w:p>
            <w:pPr>
              <w:spacing w:after="0"/>
              <w:rPr>
                <w:sz w:val="20"/>
                <w:szCs w:val="20"/>
                <w:color w:val="auto"/>
              </w:rPr>
            </w:pP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 newly formed Delaware corporation, Summit Midstream Corporation (taxed as a C-corporation)</w:t>
            </w:r>
          </w:p>
        </w:tc>
      </w:tr>
      <w:tr>
        <w:trPr>
          <w:trHeight w:val="270"/>
        </w:trPr>
        <w:tc>
          <w:tcPr>
            <w:tcW w:w="2800" w:type="dxa"/>
            <w:vAlign w:val="bottom"/>
            <w:shd w:val="clear" w:color="auto" w:fill="CCEEFF"/>
          </w:tcPr>
          <w:p>
            <w:pPr>
              <w:spacing w:after="0"/>
              <w:rPr>
                <w:sz w:val="23"/>
                <w:szCs w:val="23"/>
                <w:color w:val="auto"/>
              </w:rPr>
            </w:pPr>
          </w:p>
        </w:tc>
        <w:tc>
          <w:tcPr>
            <w:tcW w:w="8440" w:type="dxa"/>
            <w:vAlign w:val="bottom"/>
            <w:shd w:val="clear" w:color="auto" w:fill="CCEEFF"/>
          </w:tcPr>
          <w:p>
            <w:pPr>
              <w:spacing w:after="0"/>
              <w:rPr>
                <w:sz w:val="23"/>
                <w:szCs w:val="23"/>
                <w:color w:val="auto"/>
              </w:rPr>
            </w:pPr>
          </w:p>
        </w:tc>
      </w:tr>
      <w:tr>
        <w:trPr>
          <w:trHeight w:val="24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DJ Basin</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Denver-Julesburg Basin</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43"/>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DOJ</w:t>
            </w:r>
          </w:p>
        </w:tc>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Department of Justice</w:t>
            </w:r>
          </w:p>
        </w:tc>
      </w:tr>
      <w:tr>
        <w:trPr>
          <w:trHeight w:val="270"/>
        </w:trPr>
        <w:tc>
          <w:tcPr>
            <w:tcW w:w="2800" w:type="dxa"/>
            <w:vAlign w:val="bottom"/>
            <w:shd w:val="clear" w:color="auto" w:fill="CCEEFF"/>
          </w:tcPr>
          <w:p>
            <w:pPr>
              <w:spacing w:after="0"/>
              <w:rPr>
                <w:sz w:val="23"/>
                <w:szCs w:val="23"/>
                <w:color w:val="auto"/>
              </w:rPr>
            </w:pPr>
          </w:p>
        </w:tc>
        <w:tc>
          <w:tcPr>
            <w:tcW w:w="84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80" w:type="dxa"/>
            <w:vAlign w:val="bottom"/>
          </w:tcPr>
          <w:p>
            <w:pPr>
              <w:spacing w:after="0"/>
              <w:rPr>
                <w:sz w:val="17"/>
                <w:szCs w:val="17"/>
                <w:color w:val="auto"/>
              </w:rPr>
            </w:pPr>
          </w:p>
        </w:tc>
      </w:tr>
      <w:tr>
        <w:trPr>
          <w:trHeight w:val="993"/>
        </w:trPr>
        <w:tc>
          <w:tcPr>
            <w:tcW w:w="1280" w:type="dxa"/>
            <w:vAlign w:val="bottom"/>
            <w:tcBorders>
              <w:top w:val="single" w:sz="8" w:color="0000FF"/>
            </w:tcBorders>
          </w:tcPr>
          <w:p>
            <w:pPr>
              <w:ind w:left="360"/>
              <w:spacing w:after="0"/>
              <w:rPr>
                <w:sz w:val="20"/>
                <w:szCs w:val="20"/>
                <w:color w:val="auto"/>
              </w:rPr>
            </w:pPr>
            <w:r>
              <w:rPr>
                <w:rFonts w:ascii="Times New Roman" w:cs="Times New Roman" w:eastAsia="Times New Roman" w:hAnsi="Times New Roman"/>
                <w:sz w:val="18"/>
                <w:szCs w:val="18"/>
                <w:color w:val="auto"/>
              </w:rPr>
              <w:t>Double E</w:t>
            </w:r>
          </w:p>
        </w:tc>
        <w:tc>
          <w:tcPr>
            <w:tcW w:w="1480" w:type="dxa"/>
            <w:vAlign w:val="bottom"/>
          </w:tcPr>
          <w:p>
            <w:pPr>
              <w:spacing w:after="0"/>
              <w:rPr>
                <w:sz w:val="24"/>
                <w:szCs w:val="24"/>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Double E Pipeline, LLC</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25"/>
        </w:trPr>
        <w:tc>
          <w:tcPr>
            <w:tcW w:w="2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Double E Pipeline</w:t>
            </w: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 135 mile, 1.6 Bcf/d, FERC-regulated interstate natural gas transmission pipeline that provides transportation</w:t>
            </w:r>
          </w:p>
        </w:tc>
      </w:tr>
      <w:tr>
        <w:trPr>
          <w:trHeight w:val="216"/>
        </w:trPr>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from multiple receipt points in the Delaware Basin to various delivery points in and around the Waha hub</w:t>
            </w:r>
          </w:p>
        </w:tc>
      </w:tr>
      <w:tr>
        <w:trPr>
          <w:trHeight w:val="241"/>
        </w:trPr>
        <w:tc>
          <w:tcPr>
            <w:tcW w:w="1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Texas</w:t>
            </w: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EPA</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Protection Agency</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43"/>
        </w:trPr>
        <w:tc>
          <w:tcPr>
            <w:tcW w:w="2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EPS</w:t>
            </w: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or loss per share</w:t>
            </w:r>
          </w:p>
        </w:tc>
      </w:tr>
      <w:tr>
        <w:trPr>
          <w:trHeight w:val="270"/>
        </w:trPr>
        <w:tc>
          <w:tcPr>
            <w:tcW w:w="2760" w:type="dxa"/>
            <w:vAlign w:val="bottom"/>
            <w:gridSpan w:val="2"/>
            <w:shd w:val="clear" w:color="auto" w:fill="CCEEFF"/>
          </w:tcPr>
          <w:p>
            <w:pPr>
              <w:spacing w:after="0"/>
              <w:rPr>
                <w:sz w:val="23"/>
                <w:szCs w:val="23"/>
                <w:color w:val="auto"/>
              </w:rPr>
            </w:pPr>
          </w:p>
        </w:tc>
        <w:tc>
          <w:tcPr>
            <w:tcW w:w="8480" w:type="dxa"/>
            <w:vAlign w:val="bottom"/>
            <w:shd w:val="clear" w:color="auto" w:fill="CCEEFF"/>
          </w:tcPr>
          <w:p>
            <w:pPr>
              <w:spacing w:after="0"/>
              <w:rPr>
                <w:sz w:val="23"/>
                <w:szCs w:val="23"/>
                <w:color w:val="auto"/>
              </w:rPr>
            </w:pP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 Act</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FASB</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FERC</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Corp.</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Summit Midstream Finance Corp.</w:t>
            </w: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Fundare</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Fundare Resources Company, LLC</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GAAP</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hub</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geographic location of a storage facility and multiple pipeline interconnections</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25"/>
        </w:trPr>
        <w:tc>
          <w:tcPr>
            <w:tcW w:w="2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Intercreditor Agreement</w:t>
            </w: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Intercreditor Agreement, dated as of November 2, 2021, by and among Bank of America, N.A., as first lien</w:t>
            </w:r>
          </w:p>
        </w:tc>
      </w:tr>
      <w:tr>
        <w:trPr>
          <w:trHeight w:val="216"/>
        </w:trPr>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representative and collateral agent for the initial first lien claimholders, Regions Bank, as second lien</w:t>
            </w:r>
          </w:p>
        </w:tc>
      </w:tr>
      <w:tr>
        <w:trPr>
          <w:trHeight w:val="216"/>
        </w:trPr>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representative for the initial second lien claimholders and as collateral agent for the initial second lien</w:t>
            </w:r>
          </w:p>
        </w:tc>
      </w:tr>
      <w:tr>
        <w:trPr>
          <w:trHeight w:val="216"/>
        </w:trPr>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claimholders, acknowledged and agreed to by Summit Holdings and the other grantors referred to therein as</w:t>
            </w:r>
          </w:p>
        </w:tc>
      </w:tr>
      <w:tr>
        <w:trPr>
          <w:trHeight w:val="216"/>
        </w:trPr>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reaffirmed and modified by</w:t>
            </w:r>
          </w:p>
        </w:tc>
      </w:tr>
      <w:tr>
        <w:trPr>
          <w:trHeight w:val="234"/>
        </w:trPr>
        <w:tc>
          <w:tcPr>
            <w:tcW w:w="1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Notice of Reaffirmation</w:t>
            </w:r>
          </w:p>
        </w:tc>
      </w:tr>
      <w:tr>
        <w:trPr>
          <w:trHeight w:val="270"/>
        </w:trPr>
        <w:tc>
          <w:tcPr>
            <w:tcW w:w="2760" w:type="dxa"/>
            <w:vAlign w:val="bottom"/>
            <w:gridSpan w:val="2"/>
            <w:shd w:val="clear" w:color="auto" w:fill="CCEEFF"/>
          </w:tcPr>
          <w:p>
            <w:pPr>
              <w:spacing w:after="0"/>
              <w:rPr>
                <w:sz w:val="23"/>
                <w:szCs w:val="23"/>
                <w:color w:val="auto"/>
              </w:rPr>
            </w:pPr>
          </w:p>
        </w:tc>
        <w:tc>
          <w:tcPr>
            <w:tcW w:w="8480" w:type="dxa"/>
            <w:vAlign w:val="bottom"/>
            <w:shd w:val="clear" w:color="auto" w:fill="CCEEFF"/>
          </w:tcPr>
          <w:p>
            <w:pPr>
              <w:spacing w:after="0"/>
              <w:rPr>
                <w:sz w:val="23"/>
                <w:szCs w:val="23"/>
                <w:color w:val="auto"/>
              </w:rPr>
            </w:pPr>
          </w:p>
        </w:tc>
      </w:tr>
      <w:tr>
        <w:trPr>
          <w:trHeight w:val="225"/>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Legacy Permian Transmission</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credit facilities governed by the Credit Agreement, dated as of March 8, 2021, among</w:t>
            </w:r>
          </w:p>
        </w:tc>
      </w:tr>
      <w:tr>
        <w:trPr>
          <w:trHeight w:val="216"/>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Facilities</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Summit Permian Transmission, as borrower, MUFG Bank Ltd., as administrative agent,</w:t>
            </w:r>
          </w:p>
        </w:tc>
      </w:tr>
      <w:tr>
        <w:trPr>
          <w:trHeight w:val="216"/>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Mizuho Bank (USA), as collateral agent, ING Capital LLC, Mizuho Bank, Ltd. and MUFG</w:t>
            </w:r>
          </w:p>
        </w:tc>
      </w:tr>
      <w:tr>
        <w:trPr>
          <w:trHeight w:val="216"/>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Union Bank, N.A., as L/C issuers, coordinating lead arrangers and joint bookrunners, and</w:t>
            </w:r>
          </w:p>
        </w:tc>
      </w:tr>
      <w:tr>
        <w:trPr>
          <w:trHeight w:val="216"/>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lenders from time to time party thereto. This facility was paid off in full on March 16,</w:t>
            </w:r>
          </w:p>
        </w:tc>
      </w:tr>
      <w:tr>
        <w:trPr>
          <w:trHeight w:val="234"/>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by the New Permian Transmission Facility.</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Mbbl/d</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one thousand barrels per day</w:t>
            </w: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Meadowlark Midstream</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Meadowlark Midstream Company, LLC</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MMBTU</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metric million British thermal units</w:t>
            </w:r>
          </w:p>
        </w:tc>
      </w:tr>
      <w:tr>
        <w:trPr>
          <w:trHeight w:val="243"/>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MMcf/d</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one million cubic feet per day</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Moonrise</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Moonrise Midstream, LLC</w:t>
            </w:r>
          </w:p>
        </w:tc>
      </w:tr>
      <w:tr>
        <w:trPr>
          <w:trHeight w:val="225"/>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Moonrise Acquisition</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acquisition of Moonrise from Fundare for approximately $90.0 million,</w:t>
            </w:r>
          </w:p>
        </w:tc>
      </w:tr>
      <w:tr>
        <w:trPr>
          <w:trHeight w:val="216"/>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consisting of (i) a $70.0 million cash payment and (ii) the issuance of 462,265 shares of</w:t>
            </w:r>
          </w:p>
        </w:tc>
      </w:tr>
      <w:tr>
        <w:trPr>
          <w:trHeight w:val="234"/>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of the Company</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MVC</w:t>
            </w:r>
          </w:p>
        </w:tc>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minimum volume commitment</w:t>
            </w:r>
          </w:p>
        </w:tc>
      </w:tr>
      <w:tr>
        <w:trPr>
          <w:trHeight w:val="905"/>
        </w:trPr>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1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0" w:right="1640" w:hanging="2645"/>
        <w:spacing w:after="0" w:line="293" w:lineRule="auto"/>
        <w:rPr>
          <w:sz w:val="20"/>
          <w:szCs w:val="20"/>
          <w:color w:val="auto"/>
        </w:rPr>
      </w:pPr>
      <w:r>
        <w:rPr>
          <w:rFonts w:ascii="Times New Roman" w:cs="Times New Roman" w:eastAsia="Times New Roman" w:hAnsi="Times New Roman"/>
          <w:sz w:val="17"/>
          <w:szCs w:val="17"/>
          <w:color w:val="auto"/>
        </w:rPr>
        <w:t>New Permian Transmission Facility the March 16, 2026, $440.0 million refinancing of the Legacy Permian Transmission Credit Facilities and the Permian Term Loan Facility, in the form of a new term loan facility</w:t>
      </w:r>
    </w:p>
    <w:tbl>
      <w:tblPr>
        <w:tblLayout w:type="fixed"/>
        <w:tblInd w:w="0" w:type="dxa"/>
        <w:tblCellMar>
          <w:top w:w="0" w:type="dxa"/>
          <w:left w:w="0" w:type="dxa"/>
          <w:bottom w:w="0" w:type="dxa"/>
          <w:right w:w="0" w:type="dxa"/>
        </w:tblCellMar>
      </w:tblPr>
      <w:tr>
        <w:trPr>
          <w:trHeight w:val="225"/>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natural gas liquids; the combination of ethane, propane, normal butane, iso-butane, and natural gasolines that</w:t>
            </w:r>
          </w:p>
        </w:tc>
      </w:tr>
      <w:tr>
        <w:trPr>
          <w:trHeight w:val="216"/>
        </w:trPr>
        <w:tc>
          <w:tcPr>
            <w:tcW w:w="2940" w:type="dxa"/>
            <w:vAlign w:val="bottom"/>
            <w:shd w:val="clear" w:color="auto" w:fill="CCEEFF"/>
          </w:tcPr>
          <w:p>
            <w:pPr>
              <w:spacing w:after="0"/>
              <w:rPr>
                <w:sz w:val="18"/>
                <w:szCs w:val="18"/>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when removed from unprocessed natural gas streams become liquid under various levels of higher pressure and</w:t>
            </w:r>
          </w:p>
        </w:tc>
      </w:tr>
      <w:tr>
        <w:trPr>
          <w:trHeight w:val="241"/>
        </w:trPr>
        <w:tc>
          <w:tcPr>
            <w:tcW w:w="29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lower temperature</w:t>
            </w:r>
          </w:p>
        </w:tc>
      </w:tr>
      <w:tr>
        <w:trPr>
          <w:trHeight w:val="225"/>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Reaffirmation</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and Reaffirmation of Intercreditor Agreement, dated as of July 26, 2024, by and</w:t>
            </w:r>
          </w:p>
        </w:tc>
      </w:tr>
      <w:tr>
        <w:trPr>
          <w:trHeight w:val="216"/>
        </w:trPr>
        <w:tc>
          <w:tcPr>
            <w:tcW w:w="2940" w:type="dxa"/>
            <w:vAlign w:val="bottom"/>
          </w:tcPr>
          <w:p>
            <w:pPr>
              <w:spacing w:after="0"/>
              <w:rPr>
                <w:sz w:val="18"/>
                <w:szCs w:val="18"/>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among Bank of America, N.A., as first lien representative and collateral agent for the initial</w:t>
            </w:r>
          </w:p>
        </w:tc>
      </w:tr>
      <w:tr>
        <w:trPr>
          <w:trHeight w:val="216"/>
        </w:trPr>
        <w:tc>
          <w:tcPr>
            <w:tcW w:w="2940" w:type="dxa"/>
            <w:vAlign w:val="bottom"/>
          </w:tcPr>
          <w:p>
            <w:pPr>
              <w:spacing w:after="0"/>
              <w:rPr>
                <w:sz w:val="18"/>
                <w:szCs w:val="18"/>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lien claimholders, Regions Bank, as second lien representative and collateral agent for</w:t>
            </w:r>
          </w:p>
        </w:tc>
      </w:tr>
      <w:tr>
        <w:trPr>
          <w:trHeight w:val="216"/>
        </w:trPr>
        <w:tc>
          <w:tcPr>
            <w:tcW w:w="2940" w:type="dxa"/>
            <w:vAlign w:val="bottom"/>
          </w:tcPr>
          <w:p>
            <w:pPr>
              <w:spacing w:after="0"/>
              <w:rPr>
                <w:sz w:val="18"/>
                <w:szCs w:val="18"/>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initial second lien claimholders, acknowledged and agreed to by Summit Holdings and</w:t>
            </w:r>
          </w:p>
        </w:tc>
      </w:tr>
      <w:tr>
        <w:trPr>
          <w:trHeight w:val="234"/>
        </w:trPr>
        <w:tc>
          <w:tcPr>
            <w:tcW w:w="294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other grantors referred to therein</w:t>
            </w:r>
          </w:p>
        </w:tc>
      </w:tr>
      <w:tr>
        <w:trPr>
          <w:trHeight w:val="270"/>
        </w:trPr>
        <w:tc>
          <w:tcPr>
            <w:tcW w:w="2940" w:type="dxa"/>
            <w:vAlign w:val="bottom"/>
          </w:tcPr>
          <w:p>
            <w:pPr>
              <w:spacing w:after="0"/>
              <w:rPr>
                <w:sz w:val="23"/>
                <w:szCs w:val="23"/>
                <w:color w:val="auto"/>
              </w:rPr>
            </w:pPr>
          </w:p>
        </w:tc>
        <w:tc>
          <w:tcPr>
            <w:tcW w:w="8300" w:type="dxa"/>
            <w:vAlign w:val="bottom"/>
          </w:tcPr>
          <w:p>
            <w:pPr>
              <w:spacing w:after="0"/>
              <w:rPr>
                <w:sz w:val="23"/>
                <w:szCs w:val="23"/>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NYSE</w:t>
            </w:r>
          </w:p>
        </w:tc>
        <w:tc>
          <w:tcPr>
            <w:tcW w:w="8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Partnership Common Units</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units representing limited partner interests of SMLP</w:t>
            </w:r>
          </w:p>
        </w:tc>
      </w:tr>
      <w:tr>
        <w:trPr>
          <w:trHeight w:val="270"/>
        </w:trPr>
        <w:tc>
          <w:tcPr>
            <w:tcW w:w="2940" w:type="dxa"/>
            <w:vAlign w:val="bottom"/>
          </w:tcPr>
          <w:p>
            <w:pPr>
              <w:spacing w:after="0"/>
              <w:rPr>
                <w:sz w:val="23"/>
                <w:szCs w:val="23"/>
                <w:color w:val="auto"/>
              </w:rPr>
            </w:pPr>
          </w:p>
        </w:tc>
        <w:tc>
          <w:tcPr>
            <w:tcW w:w="8300" w:type="dxa"/>
            <w:vAlign w:val="bottom"/>
          </w:tcPr>
          <w:p>
            <w:pPr>
              <w:spacing w:after="0"/>
              <w:rPr>
                <w:sz w:val="23"/>
                <w:szCs w:val="23"/>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play</w:t>
            </w:r>
          </w:p>
        </w:tc>
        <w:tc>
          <w:tcPr>
            <w:tcW w:w="8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 proven geological formation that contains commercial amounts of hydrocarbons</w:t>
            </w: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Permian Holdco</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Summit Permian Transmission Holdco, LLC</w:t>
            </w:r>
          </w:p>
        </w:tc>
      </w:tr>
      <w:tr>
        <w:trPr>
          <w:trHeight w:val="27"/>
        </w:trPr>
        <w:tc>
          <w:tcPr>
            <w:tcW w:w="294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25"/>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Permian Term Loan Facility</w:t>
            </w: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term loan governed by the Credit Agreement, dated as of March 8, 2021, among Summit Permian</w:t>
            </w:r>
          </w:p>
        </w:tc>
      </w:tr>
      <w:tr>
        <w:trPr>
          <w:trHeight w:val="216"/>
        </w:trPr>
        <w:tc>
          <w:tcPr>
            <w:tcW w:w="2940" w:type="dxa"/>
            <w:vAlign w:val="bottom"/>
            <w:shd w:val="clear" w:color="auto" w:fill="CCEEFF"/>
          </w:tcPr>
          <w:p>
            <w:pPr>
              <w:spacing w:after="0"/>
              <w:rPr>
                <w:sz w:val="18"/>
                <w:szCs w:val="18"/>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Transmission, LLC, as borrower, MUFG Bank Ltd., as administrative agent, Mizuho Bank (USA), as collateral</w:t>
            </w:r>
          </w:p>
        </w:tc>
      </w:tr>
      <w:tr>
        <w:trPr>
          <w:trHeight w:val="216"/>
        </w:trPr>
        <w:tc>
          <w:tcPr>
            <w:tcW w:w="2940" w:type="dxa"/>
            <w:vAlign w:val="bottom"/>
            <w:shd w:val="clear" w:color="auto" w:fill="CCEEFF"/>
          </w:tcPr>
          <w:p>
            <w:pPr>
              <w:spacing w:after="0"/>
              <w:rPr>
                <w:sz w:val="18"/>
                <w:szCs w:val="18"/>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agent, ING Capital LLC, Mizuho Bank, Ltd. and MUFG Union Bank, N.A., as L/C issuers, coordinating lead</w:t>
            </w:r>
          </w:p>
        </w:tc>
      </w:tr>
      <w:tr>
        <w:trPr>
          <w:trHeight w:val="234"/>
        </w:trPr>
        <w:tc>
          <w:tcPr>
            <w:tcW w:w="2940" w:type="dxa"/>
            <w:vAlign w:val="bottom"/>
            <w:shd w:val="clear" w:color="auto" w:fill="CCEEFF"/>
          </w:tcPr>
          <w:p>
            <w:pPr>
              <w:spacing w:after="0"/>
              <w:rPr>
                <w:sz w:val="20"/>
                <w:szCs w:val="20"/>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arrangers and joint bookrunners, and the lenders from time to time party thereto</w:t>
            </w:r>
          </w:p>
        </w:tc>
      </w:tr>
      <w:tr>
        <w:trPr>
          <w:trHeight w:val="270"/>
        </w:trPr>
        <w:tc>
          <w:tcPr>
            <w:tcW w:w="2940" w:type="dxa"/>
            <w:vAlign w:val="bottom"/>
            <w:shd w:val="clear" w:color="auto" w:fill="CCEEFF"/>
          </w:tcPr>
          <w:p>
            <w:pPr>
              <w:spacing w:after="0"/>
              <w:rPr>
                <w:sz w:val="23"/>
                <w:szCs w:val="23"/>
                <w:color w:val="auto"/>
              </w:rPr>
            </w:pPr>
          </w:p>
        </w:tc>
        <w:tc>
          <w:tcPr>
            <w:tcW w:w="8300" w:type="dxa"/>
            <w:vAlign w:val="bottom"/>
            <w:shd w:val="clear" w:color="auto" w:fill="CCEEFF"/>
          </w:tcPr>
          <w:p>
            <w:pPr>
              <w:spacing w:after="0"/>
              <w:rPr>
                <w:sz w:val="23"/>
                <w:szCs w:val="23"/>
                <w:color w:val="auto"/>
              </w:rPr>
            </w:pP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produced water</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water from underground geologic formations that is a by-product of natural gas and crude oil production</w:t>
            </w:r>
          </w:p>
        </w:tc>
      </w:tr>
      <w:tr>
        <w:trPr>
          <w:trHeight w:val="27"/>
        </w:trPr>
        <w:tc>
          <w:tcPr>
            <w:tcW w:w="294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43"/>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w:t>
            </w: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70"/>
        </w:trPr>
        <w:tc>
          <w:tcPr>
            <w:tcW w:w="2940" w:type="dxa"/>
            <w:vAlign w:val="bottom"/>
            <w:shd w:val="clear" w:color="auto" w:fill="CCEEFF"/>
          </w:tcPr>
          <w:p>
            <w:pPr>
              <w:spacing w:after="0"/>
              <w:rPr>
                <w:sz w:val="23"/>
                <w:szCs w:val="23"/>
                <w:color w:val="auto"/>
              </w:rPr>
            </w:pPr>
          </w:p>
        </w:tc>
        <w:tc>
          <w:tcPr>
            <w:tcW w:w="8300" w:type="dxa"/>
            <w:vAlign w:val="bottom"/>
            <w:shd w:val="clear" w:color="auto" w:fill="CCEEFF"/>
          </w:tcPr>
          <w:p>
            <w:pPr>
              <w:spacing w:after="0"/>
              <w:rPr>
                <w:sz w:val="23"/>
                <w:szCs w:val="23"/>
                <w:color w:val="auto"/>
              </w:rPr>
            </w:pP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Act</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7"/>
        </w:trPr>
        <w:tc>
          <w:tcPr>
            <w:tcW w:w="294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25"/>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revenues less total costs and expenses; plus (i) other income excluding interest income, (ii) our proportional</w:t>
            </w:r>
          </w:p>
        </w:tc>
      </w:tr>
      <w:tr>
        <w:trPr>
          <w:trHeight w:val="216"/>
        </w:trPr>
        <w:tc>
          <w:tcPr>
            <w:tcW w:w="2940" w:type="dxa"/>
            <w:vAlign w:val="bottom"/>
            <w:shd w:val="clear" w:color="auto" w:fill="CCEEFF"/>
          </w:tcPr>
          <w:p>
            <w:pPr>
              <w:spacing w:after="0"/>
              <w:rPr>
                <w:sz w:val="18"/>
                <w:szCs w:val="18"/>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adjusted EBITDA for equity method investees, (iii) depreciation and amortization, (iv) adjustments related to</w:t>
            </w:r>
          </w:p>
        </w:tc>
      </w:tr>
      <w:tr>
        <w:trPr>
          <w:trHeight w:val="216"/>
        </w:trPr>
        <w:tc>
          <w:tcPr>
            <w:tcW w:w="2940" w:type="dxa"/>
            <w:vAlign w:val="bottom"/>
            <w:shd w:val="clear" w:color="auto" w:fill="CCEEFF"/>
          </w:tcPr>
          <w:p>
            <w:pPr>
              <w:spacing w:after="0"/>
              <w:rPr>
                <w:sz w:val="18"/>
                <w:szCs w:val="18"/>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MVC shortfall payments, (v) adjustments related to capital reimbursement activity, (vi) stock-based and noncash</w:t>
            </w:r>
          </w:p>
        </w:tc>
      </w:tr>
      <w:tr>
        <w:trPr>
          <w:trHeight w:val="234"/>
        </w:trPr>
        <w:tc>
          <w:tcPr>
            <w:tcW w:w="2940" w:type="dxa"/>
            <w:vAlign w:val="bottom"/>
            <w:shd w:val="clear" w:color="auto" w:fill="CCEEFF"/>
          </w:tcPr>
          <w:p>
            <w:pPr>
              <w:spacing w:after="0"/>
              <w:rPr>
                <w:sz w:val="20"/>
                <w:szCs w:val="20"/>
                <w:color w:val="auto"/>
              </w:rPr>
            </w:pP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(vii) impairments and (viii) other noncash expenses or losses, less other noncash income or gains</w:t>
            </w:r>
          </w:p>
        </w:tc>
      </w:tr>
      <w:tr>
        <w:trPr>
          <w:trHeight w:val="270"/>
        </w:trPr>
        <w:tc>
          <w:tcPr>
            <w:tcW w:w="2940" w:type="dxa"/>
            <w:vAlign w:val="bottom"/>
            <w:shd w:val="clear" w:color="auto" w:fill="CCEEFF"/>
          </w:tcPr>
          <w:p>
            <w:pPr>
              <w:spacing w:after="0"/>
              <w:rPr>
                <w:sz w:val="23"/>
                <w:szCs w:val="23"/>
                <w:color w:val="auto"/>
              </w:rPr>
            </w:pPr>
          </w:p>
        </w:tc>
        <w:tc>
          <w:tcPr>
            <w:tcW w:w="8300" w:type="dxa"/>
            <w:vAlign w:val="bottom"/>
            <w:shd w:val="clear" w:color="auto" w:fill="CCEEFF"/>
          </w:tcPr>
          <w:p>
            <w:pPr>
              <w:spacing w:after="0"/>
              <w:rPr>
                <w:sz w:val="23"/>
                <w:szCs w:val="23"/>
                <w:color w:val="auto"/>
              </w:rPr>
            </w:pPr>
          </w:p>
        </w:tc>
      </w:tr>
      <w:tr>
        <w:trPr>
          <w:trHeight w:val="225"/>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Certificate of Designation</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Certificate of Designation of Series A Floating Rate Cumulative Redeemable</w:t>
            </w:r>
          </w:p>
        </w:tc>
      </w:tr>
      <w:tr>
        <w:trPr>
          <w:trHeight w:val="234"/>
        </w:trPr>
        <w:tc>
          <w:tcPr>
            <w:tcW w:w="294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Perpetual Preferred Stock of the Company</w:t>
            </w:r>
          </w:p>
        </w:tc>
      </w:tr>
      <w:tr>
        <w:trPr>
          <w:trHeight w:val="270"/>
        </w:trPr>
        <w:tc>
          <w:tcPr>
            <w:tcW w:w="2940" w:type="dxa"/>
            <w:vAlign w:val="bottom"/>
          </w:tcPr>
          <w:p>
            <w:pPr>
              <w:spacing w:after="0"/>
              <w:rPr>
                <w:sz w:val="23"/>
                <w:szCs w:val="23"/>
                <w:color w:val="auto"/>
              </w:rPr>
            </w:pPr>
          </w:p>
        </w:tc>
        <w:tc>
          <w:tcPr>
            <w:tcW w:w="8300" w:type="dxa"/>
            <w:vAlign w:val="bottom"/>
          </w:tcPr>
          <w:p>
            <w:pPr>
              <w:spacing w:after="0"/>
              <w:rPr>
                <w:sz w:val="23"/>
                <w:szCs w:val="23"/>
                <w:color w:val="auto"/>
              </w:rPr>
            </w:pPr>
          </w:p>
        </w:tc>
      </w:tr>
      <w:tr>
        <w:trPr>
          <w:trHeight w:val="225"/>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A Preferred Stock</w:t>
            </w: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Series A Fixed-to-Floating Rate Cumulative Redeemable Perpetual Preferred Stock issued</w:t>
            </w:r>
          </w:p>
        </w:tc>
      </w:tr>
      <w:tr>
        <w:trPr>
          <w:trHeight w:val="241"/>
        </w:trPr>
        <w:tc>
          <w:tcPr>
            <w:tcW w:w="29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Preferred Units</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A Fixed-to-Floating Rate Cumulative Redeemable Perpetual Preferred Units issued by SMLP</w:t>
            </w:r>
          </w:p>
        </w:tc>
      </w:tr>
      <w:tr>
        <w:trPr>
          <w:trHeight w:val="27"/>
        </w:trPr>
        <w:tc>
          <w:tcPr>
            <w:tcW w:w="294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25"/>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shortfall payment</w:t>
            </w:r>
          </w:p>
        </w:tc>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payment received from a counterparty when its volume throughput does not meet its MVC for the applicable</w:t>
            </w:r>
          </w:p>
        </w:tc>
      </w:tr>
      <w:tr>
        <w:trPr>
          <w:trHeight w:val="241"/>
        </w:trPr>
        <w:tc>
          <w:tcPr>
            <w:tcW w:w="29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period</w:t>
            </w: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SMC LTIP</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Summit Midstream Corporation 2024 Long-Term Incentive Plan</w:t>
            </w:r>
          </w:p>
        </w:tc>
      </w:tr>
      <w:tr>
        <w:trPr>
          <w:trHeight w:val="932"/>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94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SMLP</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Summit Midstream Partners, LP</w:t>
            </w:r>
          </w:p>
        </w:tc>
      </w:tr>
      <w:tr>
        <w:trPr>
          <w:trHeight w:val="243"/>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SMLP LTIP</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SMLP 2022 Long-Term Incentive Plan</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3"/>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SOFR</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70"/>
        </w:trPr>
        <w:tc>
          <w:tcPr>
            <w:tcW w:w="11240" w:type="dxa"/>
            <w:vAlign w:val="bottom"/>
            <w:gridSpan w:val="2"/>
            <w:shd w:val="clear" w:color="auto" w:fill="CCEEFF"/>
          </w:tcPr>
          <w:p>
            <w:pPr>
              <w:spacing w:after="0"/>
              <w:rPr>
                <w:sz w:val="23"/>
                <w:szCs w:val="23"/>
                <w:color w:val="auto"/>
              </w:rPr>
            </w:pPr>
          </w:p>
        </w:tc>
      </w:tr>
      <w:tr>
        <w:trPr>
          <w:trHeight w:val="243"/>
        </w:trPr>
        <w:tc>
          <w:tcPr>
            <w:tcW w:w="11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Subsidiary Series A Preferred Units Series A Fixed Rate Cumulative Redeemable Preferred Units issued by Permian Holdco</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Summit Holdings</w:t>
            </w:r>
          </w:p>
        </w:tc>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Summit Midstream Holdings, LLC</w:t>
            </w:r>
          </w:p>
        </w:tc>
      </w:tr>
      <w:tr>
        <w:trPr>
          <w:trHeight w:val="243"/>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Summit Investments</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Summit Midstream Partners, LLC</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Summit Permian Transmission</w:t>
            </w:r>
          </w:p>
        </w:tc>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Summit Permian Transmission, LLC</w:t>
            </w:r>
          </w:p>
        </w:tc>
      </w:tr>
      <w:tr>
        <w:trPr>
          <w:trHeight w:val="243"/>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Summit Utica</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Summit Midstream Utica, LLC</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3"/>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Tall Oak Acquisition</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consummation of the transaction contemplated by the Tall Oak Business Contribution Agreement</w:t>
            </w:r>
          </w:p>
        </w:tc>
      </w:tr>
      <w:tr>
        <w:trPr>
          <w:trHeight w:val="270"/>
        </w:trPr>
        <w:tc>
          <w:tcPr>
            <w:tcW w:w="2780" w:type="dxa"/>
            <w:vAlign w:val="bottom"/>
            <w:shd w:val="clear" w:color="auto" w:fill="CCEEFF"/>
          </w:tcPr>
          <w:p>
            <w:pPr>
              <w:spacing w:after="0"/>
              <w:rPr>
                <w:sz w:val="23"/>
                <w:szCs w:val="23"/>
                <w:color w:val="auto"/>
              </w:rPr>
            </w:pPr>
          </w:p>
        </w:tc>
        <w:tc>
          <w:tcPr>
            <w:tcW w:w="8460" w:type="dxa"/>
            <w:vAlign w:val="bottom"/>
            <w:shd w:val="clear" w:color="auto" w:fill="CCEEFF"/>
          </w:tcPr>
          <w:p>
            <w:pPr>
              <w:spacing w:after="0"/>
              <w:rPr>
                <w:sz w:val="23"/>
                <w:szCs w:val="23"/>
                <w:color w:val="auto"/>
              </w:rPr>
            </w:pPr>
          </w:p>
        </w:tc>
      </w:tr>
      <w:tr>
        <w:trPr>
          <w:trHeight w:val="243"/>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Tall Oak Parent</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Tall Oak Midstream Holdings, LLC</w:t>
            </w:r>
          </w:p>
        </w:tc>
      </w:tr>
      <w:tr>
        <w:trPr>
          <w:trHeight w:val="270"/>
        </w:trPr>
        <w:tc>
          <w:tcPr>
            <w:tcW w:w="2780" w:type="dxa"/>
            <w:vAlign w:val="bottom"/>
          </w:tcPr>
          <w:p>
            <w:pPr>
              <w:spacing w:after="0"/>
              <w:rPr>
                <w:sz w:val="23"/>
                <w:szCs w:val="23"/>
                <w:color w:val="auto"/>
              </w:rPr>
            </w:pPr>
          </w:p>
        </w:tc>
        <w:tc>
          <w:tcPr>
            <w:tcW w:w="8460" w:type="dxa"/>
            <w:vAlign w:val="bottom"/>
          </w:tcPr>
          <w:p>
            <w:pPr>
              <w:spacing w:after="0"/>
              <w:rPr>
                <w:sz w:val="23"/>
                <w:szCs w:val="23"/>
                <w:color w:val="auto"/>
              </w:rPr>
            </w:pPr>
          </w:p>
        </w:tc>
      </w:tr>
      <w:tr>
        <w:trPr>
          <w:trHeight w:val="243"/>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Company</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Summit Midstream Corporation and its subsidiaries</w:t>
            </w:r>
          </w:p>
        </w:tc>
      </w:tr>
      <w:tr>
        <w:trPr>
          <w:trHeight w:val="270"/>
        </w:trPr>
        <w:tc>
          <w:tcPr>
            <w:tcW w:w="2780" w:type="dxa"/>
            <w:vAlign w:val="bottom"/>
            <w:shd w:val="clear" w:color="auto" w:fill="CCEEFF"/>
          </w:tcPr>
          <w:p>
            <w:pPr>
              <w:spacing w:after="0"/>
              <w:rPr>
                <w:sz w:val="23"/>
                <w:szCs w:val="23"/>
                <w:color w:val="auto"/>
              </w:rPr>
            </w:pPr>
          </w:p>
        </w:tc>
        <w:tc>
          <w:tcPr>
            <w:tcW w:w="8460" w:type="dxa"/>
            <w:vAlign w:val="bottom"/>
            <w:shd w:val="clear" w:color="auto" w:fill="CCEEFF"/>
          </w:tcPr>
          <w:p>
            <w:pPr>
              <w:spacing w:after="0"/>
              <w:rPr>
                <w:sz w:val="23"/>
                <w:szCs w:val="23"/>
                <w:color w:val="auto"/>
              </w:rPr>
            </w:pPr>
          </w:p>
        </w:tc>
      </w:tr>
      <w:tr>
        <w:trPr>
          <w:trHeight w:val="225"/>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throughput volume</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volume of natural gas, crude oil or produced water gathered, transported or passing through a pipeline, plant,</w:t>
            </w:r>
          </w:p>
        </w:tc>
      </w:tr>
      <w:tr>
        <w:trPr>
          <w:trHeight w:val="234"/>
        </w:trPr>
        <w:tc>
          <w:tcPr>
            <w:tcW w:w="2780" w:type="dxa"/>
            <w:vAlign w:val="bottom"/>
          </w:tcPr>
          <w:p>
            <w:pPr>
              <w:spacing w:after="0"/>
              <w:rPr>
                <w:sz w:val="20"/>
                <w:szCs w:val="20"/>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other facility during a particular period; also referred to as volume throughput</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5"/>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unconventional resource basin</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 basin where natural gas or crude oil production is developed from unconventional sources that require hydraulic</w:t>
            </w:r>
          </w:p>
        </w:tc>
      </w:tr>
      <w:tr>
        <w:trPr>
          <w:trHeight w:val="216"/>
        </w:trPr>
        <w:tc>
          <w:tcPr>
            <w:tcW w:w="2780" w:type="dxa"/>
            <w:vAlign w:val="bottom"/>
            <w:shd w:val="clear" w:color="auto" w:fill="CCEEFF"/>
          </w:tcPr>
          <w:p>
            <w:pPr>
              <w:spacing w:after="0"/>
              <w:rPr>
                <w:sz w:val="18"/>
                <w:szCs w:val="18"/>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fracturing as part of the completion process, for instance, natural gas produced from shale formations and</w:t>
            </w:r>
          </w:p>
        </w:tc>
      </w:tr>
      <w:tr>
        <w:trPr>
          <w:trHeight w:val="241"/>
        </w:trPr>
        <w:tc>
          <w:tcPr>
            <w:tcW w:w="278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coalbeds; also referred to as an unconventional resource play</w:t>
            </w:r>
          </w:p>
        </w:tc>
      </w:tr>
      <w:tr>
        <w:trPr>
          <w:trHeight w:val="243"/>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5"/>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Utica Sale</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sale of Summit Utica to a subsidiary of MPLX LP for a cash sale price of $625.0 million,</w:t>
            </w:r>
          </w:p>
        </w:tc>
      </w:tr>
      <w:tr>
        <w:trPr>
          <w:trHeight w:val="234"/>
        </w:trPr>
        <w:tc>
          <w:tcPr>
            <w:tcW w:w="2780" w:type="dxa"/>
            <w:vAlign w:val="bottom"/>
            <w:shd w:val="clear" w:color="auto" w:fill="CCEEFF"/>
          </w:tcPr>
          <w:p>
            <w:pPr>
              <w:spacing w:after="0"/>
              <w:rPr>
                <w:sz w:val="20"/>
                <w:szCs w:val="20"/>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subject to customary post-closing adjustments</w:t>
            </w:r>
          </w:p>
        </w:tc>
      </w:tr>
      <w:tr>
        <w:trPr>
          <w:trHeight w:val="270"/>
        </w:trPr>
        <w:tc>
          <w:tcPr>
            <w:tcW w:w="2780" w:type="dxa"/>
            <w:vAlign w:val="bottom"/>
            <w:shd w:val="clear" w:color="auto" w:fill="CCEEFF"/>
          </w:tcPr>
          <w:p>
            <w:pPr>
              <w:spacing w:after="0"/>
              <w:rPr>
                <w:sz w:val="23"/>
                <w:szCs w:val="23"/>
                <w:color w:val="auto"/>
              </w:rPr>
            </w:pPr>
          </w:p>
        </w:tc>
        <w:tc>
          <w:tcPr>
            <w:tcW w:w="8460" w:type="dxa"/>
            <w:vAlign w:val="bottom"/>
            <w:shd w:val="clear" w:color="auto" w:fill="CCEEFF"/>
          </w:tcPr>
          <w:p>
            <w:pPr>
              <w:spacing w:after="0"/>
              <w:rPr>
                <w:sz w:val="23"/>
                <w:szCs w:val="23"/>
                <w:color w:val="auto"/>
              </w:rPr>
            </w:pPr>
          </w:p>
        </w:tc>
      </w:tr>
      <w:tr>
        <w:trPr>
          <w:trHeight w:val="225"/>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wellhead</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equipment at the surface of a well, used to control the well’s pressure; also, the point at which the</w:t>
            </w:r>
          </w:p>
        </w:tc>
      </w:tr>
      <w:tr>
        <w:trPr>
          <w:trHeight w:val="234"/>
        </w:trPr>
        <w:tc>
          <w:tcPr>
            <w:tcW w:w="2780" w:type="dxa"/>
            <w:vAlign w:val="bottom"/>
          </w:tcPr>
          <w:p>
            <w:pPr>
              <w:spacing w:after="0"/>
              <w:rPr>
                <w:sz w:val="20"/>
                <w:szCs w:val="20"/>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hydrocarbons and water exit the ground</w:t>
            </w:r>
          </w:p>
        </w:tc>
      </w:tr>
      <w:tr>
        <w:trPr>
          <w:trHeight w:val="932"/>
        </w:trPr>
        <w:tc>
          <w:tcPr>
            <w:tcW w:w="27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5</w:t>
            </w:r>
          </w:p>
        </w:tc>
      </w:tr>
      <w:tr>
        <w:trPr>
          <w:trHeight w:val="115"/>
        </w:trPr>
        <w:tc>
          <w:tcPr>
            <w:tcW w:w="27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SUMMIT MIDSTREAM CORPORATION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00" w:type="dxa"/>
            <w:vAlign w:val="bottom"/>
          </w:tcPr>
          <w:p>
            <w:pPr>
              <w:spacing w:after="0"/>
              <w:rPr>
                <w:sz w:val="15"/>
                <w:szCs w:val="15"/>
                <w:color w:val="auto"/>
              </w:rPr>
            </w:pP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9"/>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(In thousands, except share amounts)</w:t>
            </w:r>
          </w:p>
        </w:tc>
      </w:tr>
      <w:tr>
        <w:trPr>
          <w:trHeight w:val="206"/>
        </w:trPr>
        <w:tc>
          <w:tcPr>
            <w:tcW w:w="8260" w:type="dxa"/>
            <w:vAlign w:val="bottom"/>
          </w:tcPr>
          <w:p>
            <w:pPr>
              <w:ind w:left="38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9,274</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10,405</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69,752</w:t>
            </w:r>
          </w:p>
        </w:tc>
      </w:t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7,490</w:t>
            </w:r>
          </w:p>
        </w:tc>
      </w:tr>
      <w:tr>
        <w:trPr>
          <w:trHeight w:val="198"/>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96,921</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1,836,358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1,844,146</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153,564</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in Double 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263,226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265,583</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25,949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27,395</w:t>
            </w:r>
          </w:p>
        </w:tc>
      </w:tr>
      <w:tr>
        <w:trPr>
          <w:trHeight w:val="198"/>
        </w:trPr>
        <w:tc>
          <w:tcPr>
            <w:tcW w:w="8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2,406,393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2,387,609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2"/>
        </w:trPr>
        <w:tc>
          <w:tcPr>
            <w:tcW w:w="8260" w:type="dxa"/>
            <w:vAlign w:val="bottom"/>
          </w:tcPr>
          <w:p>
            <w:pPr>
              <w:ind w:left="316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accounts payable</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31,652</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expenses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24,270</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10,122</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 valorem taxes payable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10,190</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 and employee benefits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12,063</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interest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30,045</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environmental remediation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settlement payable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8,333</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21,223</w:t>
            </w:r>
          </w:p>
        </w:tc>
      </w:t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27,185</w:t>
            </w:r>
          </w:p>
        </w:tc>
      </w:tr>
      <w:tr>
        <w:trPr>
          <w:trHeight w:val="198"/>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176,793</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91,389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73,635</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1,264,914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1,024,347</w:t>
            </w: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deferred revenue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18,398</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accrued environmental remediation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9,266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6,532</w:t>
            </w:r>
          </w:p>
        </w:tc>
      </w:tr>
      <w:tr>
        <w:trPr>
          <w:trHeight w:val="198"/>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1,491,401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1,299,757</w:t>
            </w:r>
          </w:p>
        </w:tc>
      </w:tr>
      <w:tr>
        <w:trPr>
          <w:trHeight w:val="316"/>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(See Note 8)</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
        </w:trPr>
        <w:tc>
          <w:tcPr>
            <w:tcW w:w="8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Mezzanine Equity</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49"/>
        </w:trPr>
        <w:tc>
          <w:tcPr>
            <w:tcW w:w="8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Subsidiary Series A Preferred Units (nil and 93,039 units issued and outstanding as of March 31, 2026 and December 31, 2025,</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respectively)</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141,296</w:t>
            </w: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A Preferred Stock (65,508 shares authorized, issued and outstanding as of March 31, 2026 and December 31, 2025)</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110,468</w:t>
            </w:r>
          </w:p>
        </w:tc>
      </w:tr>
      <w:tr>
        <w:trPr>
          <w:trHeight w:val="151"/>
        </w:trPr>
        <w:tc>
          <w:tcPr>
            <w:tcW w:w="82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Common Stock, $0.01 par value (42,000,000 shares authorized as of March 31, 2026 and December 31, 2025; 13,814,286 and</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12,262,320 shares issued and outstanding as of March 31, 2026 and December 31, 2025, respectively)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48"/>
        </w:trPr>
        <w:tc>
          <w:tcPr>
            <w:tcW w:w="82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Class B Common Stock, $0.01 par value (7,471,008 shares authorized as of March 31, 2026 and December 31, 2025; 6,524,467</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issued and outstanding as of March 31, 2026 and December 31, 2025)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739,647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638,427</w:t>
            </w:r>
          </w:p>
        </w:tc>
      </w:t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(208,197)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(202,902)</w:t>
            </w:r>
          </w:p>
        </w:tc>
      </w:tr>
      <w:tr>
        <w:trPr>
          <w:trHeight w:val="198"/>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Company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595,816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546,180</w:t>
            </w:r>
          </w:p>
        </w:tc>
      </w:t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Noncontrolling interest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319,176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400,376</w:t>
            </w:r>
          </w:p>
        </w:tc>
      </w:tr>
      <w:tr>
        <w:trPr>
          <w:trHeight w:val="196"/>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914,992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946,556</w:t>
            </w:r>
          </w:p>
        </w:tc>
      </w:tr>
      <w:tr>
        <w:trPr>
          <w:trHeight w:val="198"/>
        </w:trPr>
        <w:tc>
          <w:tcPr>
            <w:tcW w:w="82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2,406,393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2,387,609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SUMMIT MIDSTREAM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OPERATIONS</w:t>
      </w:r>
    </w:p>
    <w:p>
      <w:pPr>
        <w:spacing w:after="0" w:line="11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8600" w:type="dxa"/>
            <w:vAlign w:val="bottom"/>
          </w:tcPr>
          <w:p>
            <w:pPr>
              <w:spacing w:after="0"/>
              <w:rPr>
                <w:sz w:val="16"/>
                <w:szCs w:val="16"/>
                <w:color w:val="auto"/>
              </w:rPr>
            </w:pP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42"/>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64,165</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NGLs and condensate sales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132,697</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natural gas and NGLs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asset sales,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118,118</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Subsidiary Series A Preferred Units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Series A Preferred Stock</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Net loss attributable to noncontrolling interest in SMLP</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Summit Midstream Corporation</w:t>
            </w:r>
          </w:p>
        </w:tc>
        <w:tc>
          <w:tcPr>
            <w:tcW w:w="30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(5,295)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 basic</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 diluted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56"/>
        </w:trPr>
        <w:tc>
          <w:tcPr>
            <w:tcW w:w="8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 basic</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7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 diluted</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SUMMIT MIDSTREAM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EQUITY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21"/>
        </w:trPr>
        <w:tc>
          <w:tcPr>
            <w:tcW w:w="1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1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80" w:type="dxa"/>
            <w:vAlign w:val="bottom"/>
          </w:tcPr>
          <w:p>
            <w:pPr>
              <w:spacing w:after="0"/>
              <w:rPr>
                <w:sz w:val="11"/>
                <w:szCs w:val="11"/>
                <w:color w:val="auto"/>
              </w:rPr>
            </w:pPr>
          </w:p>
        </w:tc>
        <w:tc>
          <w:tcPr>
            <w:tcW w:w="82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Amount, at</w:t>
            </w:r>
          </w:p>
        </w:tc>
        <w:tc>
          <w:tcPr>
            <w:tcW w:w="96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 Amount,</w:t>
            </w:r>
          </w:p>
        </w:tc>
        <w:tc>
          <w:tcPr>
            <w:tcW w:w="60" w:type="dxa"/>
            <w:vAlign w:val="bottom"/>
          </w:tcPr>
          <w:p>
            <w:pPr>
              <w:spacing w:after="0"/>
              <w:rPr>
                <w:sz w:val="11"/>
                <w:szCs w:val="11"/>
                <w:color w:val="auto"/>
              </w:rPr>
            </w:pPr>
          </w:p>
        </w:tc>
        <w:tc>
          <w:tcPr>
            <w:tcW w:w="860" w:type="dxa"/>
            <w:vAlign w:val="bottom"/>
            <w:gridSpan w:val="4"/>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82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2"/>
        </w:trPr>
        <w:tc>
          <w:tcPr>
            <w:tcW w:w="1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Pr>
          <w:p>
            <w:pPr>
              <w:spacing w:after="0"/>
              <w:rPr>
                <w:sz w:val="10"/>
                <w:szCs w:val="10"/>
                <w:color w:val="auto"/>
              </w:rPr>
            </w:pPr>
          </w:p>
        </w:tc>
        <w:tc>
          <w:tcPr>
            <w:tcW w:w="82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$0.01 par</w:t>
            </w:r>
          </w:p>
        </w:tc>
        <w:tc>
          <w:tcPr>
            <w:tcW w:w="80" w:type="dxa"/>
            <w:vAlign w:val="bottom"/>
          </w:tcPr>
          <w:p>
            <w:pPr>
              <w:spacing w:after="0"/>
              <w:rPr>
                <w:sz w:val="10"/>
                <w:szCs w:val="10"/>
                <w:color w:val="auto"/>
              </w:rPr>
            </w:pPr>
          </w:p>
        </w:tc>
        <w:tc>
          <w:tcPr>
            <w:tcW w:w="88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at $0.01 par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rPr>
              <w:t>Paid in</w:t>
            </w:r>
          </w:p>
        </w:tc>
        <w:tc>
          <w:tcPr>
            <w:tcW w:w="80" w:type="dxa"/>
            <w:vAlign w:val="bottom"/>
          </w:tcPr>
          <w:p>
            <w:pPr>
              <w:spacing w:after="0"/>
              <w:rPr>
                <w:sz w:val="10"/>
                <w:szCs w:val="10"/>
                <w:color w:val="auto"/>
              </w:rPr>
            </w:pPr>
          </w:p>
        </w:tc>
        <w:tc>
          <w:tcPr>
            <w:tcW w:w="82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0"/>
                <w:szCs w:val="10"/>
                <w:color w:val="auto"/>
              </w:rPr>
            </w:pPr>
          </w:p>
        </w:tc>
        <w:tc>
          <w:tcPr>
            <w:tcW w:w="88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3"/>
        </w:trPr>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r>
      <w:tr>
        <w:trPr>
          <w:trHeight w:val="170"/>
        </w:trPr>
        <w:tc>
          <w:tcPr>
            <w:tcW w:w="100" w:type="dxa"/>
            <w:vAlign w:val="bottom"/>
          </w:tcPr>
          <w:p>
            <w:pPr>
              <w:spacing w:after="0"/>
              <w:rPr>
                <w:sz w:val="14"/>
                <w:szCs w:val="14"/>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December 31, 2025</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638,427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(202,902)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400,376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946,556</w:t>
            </w:r>
          </w:p>
        </w:tc>
        <w:tc>
          <w:tcPr>
            <w:tcW w:w="8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(5,096)</w:t>
            </w:r>
          </w:p>
        </w:tc>
        <w:tc>
          <w:tcPr>
            <w:tcW w:w="8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paid on Series A Preferred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(49,416)</w:t>
            </w:r>
          </w:p>
        </w:tc>
        <w:tc>
          <w:tcPr>
            <w:tcW w:w="8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w:t>
            </w:r>
          </w:p>
        </w:tc>
        <w:tc>
          <w:tcPr>
            <w:tcW w:w="8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withholdings and associated payments on vested SMC LTIP awards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8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issuance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41,445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41,459</w:t>
            </w:r>
          </w:p>
        </w:tc>
        <w:tc>
          <w:tcPr>
            <w:tcW w:w="80" w:type="dxa"/>
            <w:vAlign w:val="bottom"/>
          </w:tcPr>
          <w:p>
            <w:pPr>
              <w:spacing w:after="0"/>
              <w:rPr>
                <w:sz w:val="15"/>
                <w:szCs w:val="15"/>
                <w:color w:val="auto"/>
              </w:rPr>
            </w:pPr>
          </w:p>
        </w:tc>
      </w:tr>
      <w:tr>
        <w:trPr>
          <w:trHeight w:val="164"/>
        </w:trPr>
        <w:tc>
          <w:tcPr>
            <w:tcW w:w="100" w:type="dxa"/>
            <w:vAlign w:val="bottom"/>
          </w:tcPr>
          <w:p>
            <w:pPr>
              <w:spacing w:after="0"/>
              <w:rPr>
                <w:sz w:val="14"/>
                <w:szCs w:val="14"/>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impact of Up-C Structure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(18,751)</w:t>
            </w:r>
          </w:p>
        </w:tc>
        <w:tc>
          <w:tcPr>
            <w:tcW w:w="80" w:type="dxa"/>
            <w:vAlign w:val="bottom"/>
          </w:tcPr>
          <w:p>
            <w:pPr>
              <w:spacing w:after="0"/>
              <w:rPr>
                <w:sz w:val="14"/>
                <w:szCs w:val="14"/>
                <w:color w:val="auto"/>
              </w:rPr>
            </w:pPr>
          </w:p>
        </w:tc>
      </w:tr>
      <w:tr>
        <w:trPr>
          <w:trHeight w:val="187"/>
        </w:trPr>
        <w:tc>
          <w:tcPr>
            <w:tcW w:w="100" w:type="dxa"/>
            <w:vAlign w:val="bottom"/>
          </w:tcPr>
          <w:p>
            <w:pPr>
              <w:spacing w:after="0"/>
              <w:rPr>
                <w:sz w:val="16"/>
                <w:szCs w:val="16"/>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shift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78,286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(78,286)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r>
      <w:tr>
        <w:trPr>
          <w:trHeight w:val="158"/>
        </w:trPr>
        <w:tc>
          <w:tcPr>
            <w:tcW w:w="100" w:type="dxa"/>
            <w:vAlign w:val="bottom"/>
          </w:tcPr>
          <w:p>
            <w:pPr>
              <w:spacing w:after="0"/>
              <w:rPr>
                <w:sz w:val="13"/>
                <w:szCs w:val="13"/>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March 31, 2026</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739,647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(208,197)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319,176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914,992</w:t>
            </w:r>
          </w:p>
        </w:tc>
        <w:tc>
          <w:tcPr>
            <w:tcW w:w="80" w:type="dxa"/>
            <w:vAlign w:val="bottom"/>
          </w:tcPr>
          <w:p>
            <w:pPr>
              <w:spacing w:after="0"/>
              <w:rPr>
                <w:sz w:val="13"/>
                <w:szCs w:val="13"/>
                <w:color w:val="auto"/>
              </w:rPr>
            </w:pPr>
          </w:p>
        </w:tc>
      </w:tr>
      <w:tr>
        <w:trPr>
          <w:trHeight w:val="383"/>
        </w:trPr>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22"/>
        </w:trPr>
        <w:tc>
          <w:tcPr>
            <w:tcW w:w="1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1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Amount, at</w:t>
            </w:r>
          </w:p>
        </w:tc>
        <w:tc>
          <w:tcPr>
            <w:tcW w:w="80" w:type="dxa"/>
            <w:vAlign w:val="bottom"/>
          </w:tcPr>
          <w:p>
            <w:pPr>
              <w:spacing w:after="0"/>
              <w:rPr>
                <w:sz w:val="11"/>
                <w:szCs w:val="11"/>
                <w:color w:val="auto"/>
              </w:rPr>
            </w:pPr>
          </w:p>
        </w:tc>
        <w:tc>
          <w:tcPr>
            <w:tcW w:w="880" w:type="dxa"/>
            <w:vAlign w:val="bottom"/>
            <w:gridSpan w:val="4"/>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 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2"/>
        </w:trPr>
        <w:tc>
          <w:tcPr>
            <w:tcW w:w="1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$0.01 par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at $0.01 par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2"/>
        </w:trPr>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Total Equity</w:t>
            </w:r>
          </w:p>
        </w:tc>
      </w:tr>
      <w:tr>
        <w:trPr>
          <w:trHeight w:val="1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Equity, December 31, 2024</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110,230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3"/>
                <w:szCs w:val="13"/>
                <w:color w:val="auto"/>
                <w:w w:val="91"/>
              </w:rPr>
              <w:t>75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540,714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w w:val="98"/>
              </w:rPr>
              <w:t>(183,333)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497,333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965,125</w:t>
            </w:r>
          </w:p>
        </w:tc>
      </w:tr>
      <w:tr>
        <w:trPr>
          <w:trHeight w:val="181"/>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center"/>
              <w:ind w:left="237"/>
              <w:spacing w:after="0"/>
              <w:rPr>
                <w:sz w:val="20"/>
                <w:szCs w:val="20"/>
                <w:color w:val="auto"/>
              </w:rPr>
            </w:pPr>
            <w:r>
              <w:rPr>
                <w:rFonts w:ascii="Times New Roman" w:cs="Times New Roman" w:eastAsia="Times New Roman" w:hAnsi="Times New Roman"/>
                <w:sz w:val="13"/>
                <w:szCs w:val="13"/>
                <w:color w:val="auto"/>
              </w:rPr>
              <w:t>(1,887)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1,042</w:t>
            </w:r>
          </w:p>
        </w:tc>
      </w:tr>
      <w:tr>
        <w:trPr>
          <w:trHeight w:val="1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 paid on Series A Preferred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(3,359)</w:t>
            </w:r>
          </w:p>
        </w:tc>
      </w:tr>
      <w:tr>
        <w:trPr>
          <w:trHeight w:val="181"/>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2,375</w:t>
            </w:r>
          </w:p>
        </w:tc>
      </w:tr>
      <w:tr>
        <w:trPr>
          <w:trHeight w:val="1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withholdings and associated payments on vested SMC LTIP awards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(2,837)</w:t>
            </w:r>
          </w:p>
        </w:tc>
      </w:tr>
      <w:tr>
        <w:trPr>
          <w:trHeight w:val="181"/>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Moonrise Acquisition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17,890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17,895</w:t>
            </w:r>
          </w:p>
        </w:tc>
      </w:tr>
      <w:tr>
        <w:trPr>
          <w:trHeight w:val="1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Conversion of Class B Common Stock and Partnership Common Units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left="437"/>
              <w:spacing w:after="0"/>
              <w:rPr>
                <w:sz w:val="20"/>
                <w:szCs w:val="20"/>
                <w:color w:val="auto"/>
              </w:rPr>
            </w:pPr>
            <w:r>
              <w:rPr>
                <w:rFonts w:ascii="Times New Roman" w:cs="Times New Roman" w:eastAsia="Times New Roman" w:hAnsi="Times New Roman"/>
                <w:sz w:val="13"/>
                <w:szCs w:val="13"/>
                <w:color w:val="auto"/>
                <w:w w:val="92"/>
              </w:rPr>
              <w:t>(10)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impact of Up-C Structure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(12,280)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(12,280)</w:t>
            </w:r>
          </w:p>
        </w:tc>
      </w:tr>
      <w:tr>
        <w:trPr>
          <w:trHeight w:val="1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shift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left="45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86,526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(86,526)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Equity, March 31, 2025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110,789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65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632,387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8"/>
              </w:rPr>
              <w:t>(185,220)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409,818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967,961</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SUMMIT MIDSTREAM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14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35560</wp:posOffset>
            </wp:positionV>
            <wp:extent cx="1885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0" w:lineRule="exact"/>
        <w:rPr>
          <w:sz w:val="20"/>
          <w:szCs w:val="20"/>
          <w:color w:val="auto"/>
        </w:rPr>
      </w:pPr>
    </w:p>
    <w:p>
      <w:pPr>
        <w:ind w:left="8860"/>
        <w:spacing w:after="0"/>
        <w:tabs>
          <w:tab w:leader="none" w:pos="10360" w:val="left"/>
        </w:tabs>
        <w:rPr>
          <w:sz w:val="20"/>
          <w:szCs w:val="20"/>
          <w:color w:val="auto"/>
        </w:rPr>
      </w:pPr>
      <w:r>
        <w:rPr>
          <w:rFonts w:ascii="Times New Roman" w:cs="Times New Roman" w:eastAsia="Times New Roman" w:hAnsi="Times New Roman"/>
          <w:sz w:val="13"/>
          <w:szCs w:val="13"/>
          <w:b w:val="1"/>
          <w:bCs w:val="1"/>
          <w:color w:val="auto"/>
        </w:rPr>
        <w:t>2026</w:t>
      </w:r>
      <w:r>
        <w:rPr>
          <w:sz w:val="20"/>
          <w:szCs w:val="20"/>
          <w:color w:val="auto"/>
        </w:rPr>
        <w:tab/>
      </w: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35560</wp:posOffset>
            </wp:positionV>
            <wp:extent cx="1885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w:t>
            </w: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(loss) to net cash provided by operating activities: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28,752</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lease expense</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other</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compensation</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equity method investee - Double E</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(4,840)</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from equity method investee - Double E</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6,694</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asset sales, net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earn-out remeasurement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(9,023)</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sale of business</w:t>
            </w:r>
          </w:p>
        </w:tc>
        <w:tc>
          <w:tcPr>
            <w:tcW w:w="5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 on interest rate swaps</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w:t>
            </w: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(3,378)</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7,870</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 net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(1,879)</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 valorem taxes payable</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environmental remediation, net</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(10,538)</w:t>
            </w:r>
          </w:p>
        </w:tc>
      </w:tr>
      <w:tr>
        <w:trPr>
          <w:trHeight w:val="23"/>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16,030</w:t>
            </w: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02"/>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(20,606)</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consideration paid for the acquisition of Moonrise, net of cash acquired</w:t>
            </w:r>
          </w:p>
        </w:tc>
        <w:tc>
          <w:tcPr>
            <w:tcW w:w="5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(69,997)</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in equity method investee - Double E</w:t>
            </w:r>
          </w:p>
        </w:tc>
        <w:tc>
          <w:tcPr>
            <w:tcW w:w="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(93,091)</w:t>
            </w: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under New Permian Transmission Facility</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repayments - Legacy Permian Transmission Term Loan</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w:t>
            </w:r>
          </w:p>
        </w:tc>
      </w:tr>
      <w:tr>
        <w:trPr>
          <w:trHeight w:val="203"/>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on Amended and Restated ABL Facility</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repayments - Amended and Restated ABL Facility</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and redemption of Subsidiary Series A Preferred Units</w:t>
            </w:r>
          </w:p>
        </w:tc>
        <w:tc>
          <w:tcPr>
            <w:tcW w:w="5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(143,226)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on Series A Preferred Stock</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Related party shares issued for cash, net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41,459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 settlement of Tall Oak earn-out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Additional 2029 Secured Notes</w:t>
            </w:r>
          </w:p>
        </w:tc>
        <w:tc>
          <w:tcPr>
            <w:tcW w:w="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258,438</w:t>
            </w:r>
          </w:p>
        </w:tc>
      </w:tr>
      <w:tr>
        <w:trPr>
          <w:trHeight w:val="193"/>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(4,832)</w:t>
            </w:r>
          </w:p>
        </w:tc>
      </w:tr>
      <w:tr>
        <w:trPr>
          <w:trHeight w:val="23"/>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(3,155)</w:t>
            </w:r>
          </w:p>
        </w:tc>
      </w:tr>
      <w:tr>
        <w:trPr>
          <w:trHeight w:val="186"/>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42,336</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81,466</w:t>
            </w:r>
          </w:p>
        </w:tc>
      </w:tr>
      <w:tr>
        <w:trPr>
          <w:trHeight w:val="23"/>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5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29,843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4,405</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25,199</w:t>
            </w:r>
          </w:p>
        </w:tc>
      </w:tr>
      <w:tr>
        <w:trPr>
          <w:trHeight w:val="24"/>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49,522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SUMMIT MIDSTREAM CORPORATION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UNAUDITED CONDENSED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BUSINESS OPERATIONS, AND PRESENTATION AND CONSOLIDATION</w:t>
      </w:r>
    </w:p>
    <w:p>
      <w:pPr>
        <w:spacing w:after="0" w:line="117"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Organization. </w:t>
      </w:r>
      <w:r>
        <w:rPr>
          <w:rFonts w:ascii="Times New Roman" w:cs="Times New Roman" w:eastAsia="Times New Roman" w:hAnsi="Times New Roman"/>
          <w:sz w:val="18"/>
          <w:szCs w:val="18"/>
          <w:color w:val="auto"/>
        </w:rPr>
        <w:t>Summit Midstream Corporation (including its subsidiaries, collectively the “Company”) was incorporated under the laws of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For all periods presented, the Company has operated in an Up-C tax structure, with the Company owning SMLP alongside holders of a noncontrolling limited partnership interest.</w:t>
      </w:r>
    </w:p>
    <w:p>
      <w:pPr>
        <w:spacing w:after="0" w:line="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a value-oriented company focused on developing, owning, and operating midstream energy infrastructure assets that are strategically located in the core producing areas of unconventional resource basins, primarily shale formations in the continental U.S. The Company’s business activities are primarily conducted through various operating subsidiaries, each of which is owned or controlled by its subsidiary holding company, Summit Midstream Holdings, LLC, a Delaware limited liability company (“Summit Holdings”).</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Operations. </w:t>
      </w:r>
      <w:r>
        <w:rPr>
          <w:rFonts w:ascii="Times New Roman" w:cs="Times New Roman" w:eastAsia="Times New Roman" w:hAnsi="Times New Roman"/>
          <w:sz w:val="18"/>
          <w:szCs w:val="18"/>
          <w:color w:val="auto"/>
        </w:rPr>
        <w:t>The Company provides natural gas gathering, compression, treating, and processing services as well as crude oil and produced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spacing w:after="0" w:line="6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and Consolidation. </w:t>
      </w:r>
      <w:r>
        <w:rPr>
          <w:rFonts w:ascii="Times New Roman" w:cs="Times New Roman" w:eastAsia="Times New Roman" w:hAnsi="Times New Roman"/>
          <w:sz w:val="18"/>
          <w:szCs w:val="18"/>
          <w:color w:val="auto"/>
        </w:rPr>
        <w:t>The Company prepares its condensed consolidated financial statements in accordance with GAAP, as established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Company’s Annual Report on Form 10-K for the year ended December 31, 2025 (the “2025 Annual Report”).</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management’s estimates.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assets, liabilities, and results of operations of the Company. All intercompany transactions among the consolidated entities have been eliminated in consolidation. Comprehensive income or loss is the same as net income or loss for all periods presented.</w:t>
      </w:r>
    </w:p>
    <w:p>
      <w:pPr>
        <w:spacing w:after="0" w:line="64" w:lineRule="exact"/>
        <w:rPr>
          <w:sz w:val="20"/>
          <w:szCs w:val="20"/>
          <w:color w:val="auto"/>
        </w:rPr>
      </w:pPr>
    </w:p>
    <w:p>
      <w:pPr>
        <w:ind w:right="240" w:firstLine="8"/>
        <w:spacing w:after="0" w:line="286"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RECENTLY ISSUED ACCOUNTING STANDARDS APPLICABLE TO THE COMPANY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since December 31, 2025.</w:t>
      </w:r>
    </w:p>
    <w:p>
      <w:pPr>
        <w:spacing w:after="0" w:line="11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standards not yet implemented. </w:t>
      </w:r>
      <w:r>
        <w:rPr>
          <w:rFonts w:ascii="Times New Roman" w:cs="Times New Roman" w:eastAsia="Times New Roman" w:hAnsi="Times New Roman"/>
          <w:sz w:val="18"/>
          <w:szCs w:val="18"/>
          <w:color w:val="auto"/>
        </w:rPr>
        <w:t>ASU 2024-03, Income Statement - Reporting Comprehensive Income - Expense Disaggregation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its disclosures.</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ASU 2025-11, Interim Reporting (“ASU 2025-11”)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assessing the impact this standard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11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Moonrise Acquisition. </w:t>
      </w:r>
      <w:r>
        <w:rPr>
          <w:rFonts w:ascii="Times New Roman" w:cs="Times New Roman" w:eastAsia="Times New Roman" w:hAnsi="Times New Roman"/>
          <w:sz w:val="18"/>
          <w:szCs w:val="18"/>
          <w:color w:val="auto"/>
        </w:rPr>
        <w:t>On March 10, 2025, the Company completed the transaction contemplated in the Membership Interest Purchase Agreement, 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(“Moonrise”), to Summit Holdings in exchange for total consideration equal to approximately $90.0 million (the “Moonrise Acquisition”). Total consideration consisted of (i) a $70.0 million cash payment and (ii) the issuance of 462,265 shares of common stock of the Company.</w:t>
      </w:r>
    </w:p>
    <w:p>
      <w:pPr>
        <w:spacing w:after="0" w:line="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values of certain assets and liabilities, including property, plant and equipment and other intangible assets required the use of significant judgments and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 of the assets acquired and liabilities assumed as of the acquisition date.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Moonrise Purchase Price Allocation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20" w:type="dxa"/>
            <w:vAlign w:val="bottom"/>
            <w:tcBorders>
              <w:top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consideration paid for Moonrise </w:t>
            </w:r>
            <w:r>
              <w:rPr>
                <w:rFonts w:ascii="Times New Roman" w:cs="Times New Roman" w:eastAsia="Times New Roman" w:hAnsi="Times New Roman"/>
                <w:sz w:val="23"/>
                <w:szCs w:val="23"/>
                <w:b w:val="1"/>
                <w:bCs w:val="1"/>
                <w:color w:val="auto"/>
                <w:vertAlign w:val="superscript"/>
              </w:rPr>
              <w:t>(1)</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74,328</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 accrued expenses and other</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28"/>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 and liabilities assumed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89,771</w:t>
            </w:r>
          </w:p>
        </w:tc>
      </w:tr>
    </w:tbl>
    <w:p>
      <w:pPr>
        <w:spacing w:after="0" w:line="179" w:lineRule="exact"/>
        <w:rPr>
          <w:sz w:val="20"/>
          <w:szCs w:val="20"/>
          <w:color w:val="auto"/>
        </w:rPr>
      </w:pPr>
    </w:p>
    <w:p>
      <w:pPr>
        <w:ind w:right="300" w:firstLine="8"/>
        <w:spacing w:after="0" w:line="287" w:lineRule="auto"/>
        <w:tabs>
          <w:tab w:leader="none" w:pos="165"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Purchase price consideration includes $17.9 million of equity consideration (462,265 shares valued at $38.71 per share on March 10, 2025) as well as $1.9 million of cash acquired.</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assets acquired and liabilities assumed were recorded at their estimated fair values at the date of the acquisition. Acquired working capital amounts are expected to approximate fair value due to their short-term nature.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rights-of-way with a weighted average amortization period of approximately 30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 Forma Information (Unaudited). </w:t>
      </w:r>
      <w:r>
        <w:rPr>
          <w:rFonts w:ascii="Times New Roman" w:cs="Times New Roman" w:eastAsia="Times New Roman" w:hAnsi="Times New Roman"/>
          <w:sz w:val="18"/>
          <w:szCs w:val="18"/>
          <w:color w:val="auto"/>
        </w:rPr>
        <w:t>The following table summarizes the unaudited pro forma condensed financial information of the Company as if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Moonrise Acquisition had occurred on January 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9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136,676</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r>
    </w:tbl>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is for informational purposes only and is not necessarily indicative of the operating results that would have occurred had the Moonrise Acquisition been completed at January 1, 2025, nor is it necessarily indicative of future operating results. Subsequent to the Moonrise Acquisition, during the second quarter of 2025, the Company integrated the Moonrise assets within its Niobrara G&amp;P system. As a result of the integration, it is impracticable to disclose the amounts of revenues and earnings that the Moonrise Acquisition contributed to the Company’s condensed consolidated statements of operations during subsequent reporting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revenue, as of March 31, 2026, expected to be recognized during the remainder of 2026 and over the remaining contract period related to performance obligations that are unsatisfied and are comprised of estimated MVC shortfall payments.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2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905"/>
        </w:trPr>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by category. </w:t>
      </w:r>
      <w:r>
        <w:rPr>
          <w:rFonts w:ascii="Times New Roman" w:cs="Times New Roman" w:eastAsia="Times New Roman" w:hAnsi="Times New Roman"/>
          <w:sz w:val="18"/>
          <w:szCs w:val="18"/>
          <w:color w:val="auto"/>
        </w:rPr>
        <w:t>In the following tables, revenue is disaggregated by geographic area and major products and services. For more detailed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about reportable segments. (See </w:t>
      </w:r>
      <w:r>
        <w:rPr>
          <w:rFonts w:ascii="Times New Roman" w:cs="Times New Roman" w:eastAsia="Times New Roman" w:hAnsi="Times New Roman"/>
          <w:sz w:val="18"/>
          <w:szCs w:val="18"/>
          <w:i w:val="1"/>
          <w:iCs w:val="1"/>
          <w:color w:val="auto"/>
        </w:rPr>
        <w:t>Note 15 - Segment Information</w:t>
      </w:r>
      <w:r>
        <w:rPr>
          <w:rFonts w:ascii="Times New Roman" w:cs="Times New Roman" w:eastAsia="Times New Roman" w:hAnsi="Times New Roman"/>
          <w:sz w:val="18"/>
          <w:szCs w:val="18"/>
          <w:color w:val="auto"/>
        </w:rPr>
        <w:t xml:space="preserve"> for additional information.</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Gathering services</w:t>
            </w:r>
          </w:p>
        </w:tc>
        <w:tc>
          <w:tcPr>
            <w:tcW w:w="120" w:type="dxa"/>
            <w:vAlign w:val="bottom"/>
          </w:tcPr>
          <w:p>
            <w:pPr>
              <w:spacing w:after="0"/>
              <w:rPr>
                <w:sz w:val="11"/>
                <w:szCs w:val="11"/>
                <w:color w:val="auto"/>
              </w:rPr>
            </w:pPr>
          </w:p>
        </w:tc>
        <w:tc>
          <w:tcPr>
            <w:tcW w:w="1300" w:type="dxa"/>
            <w:vAlign w:val="bottom"/>
            <w:gridSpan w:val="2"/>
          </w:tcPr>
          <w:p>
            <w:pPr>
              <w:jc w:val="center"/>
              <w:ind w:right="50"/>
              <w:spacing w:after="0" w:line="129" w:lineRule="exact"/>
              <w:rPr>
                <w:sz w:val="20"/>
                <w:szCs w:val="20"/>
                <w:color w:val="auto"/>
              </w:rPr>
            </w:pPr>
            <w:r>
              <w:rPr>
                <w:rFonts w:ascii="Times New Roman" w:cs="Times New Roman" w:eastAsia="Times New Roman" w:hAnsi="Times New Roman"/>
                <w:sz w:val="14"/>
                <w:szCs w:val="14"/>
                <w:b w:val="1"/>
                <w:bCs w:val="1"/>
                <w:color w:val="auto"/>
              </w:rPr>
              <w:t>Natural gas, NGLs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related fees</w:t>
            </w: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condensate sales</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Rockies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86,103</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Permian</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Piceance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Gathering services</w:t>
            </w:r>
          </w:p>
        </w:tc>
        <w:tc>
          <w:tcPr>
            <w:tcW w:w="120" w:type="dxa"/>
            <w:vAlign w:val="bottom"/>
          </w:tcPr>
          <w:p>
            <w:pPr>
              <w:spacing w:after="0"/>
              <w:rPr>
                <w:sz w:val="11"/>
                <w:szCs w:val="11"/>
                <w:color w:val="auto"/>
              </w:rPr>
            </w:pPr>
          </w:p>
        </w:tc>
        <w:tc>
          <w:tcPr>
            <w:tcW w:w="1300" w:type="dxa"/>
            <w:vAlign w:val="bottom"/>
            <w:gridSpan w:val="2"/>
          </w:tcPr>
          <w:p>
            <w:pPr>
              <w:jc w:val="center"/>
              <w:ind w:right="50"/>
              <w:spacing w:after="0" w:line="131" w:lineRule="exact"/>
              <w:rPr>
                <w:sz w:val="20"/>
                <w:szCs w:val="20"/>
                <w:color w:val="auto"/>
              </w:rPr>
            </w:pPr>
            <w:r>
              <w:rPr>
                <w:rFonts w:ascii="Times New Roman" w:cs="Times New Roman" w:eastAsia="Times New Roman" w:hAnsi="Times New Roman"/>
                <w:sz w:val="14"/>
                <w:szCs w:val="14"/>
                <w:b w:val="1"/>
                <w:bCs w:val="1"/>
                <w:color w:val="auto"/>
              </w:rPr>
              <w:t>Natural gas, NGLs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related fees</w:t>
            </w: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condensate sales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Rockies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Permian</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Piceance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Details on the Company’s property, plant and equipment follow:</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and processing systems and related equipment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2,472,385</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2,451,820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line fill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2,608,059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2,593,254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(771,701)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(749,108)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Depreciation expense and capitalized interest for the Company follow:</w:t>
            </w: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6"/>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REVENUE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balances in deferred revenue as of March 31, 2026 and December 31, 2025 are primarily related to contributions in aid of construction which will be recognized as revenue over the life of the contract. An update of current and noncurrent deferred revenue follow: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6"/>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revenue, December 31, 2025</w:t>
            </w:r>
          </w:p>
        </w:tc>
        <w:tc>
          <w:tcPr>
            <w:tcW w:w="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additions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reclassifications to current deferred revenue, revenue recognized and other</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revenue, March 31, 2026</w:t>
            </w:r>
          </w:p>
        </w:tc>
        <w:tc>
          <w:tcPr>
            <w:tcW w:w="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Debt for the Company as of March 31, 2026, and December 31, 2025, follow:</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40" w:type="dxa"/>
            <w:vAlign w:val="bottom"/>
          </w:tcPr>
          <w:p>
            <w:pPr>
              <w:spacing w:after="0"/>
              <w:rPr>
                <w:sz w:val="24"/>
                <w:szCs w:val="24"/>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Amended and Restated ABL Facility</w:t>
            </w:r>
            <w:r>
              <w:rPr>
                <w:rFonts w:ascii="Times New Roman" w:cs="Times New Roman" w:eastAsia="Times New Roman" w:hAnsi="Times New Roman"/>
                <w:sz w:val="18"/>
                <w:szCs w:val="18"/>
                <w:color w:val="auto"/>
              </w:rPr>
              <w:t>: Summit Holdings’ asset based credit facility due July 2029</w:t>
            </w: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0" w:type="dxa"/>
            <w:vAlign w:val="bottom"/>
          </w:tcPr>
          <w:p>
            <w:pPr>
              <w:spacing w:after="0"/>
              <w:rPr>
                <w:sz w:val="1"/>
                <w:szCs w:val="1"/>
                <w:color w:val="auto"/>
              </w:rPr>
            </w:pPr>
          </w:p>
        </w:tc>
      </w:tr>
      <w:tr>
        <w:trPr>
          <w:trHeight w:val="176"/>
        </w:trPr>
        <w:tc>
          <w:tcPr>
            <w:tcW w:w="7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New Permian Transmission Facility: </w:t>
            </w:r>
            <w:r>
              <w:rPr>
                <w:rFonts w:ascii="Times New Roman" w:cs="Times New Roman" w:eastAsia="Times New Roman" w:hAnsi="Times New Roman"/>
                <w:sz w:val="18"/>
                <w:szCs w:val="18"/>
                <w:color w:val="auto"/>
              </w:rPr>
              <w:t>Summit Permian Transmission’s variable rate senior secured term</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due March 2031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Legacy Permian Transmission Term Loan</w:t>
            </w:r>
            <w:r>
              <w:rPr>
                <w:rFonts w:ascii="Times New Roman" w:cs="Times New Roman" w:eastAsia="Times New Roman" w:hAnsi="Times New Roman"/>
                <w:sz w:val="18"/>
                <w:szCs w:val="18"/>
                <w:color w:val="auto"/>
              </w:rPr>
              <w:t>: Summit Permian Transmission’s variable rate senior secured</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January 2028</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2029 Secured Notes: </w:t>
            </w:r>
            <w:r>
              <w:rPr>
                <w:rFonts w:ascii="Times New Roman" w:cs="Times New Roman" w:eastAsia="Times New Roman" w:hAnsi="Times New Roman"/>
                <w:sz w:val="18"/>
                <w:szCs w:val="18"/>
                <w:color w:val="auto"/>
              </w:rPr>
              <w:t>8.625% senior secured second lien notes due October 2029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premium and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unamortized debt discount, premium and debt issuance costs</w:t>
            </w:r>
          </w:p>
        </w:tc>
        <w:tc>
          <w:tcPr>
            <w:tcW w:w="4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1,265,764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1,045,570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1,024,347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ABL Facility. </w:t>
      </w:r>
      <w:r>
        <w:rPr>
          <w:rFonts w:ascii="Times New Roman" w:cs="Times New Roman" w:eastAsia="Times New Roman" w:hAnsi="Times New Roman"/>
          <w:sz w:val="18"/>
          <w:szCs w:val="18"/>
          <w:color w:val="auto"/>
        </w:rPr>
        <w:t>Concurrently with the issuance of the 2029 Secured Notes, as discussed below, on July 26, 2024, Summit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borrower, amended and restated its existing first-lien, senior secured credit agreement pursuant to the Amended and Restated ABL Agreement,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March 31, 2026, the most recent borrowing base determination of eligible assets totaled $802.3 million, an amount greater than the $500.0 million of aggregate lending commitments.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(such date, the “Amended and Restated ABL Termination Date”). As of March 31, 2026, the Amended and Restated ABL Facility will mature on July 26, 2029.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Borrowings under the Amended and Restated ABL Facility bear interest,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varies from 1.50% to 2.25% and the applicable margin for SOFR-based loans varies from 2.50% to 3.25%, in each case, depending on our Total Net Leverage Ratio (as defined in the Amended and Restated ABL Agreement).</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March 31, 2026, the First Lien Net Leverage Ratio (as defined in the Amended and Restated ABL Agreement) was 0.35:1.00 and the Interest Coverage Ratio was 2.74:1.00. As of March 31, 2026, the Company was in compliance with the financial covenants of the Amended and Restated ABL Facility.</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the Company, (iii) Closing Date Material Gathering Station Real Property and Closing Date Pipeline Material Gathering Station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p>
    <w:p>
      <w:pPr>
        <w:spacing w:after="0" w:line="8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March 31, 2026, the applicable margin under the adjusted SOFR borrowings was 2.750%, the interest rate was 6.52%, and the total available borrowing capacity totaled $381.3 million, after giving effect to the issuance of $2.7 million in outstanding but undrawn irrevocable standby letters of credit.</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Intercreditor Agreement. </w:t>
      </w:r>
      <w:r>
        <w:rPr>
          <w:rFonts w:ascii="Times New Roman" w:cs="Times New Roman" w:eastAsia="Times New Roman" w:hAnsi="Times New Roman"/>
          <w:sz w:val="18"/>
          <w:szCs w:val="18"/>
          <w:color w:val="auto"/>
        </w:rPr>
        <w:t>On November 2, 2021, Summit Holdings and the other guarantors party thereto entered into an Intercreditor Agreement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modified by the Notice of Reaffirmation (as defined below),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pursuant to that certain Notice and Reaffirmation of Intercreditor Agreement (the “Notice of Reaffirmation”), dated as of July 26, 2024,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2029 Secured Notes.</w:t>
      </w:r>
    </w:p>
    <w:p>
      <w:pPr>
        <w:spacing w:after="0" w:line="7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Permian Transmission Facility. </w:t>
      </w:r>
      <w:r>
        <w:rPr>
          <w:rFonts w:ascii="Times New Roman" w:cs="Times New Roman" w:eastAsia="Times New Roman" w:hAnsi="Times New Roman"/>
          <w:sz w:val="18"/>
          <w:szCs w:val="18"/>
          <w:color w:val="auto"/>
        </w:rPr>
        <w:t>On March 16, 2026, SMC’s unrestricted subsidiary, Summit Permian Transmission, entered into a $440.0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refinancing of the Legacy Permian Transmission Credit Facilities in the form of the New Permian Transmission Facility bearing interest at SOFR plus 4.00% per annum and with a maturity in March 2031(the “New Permian Transmission Facility”). The New Permian Transmission Facility consists of $340.0 million in initial term loan commitments, $50.0 million in delayed draw commitments (with a commitment fee of 1.00% per annum) and a $50.0 million uncommitted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incremental facility. In accordance with the terms of the New Permian Transmission Facility, Summit Permian Transmission is required to make mandatory quarterly principal repayments in the amount of 0.25% of the principal amount outstanding on each quarterly payment date beginning March 31, 2027.</w:t>
      </w:r>
    </w:p>
    <w:p>
      <w:pPr>
        <w:spacing w:after="0" w:line="3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New Permian Transmission Facility is used to finance Summit Permian Transmission’s capital calls associated with its investment in Double E, debt service and for other general corporate purposes. Generally, unexpended proceeds from draws on the New Permian Transmission Facility are classified as restricted cash on the accompanying unaudited condensed consolidated balance sheets until such time Summit Permian Transmission’s total debt to EBITDA ratio, as defined, ratio is less than 6.00:1.00.</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 applicable margin under the adjusted term SOFR borrowings was 4.000% and the average interest rate was 7.67%. The available committed portion of the New Permian Transmission Facility totaled $50.0 million and is subject to a commitment fee of 1.0%. As of March 31, 2026, the Company was in compliance with the financial covenants of the New Permian Transmission Facility.</w:t>
      </w:r>
    </w:p>
    <w:p>
      <w:pPr>
        <w:spacing w:after="0" w:line="68"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Concurrent with establishing the New Permian Transmission Facility, Summit Permian Transmission entered into a $7.0 million letter of credit arrangement.</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Summit Permian Transmission entered into interest rate hedges with notional amounts representing approximately 30% of the New Permian Transmission Facility at a fixed SOFR-based rate of 3.65%.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Legacy Permian Transmission Credit Facilities. </w:t>
      </w:r>
      <w:r>
        <w:rPr>
          <w:rFonts w:ascii="Times New Roman" w:cs="Times New Roman" w:eastAsia="Times New Roman" w:hAnsi="Times New Roman"/>
          <w:sz w:val="18"/>
          <w:szCs w:val="18"/>
          <w:color w:val="auto"/>
        </w:rPr>
        <w:t>On March 8, 2021, SMLP’s unrestricted subsidiary, Summit Permian Transmission, entered into a Credit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allowed for $175.0 million of senior secured credit facilities (the “Legacy Permian Transmission Credit Facilities”), including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million Term Loan Facility and a $15.0 million working capital facility. On March 16, 2026, Summit Permian Transmission refinanced the Legacy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Permian Transmission Credit Facilities and all amounts previously outstanding were paid in full.</w:t>
      </w:r>
    </w:p>
    <w:p>
      <w:pPr>
        <w:spacing w:after="0" w:line="9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Legacy Permian Transmission Term Loan. </w:t>
      </w:r>
      <w:r>
        <w:rPr>
          <w:rFonts w:ascii="Times New Roman" w:cs="Times New Roman" w:eastAsia="Times New Roman" w:hAnsi="Times New Roman"/>
          <w:sz w:val="18"/>
          <w:szCs w:val="18"/>
          <w:color w:val="auto"/>
        </w:rPr>
        <w:t>In accordance with the terms of the Legacy Permian Transmission Credit Facilities, in January 2022,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Permian Term Loan Facility was converted into a Term Loan (the “Legacy Permian Transmission Term Loan”). The Legacy Permian Transmission Term Loan was due January 2028. On March 16, 2026, Summit Permian Transmission refinanced the Legacy Permian Transmission Credit Facilities and all amounts previously outstanding, including the Legacy Permian Transmission Term Loan, were paid in full.</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2029 Secured Notes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26, 2024, Summit Holdings issued $575.0 million aggregate principal amount of 8.625% Senior Secured Second Lien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at a price of 103.375% of their face value, as additional notes under the same indenture pursuant to which, on July 26, 2024, Summit Holdings issued $575.0 million in aggregate principal amount of 2029 Secured Notes. As of March 31, 2026, $825.0 million of the 2029 Secured Notes were outstanding. The 2029 Secured Notes mature on October 31, 2029, and have interest payable semi-annually in arrears on each February 15 and August 15.</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5660" w:type="dxa"/>
            <w:vAlign w:val="bottom"/>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7"/>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31, 2026 to July 30, 2027</w:t>
            </w:r>
          </w:p>
        </w:tc>
        <w:tc>
          <w:tcPr>
            <w:tcW w:w="100" w:type="dxa"/>
            <w:vAlign w:val="bottom"/>
            <w:tcBorders>
              <w:bottom w:val="single" w:sz="8" w:color="CFF0FC"/>
            </w:tcBorders>
            <w:shd w:val="clear" w:color="auto" w:fill="CFF0FC"/>
          </w:tcPr>
          <w:p>
            <w:pPr>
              <w:spacing w:after="0"/>
              <w:rPr>
                <w:sz w:val="20"/>
                <w:szCs w:val="20"/>
                <w:color w:val="auto"/>
              </w:rPr>
            </w:pPr>
          </w:p>
        </w:tc>
        <w:tc>
          <w:tcPr>
            <w:tcW w:w="5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104.313 %</w:t>
            </w:r>
          </w:p>
        </w:tc>
      </w:tr>
      <w:tr>
        <w:trPr>
          <w:trHeight w:val="234"/>
        </w:trPr>
        <w:tc>
          <w:tcPr>
            <w:tcW w:w="5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31, 2027 to July 30, 2028</w:t>
            </w:r>
          </w:p>
        </w:tc>
        <w:tc>
          <w:tcPr>
            <w:tcW w:w="5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102.156 %</w:t>
            </w:r>
          </w:p>
        </w:tc>
      </w:tr>
      <w:tr>
        <w:trPr>
          <w:trHeight w:val="22"/>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34"/>
        </w:trPr>
        <w:tc>
          <w:tcPr>
            <w:tcW w:w="55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July 31, 2028 and thereafter</w:t>
            </w:r>
          </w:p>
        </w:tc>
        <w:tc>
          <w:tcPr>
            <w:tcW w:w="5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100.000 %</w:t>
            </w:r>
          </w:p>
        </w:tc>
      </w:tr>
      <w:tr>
        <w:trPr>
          <w:trHeight w:val="22"/>
        </w:trPr>
        <w:tc>
          <w:tcPr>
            <w:tcW w:w="5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60" w:type="dxa"/>
            <w:vAlign w:val="bottom"/>
            <w:shd w:val="clear" w:color="auto" w:fill="CFF0FC"/>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was in compliance with the financial covenants of the indenture governing the 2029 Secured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Although the Company believes that it is in material compliance with applicable environmental regulations, the risk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recognized (i) a current liability for remediation effort expenditures expected to be incurred within the next 12 months and (ii) a noncurrent liability for estimated remediation expenditures expected to be incurred subsequent to March 31, 2027. Each of these amounts represent the Company’s best estimate for costs expected to be incurred. Neither of these amounts have been discounted to their present value.</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 update of the Company’s undiscounted accrued environmental remediation is as follows and is primarily related to the 2015 Blacktail Release and other environmental remediation activities, as detailed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environmental remediation, December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made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estimates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environmental remediation,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March 31, 2026 and December 31, 2025, the accrued loss liability for the 2015 Blacktail Release was $8.3 million and is recorded within accrued settlement payable on the condensed consolidated balance sheets.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$8.3 million is expected to be paid within the next twelve months; (ii) continuation of remediation efforts at the site of the 2015 Blacktail Release;</w:t>
      </w:r>
    </w:p>
    <w:p>
      <w:pPr>
        <w:spacing w:after="0" w:line="3" w:lineRule="exact"/>
        <w:rPr>
          <w:sz w:val="20"/>
          <w:szCs w:val="20"/>
          <w:color w:val="auto"/>
        </w:rPr>
      </w:pPr>
    </w:p>
    <w:p>
      <w:pPr>
        <w:ind w:right="40" w:firstLine="8"/>
        <w:spacing w:after="0" w:line="252"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spacing w:after="0" w:line="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Subsidiaries of the Company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SMLP and certain subsidiaries of the Company have also received a show cause notice from the EPA requesting us to “show cause” why SDO should not issue a Notice of Proposed Debarment to the Defendant subsidiary and certain affiliates under 2 C.F.R. § 180.800(d), to which SMLP has responded, and in which proceeding no further developments have occurred.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Proceedings. </w:t>
      </w:r>
      <w:r>
        <w:rPr>
          <w:rFonts w:ascii="Times New Roman" w:cs="Times New Roman" w:eastAsia="Times New Roman" w:hAnsi="Times New Roman"/>
          <w:sz w:val="18"/>
          <w:szCs w:val="18"/>
          <w:color w:val="auto"/>
        </w:rPr>
        <w:t>The Company is involved in various litigation and administrative proceedings arising in the ordinary course of business. In the opinion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 amount recoverable from the insurance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FINANCIAL INSTRUMENTS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w:t>
      </w:r>
      <w:r>
        <w:rPr>
          <w:rFonts w:ascii="Times New Roman" w:cs="Times New Roman" w:eastAsia="Times New Roman" w:hAnsi="Times New Roman"/>
          <w:sz w:val="18"/>
          <w:szCs w:val="18"/>
          <w:color w:val="auto"/>
        </w:rPr>
        <w:t>A summary of the estimated fair value of our debt financial instruments follow: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6"/>
                <w:szCs w:val="16"/>
                <w:color w:val="auto"/>
              </w:rPr>
            </w:pPr>
          </w:p>
        </w:tc>
        <w:tc>
          <w:tcPr>
            <w:tcW w:w="2560" w:type="dxa"/>
            <w:vAlign w:val="bottom"/>
            <w:gridSpan w:val="3"/>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164"/>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6"/>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224"/>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2"/>
                <w:szCs w:val="12"/>
                <w:color w:val="auto"/>
              </w:rPr>
            </w:pPr>
          </w:p>
        </w:tc>
        <w:tc>
          <w:tcPr>
            <w:tcW w:w="1040" w:type="dxa"/>
            <w:vAlign w:val="bottom"/>
          </w:tcPr>
          <w:p>
            <w:pPr>
              <w:jc w:val="center"/>
              <w:ind w:right="364"/>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18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7"/>
        </w:trPr>
        <w:tc>
          <w:tcPr>
            <w:tcW w:w="5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44"/>
              <w:spacing w:after="0" w:line="256" w:lineRule="exact"/>
              <w:rPr>
                <w:sz w:val="20"/>
                <w:szCs w:val="20"/>
                <w:color w:val="auto"/>
              </w:rPr>
            </w:pPr>
            <w:r>
              <w:rPr>
                <w:rFonts w:ascii="Times New Roman" w:cs="Times New Roman" w:eastAsia="Times New Roman" w:hAnsi="Times New Roman"/>
                <w:sz w:val="14"/>
                <w:szCs w:val="14"/>
                <w:b w:val="1"/>
                <w:bCs w:val="1"/>
                <w:color w:val="auto"/>
                <w:w w:val="92"/>
              </w:rPr>
              <w:t xml:space="preserve">Value </w:t>
            </w:r>
            <w:r>
              <w:rPr>
                <w:rFonts w:ascii="Times New Roman" w:cs="Times New Roman" w:eastAsia="Times New Roman" w:hAnsi="Times New Roman"/>
                <w:sz w:val="23"/>
                <w:szCs w:val="23"/>
                <w:b w:val="1"/>
                <w:bCs w:val="1"/>
                <w:color w:val="auto"/>
                <w:w w:val="92"/>
                <w:vertAlign w:val="superscript"/>
              </w:rPr>
              <w:t>(1)</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64"/>
              <w:spacing w:after="0" w:line="256" w:lineRule="exact"/>
              <w:rPr>
                <w:sz w:val="20"/>
                <w:szCs w:val="20"/>
                <w:color w:val="auto"/>
              </w:rPr>
            </w:pPr>
            <w:r>
              <w:rPr>
                <w:rFonts w:ascii="Times New Roman" w:cs="Times New Roman" w:eastAsia="Times New Roman" w:hAnsi="Times New Roman"/>
                <w:sz w:val="14"/>
                <w:szCs w:val="14"/>
                <w:b w:val="1"/>
                <w:bCs w:val="1"/>
                <w:color w:val="auto"/>
                <w:w w:val="92"/>
              </w:rPr>
              <w:t xml:space="preserve">Value </w:t>
            </w:r>
            <w:r>
              <w:rPr>
                <w:rFonts w:ascii="Times New Roman" w:cs="Times New Roman" w:eastAsia="Times New Roman" w:hAnsi="Times New Roman"/>
                <w:sz w:val="23"/>
                <w:szCs w:val="23"/>
                <w:b w:val="1"/>
                <w:bCs w:val="1"/>
                <w:color w:val="auto"/>
                <w:w w:val="92"/>
                <w:vertAlign w:val="superscript"/>
              </w:rPr>
              <w:t>(1)</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Secured Notes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825,000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849,063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825,000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851,125</w:t>
            </w:r>
          </w:p>
        </w:tc>
      </w:tr>
    </w:tbl>
    <w:p>
      <w:pPr>
        <w:spacing w:after="0" w:line="58"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applicable unamortized debt issuance costs, debt discounts, and debt premiums.</w:t>
      </w:r>
    </w:p>
    <w:p>
      <w:pPr>
        <w:spacing w:after="0" w:line="2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carrying values on the balance sheets of the Amended and Restated ABL Facility, the New Permian Transmission Facility, and the Legacy Permian Transmission Term Loan represent their fair value due to their floating interest rates. The fair value of the 2029 Secured Notes is based on an average of nonbinding broker quotes as of March 31, 2026 and December 31, 2025. The use of different market assumptions or valuation methodologies may have a material effect on their estimated fair value.</w:t>
      </w:r>
    </w:p>
    <w:p>
      <w:pPr>
        <w:spacing w:after="0" w:line="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 Tall Oak Deferred Earn-Out. </w:t>
      </w:r>
      <w:r>
        <w:rPr>
          <w:rFonts w:ascii="Times New Roman" w:cs="Times New Roman" w:eastAsia="Times New Roman" w:hAnsi="Times New Roman"/>
          <w:sz w:val="18"/>
          <w:szCs w:val="18"/>
          <w:color w:val="auto"/>
        </w:rPr>
        <w:t>In connection with the Tall Oak Acquisition in 2024, the Company recognized a deferred earn-out liability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Tall Oak Parent, a related party controlling approximately 39% of the voting power in the Company as of March 31, 2026. On March 31, 2026, the deferred earn-out was settled with Tall Oak Parent in full, with Tall Oak Parent receiving a cash payment of $22.0 million. As of December 31, 2025, the estimated fair value of the deferred earn-out was $21.5 million and was reflected within other current liabilities. During the three months ended March 31, 2026 and 2025, the Company recorded a $0.5 million loss and a $9.0 million gain on the fair value remeasurement of the Tall Oak deferred earn-out, respectively. (See </w:t>
      </w:r>
      <w:r>
        <w:rPr>
          <w:rFonts w:ascii="Times New Roman" w:cs="Times New Roman" w:eastAsia="Times New Roman" w:hAnsi="Times New Roman"/>
          <w:sz w:val="18"/>
          <w:szCs w:val="18"/>
          <w:i w:val="1"/>
          <w:iCs w:val="1"/>
          <w:color w:val="auto"/>
        </w:rPr>
        <w:t>Note 9 - Financial Instruments</w:t>
      </w:r>
      <w:r>
        <w:rPr>
          <w:rFonts w:ascii="Times New Roman" w:cs="Times New Roman" w:eastAsia="Times New Roman" w:hAnsi="Times New Roman"/>
          <w:sz w:val="18"/>
          <w:szCs w:val="18"/>
          <w:color w:val="auto"/>
        </w:rPr>
        <w:t xml:space="preserve"> for additional information.)</w:t>
      </w:r>
    </w:p>
    <w:p>
      <w:pPr>
        <w:spacing w:after="0" w:line="65"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The estimated fair value of the Company’s deferred earn-out was remeasured at each reporting period and estimated using discounted cash flow techniques with appropriate discount rates. Given the unobservable nature of the inputs, the fair value measurement of the deferred earn-out was deemed to use Level 3 inputs.</w:t>
      </w:r>
    </w:p>
    <w:p>
      <w:pPr>
        <w:spacing w:after="0" w:line="7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Swaps. </w:t>
      </w:r>
      <w:r>
        <w:rPr>
          <w:rFonts w:ascii="Times New Roman" w:cs="Times New Roman" w:eastAsia="Times New Roman" w:hAnsi="Times New Roman"/>
          <w:sz w:val="18"/>
          <w:szCs w:val="18"/>
          <w:color w:val="auto"/>
        </w:rPr>
        <w:t>For both the New Permian Transmission Facility and the Legacy Permian Transmission Term Loan, the Company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amortizing interest rate swap agreements. These interest rate swaps manage exposure to variability in expected cash flows attributable to interest rate risk. Interest rate swaps convert a portion of the Company’s variable rate debt to fixed rate debt, and the Company chooses counterparties for its derivative instruments that it believes are creditworthy at the time the transactions are entered into. However, there can be no assurance that a counterparty will be able to meet its obligations to the Company. The Company presents its derivative positions on a gross basis and does not net the asset and liability positions.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outstanding notional amounts of interest rate swaps was $100.0 million and $101.5 million, respectively. As of March 31, 2026, the Company’s interest rate swap agreement is in a liability position and had a fair value of $0.3 million and is recorded within other noncurrent liabilities within the unaudited condensed consolidated balance sheet. As of December 31, 2025, the Company’s interest rate swap agreements had a fair value of $6.6 million and is recorded within other noncurrent assets within the unaudited condensed consolidated balance sheet. The derivative instruments’ fair value are determined using level 2 inputs from the fair value hierarchy.</w:t>
      </w:r>
    </w:p>
    <w:p>
      <w:pPr>
        <w:spacing w:after="0" w:line="7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For the three month period ended March 31, 2026, the Company recorded a loss on interest rate swaps of $0.2 million. In connection with the 2026 refinancing of the Legacy Permian Transmission Term Loan, the Company settled its then outstanding amortizing interest rate swap agreements for $6.7 million in cash.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 period ended March 31, 2025, the Company recorded a loss on interest rate swaps of $1.0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AND MEZZANINE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An update on the number of shares of common stock follows for the period from December 31, 2025 to March 31, 2026: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tcPr>
          <w:p>
            <w:pPr>
              <w:spacing w:after="0"/>
              <w:rPr>
                <w:sz w:val="17"/>
                <w:szCs w:val="17"/>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38"/>
        </w:trPr>
        <w:tc>
          <w:tcPr>
            <w:tcW w:w="9800" w:type="dxa"/>
            <w:vAlign w:val="bottom"/>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December 31,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12,262,320</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for SMC LTIP, net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200,615</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Related party shares issued for cash</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1,351,351</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13,814,286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Shares Issued for Cash. </w:t>
      </w:r>
      <w:r>
        <w:rPr>
          <w:rFonts w:ascii="Times New Roman" w:cs="Times New Roman" w:eastAsia="Times New Roman" w:hAnsi="Times New Roman"/>
          <w:sz w:val="18"/>
          <w:szCs w:val="18"/>
          <w:color w:val="auto"/>
        </w:rPr>
        <w:t>On March 31, 2026, pursuant to a Securities Purchase Agreement (the “Purchase Agreement”), by and among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SMLP, and Tall Oak Parent, and solely for purposes of modifying certain existing registration rights as detailed in the Purchase Agreement, Connect Midstream, LLC, a Delaware limited liability company, the Company issued and sold to Tall Oak Parent 1,351,351 shares of common stock of the Company in exchange for $41.5 million of cash proceeds, net of $0.5 million of issuance costs. The shares were issued at a price of $31.08 per share, which represented the “Minimum Price” in accordance with NYSE regulations. The shares are subject to a 6-month lock up period and other terms and conditions.</w:t>
      </w:r>
    </w:p>
    <w:p>
      <w:pPr>
        <w:spacing w:after="0" w:line="7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In the Tall Oak Acquisition, the Company issued shares of non-economic Class B Common Stock to Tall Oak Parent.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Common Stock have Company voting rights and are exchangeable along with the associated Partnership Common Units for shares of our common stock at the election of the holder for no additional consideration.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An update on the number of shares of Class B Common Stock follows for the period from December 31, 2025 to March 31, 2026.</w:t>
            </w:r>
          </w:p>
        </w:tc>
        <w:tc>
          <w:tcPr>
            <w:tcW w:w="1640" w:type="dxa"/>
            <w:vAlign w:val="bottom"/>
          </w:tcPr>
          <w:p>
            <w:pPr>
              <w:spacing w:after="0"/>
              <w:rPr>
                <w:sz w:val="20"/>
                <w:szCs w:val="20"/>
                <w:color w:val="auto"/>
              </w:rPr>
            </w:pPr>
          </w:p>
        </w:tc>
      </w:tr>
      <w:tr>
        <w:trPr>
          <w:trHeight w:val="310"/>
        </w:trPr>
        <w:tc>
          <w:tcPr>
            <w:tcW w:w="96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176"/>
        </w:trPr>
        <w:tc>
          <w:tcPr>
            <w:tcW w:w="96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Class B Common</w:t>
            </w:r>
          </w:p>
        </w:tc>
      </w:tr>
      <w:tr>
        <w:trPr>
          <w:trHeight w:val="238"/>
        </w:trPr>
        <w:tc>
          <w:tcPr>
            <w:tcW w:w="96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2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December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6,524,467</w:t>
            </w: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 activity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March 31, 2026</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6,524,467</w:t>
            </w:r>
          </w:p>
        </w:tc>
      </w:tr>
    </w:tbl>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Series A Preferred Stock. </w:t>
      </w:r>
      <w:r>
        <w:rPr>
          <w:rFonts w:ascii="Times New Roman" w:cs="Times New Roman" w:eastAsia="Times New Roman" w:hAnsi="Times New Roman"/>
          <w:sz w:val="18"/>
          <w:szCs w:val="18"/>
          <w:color w:val="auto"/>
        </w:rPr>
        <w:t>The Series A Preferred Stock ranks senior to (i) shares of common stock and Class B Common Stock and (ii) each other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spacing w:after="0" w:line="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Board of Directors out of legally available funds for such purpose. The dividend rate for the Series A Preferred Stock is equal to the three-month SOFR plus a spread of 7.69%. The floating rate established on March 15, 2026 for the period ended June 30, 2026 was 11.4%.</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board of directors of Summit Midstream Corporation reinstated cash dividends on its Series A Preferred Stock beginning on March 14, 2025. During the three month periods ended March 31, 2026 and 2025, cash dividend payments totaling $49.4 million and $3.4 million were paid, respectively. The cash dividend payment for the quarterly period ended March 31, 2026 includes a payment of $46.3 million for accrued and unpaid dividends owed from March 15, 2020 to December 14,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65,508 shares of Series A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Common Units. </w:t>
      </w:r>
      <w:r>
        <w:rPr>
          <w:rFonts w:ascii="Times New Roman" w:cs="Times New Roman" w:eastAsia="Times New Roman" w:hAnsi="Times New Roman"/>
          <w:sz w:val="18"/>
          <w:szCs w:val="18"/>
          <w:color w:val="auto"/>
        </w:rPr>
        <w:t>In the Tall Oak Acquisition, SMLP issued Partnership Common Units to Tall Oak Parent. Such Partnership Common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exchangeable along with the associated shares of Class B Common Stock for shares of SMC common stock at the election of the holder for no additional consideration.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update on the number of Partnership Common Units for the period from December 31, 2025 to March 31, 2026 follow: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Partnership</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Partnership</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20" w:type="dxa"/>
            <w:vAlign w:val="bottom"/>
          </w:tcPr>
          <w:p>
            <w:pPr>
              <w:spacing w:after="0"/>
              <w:rPr>
                <w:sz w:val="15"/>
                <w:szCs w:val="15"/>
                <w:color w:val="auto"/>
              </w:rPr>
            </w:pPr>
          </w:p>
        </w:tc>
        <w:tc>
          <w:tcPr>
            <w:tcW w:w="15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Common Units</w:t>
            </w:r>
          </w:p>
        </w:tc>
        <w:tc>
          <w:tcPr>
            <w:tcW w:w="15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Common Units</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Total Partnership</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15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owned by Tall</w:t>
            </w:r>
          </w:p>
        </w:tc>
        <w:tc>
          <w:tcPr>
            <w:tcW w:w="15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Owned by the</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Oak Parent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Units, December 31,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6,524,467</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12,262,320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18,786,787</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for SMC LTIP, net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units issued for cash</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1,351,351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1,351,351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Units, March 31, 2026</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6,524,467</w:t>
            </w: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13,814,286</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20,338,753</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Subsidiary Series A Preferred Units. </w:t>
      </w:r>
      <w:r>
        <w:rPr>
          <w:rFonts w:ascii="Times New Roman" w:cs="Times New Roman" w:eastAsia="Times New Roman" w:hAnsi="Times New Roman"/>
          <w:sz w:val="18"/>
          <w:szCs w:val="18"/>
          <w:color w:val="auto"/>
        </w:rPr>
        <w:t>Until March 2026, Summit Permian Transmission Holdco, LLC (“Permian Holdco”) had Series A Fixed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Cumulative Redeemable Preferred Units (“Subsidiary Series A Preferred Units”) that ranked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ranked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ranked junior to (i) 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spacing w:after="0" w:line="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2026, the Company redeemed in full, all outstanding Subsidiary Series A Preferred Units. The following table shows the change in the Company’s Subsidiary Series A Preferred Unit balance from December 31, 2025 to March 31, 2026, net of $0.6 million of unamortized issuance costs as of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141,296</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accretion, net of issuance cost amortization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distribution and redemption</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(143,226)</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Noncontrolling interest represents the portion of net assets in the Company’s consolidated subsidiaries that are not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 The Company’s noncontrolling interest is recorded at carrying value and is reported as a component of equity on the condensed consolidated balance sheet. As of March 31, 2026, the Company’s noncontrolling interest is approximately 32.1% of the net assets of SMLP. The noncontrolling interest will be adjusted in the future for (i) any net income or loss generated by SMLP, and (ii) any equity shifts resulting from the issuance of common stock in connection with the SMC LTIP, or certain changes to SMLP’s capital accounts.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noncontrolling interest during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18"/>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4"/>
        </w:trPr>
        <w:tc>
          <w:tcPr>
            <w:tcW w:w="3900" w:type="dxa"/>
            <w:vAlign w:val="bottom"/>
            <w:vMerge w:val="continue"/>
          </w:tcPr>
          <w:p>
            <w:pPr>
              <w:spacing w:after="0"/>
              <w:rPr>
                <w:sz w:val="20"/>
                <w:szCs w:val="20"/>
                <w:color w:val="auto"/>
              </w:rPr>
            </w:pPr>
          </w:p>
        </w:tc>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400,376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5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shift</w:t>
            </w:r>
          </w:p>
        </w:tc>
        <w:tc>
          <w:tcPr>
            <w:tcW w:w="5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319,176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jc w:val="right"/>
              <w:ind w:right="379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90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shift - Change in Ownership of Consolidated Subsidiary. </w:t>
      </w:r>
      <w:r>
        <w:rPr>
          <w:rFonts w:ascii="Times New Roman" w:cs="Times New Roman" w:eastAsia="Times New Roman" w:hAnsi="Times New Roman"/>
          <w:sz w:val="18"/>
          <w:szCs w:val="18"/>
          <w:color w:val="auto"/>
        </w:rPr>
        <w:t>During the three months ended March 31, 2026, the Company had an equity shift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was reduced by $78.3 million. During the three months ended March 31, 2026, the Company increased its ownership of SMLP as a result of certain Partnership Common Unit issuances resulting from SMC LTIP vesting events and the Company’s related party share issuance. These equity issuances increased the Company’s ownership percentage of SMLP and decreased the ownership percentage of SMLP held by the noncontrolling interest owner.</w:t>
      </w:r>
    </w:p>
    <w:p>
      <w:pPr>
        <w:spacing w:after="0" w:line="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Policy. </w:t>
      </w:r>
      <w:r>
        <w:rPr>
          <w:rFonts w:ascii="Times New Roman" w:cs="Times New Roman" w:eastAsia="Times New Roman" w:hAnsi="Times New Roman"/>
          <w:sz w:val="18"/>
          <w:szCs w:val="18"/>
          <w:color w:val="auto"/>
        </w:rPr>
        <w:t>In March 2020, SMLP suspended cash distributions to holders of its common units and Series A Preferred Units, commencing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the quarter ended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As mentioned above, during the quarter ended March 31, 2025, the Company resumed distributions on its Series A Preferred Stock. Further, in March 2026, the Company repaid all accrued and unpaid dividends on its Series A Preferred Stock, including the $46.3 million for accrued and unpaid dividends owed from March 15, 2020 to December 14, 2024.</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Board of Directors. Additionally, the Company’s ability to pay dividends is subject to restrictions on dividends under the Amended and Restated ABL Facility, Series A Preferred Stock and the indenture governing the 2029 Senior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EPS.</w:t>
      </w:r>
    </w:p>
    <w:p>
      <w:pPr>
        <w:spacing w:after="0" w:line="16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26035</wp:posOffset>
            </wp:positionV>
            <wp:extent cx="17399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37"/>
        </w:trPr>
        <w:tc>
          <w:tcPr>
            <w:tcW w:w="8500" w:type="dxa"/>
            <w:vAlign w:val="bottom"/>
          </w:tcPr>
          <w:p>
            <w:pPr>
              <w:spacing w:after="0"/>
              <w:rPr>
                <w:sz w:val="3"/>
                <w:szCs w:val="3"/>
                <w:color w:val="auto"/>
              </w:rPr>
            </w:pPr>
          </w:p>
        </w:tc>
        <w:tc>
          <w:tcPr>
            <w:tcW w:w="2220" w:type="dxa"/>
            <w:vAlign w:val="bottom"/>
            <w:tcBorders>
              <w:bottom w:val="single" w:sz="8" w:color="auto"/>
            </w:tcBorders>
            <w:gridSpan w:val="4"/>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94"/>
        </w:trPr>
        <w:tc>
          <w:tcPr>
            <w:tcW w:w="8500" w:type="dxa"/>
            <w:vAlign w:val="bottom"/>
          </w:tcPr>
          <w:p>
            <w:pPr>
              <w:spacing w:after="0"/>
              <w:rPr>
                <w:sz w:val="16"/>
                <w:szCs w:val="16"/>
                <w:color w:val="auto"/>
              </w:rPr>
            </w:pPr>
          </w:p>
        </w:tc>
        <w:tc>
          <w:tcPr>
            <w:tcW w:w="222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(In thousands, except</w:t>
            </w:r>
          </w:p>
        </w:tc>
        <w:tc>
          <w:tcPr>
            <w:tcW w:w="520" w:type="dxa"/>
            <w:vAlign w:val="bottom"/>
          </w:tcPr>
          <w:p>
            <w:pPr>
              <w:spacing w:after="0"/>
              <w:rPr>
                <w:sz w:val="16"/>
                <w:szCs w:val="16"/>
                <w:color w:val="auto"/>
              </w:rPr>
            </w:pPr>
          </w:p>
        </w:tc>
      </w:tr>
      <w:tr>
        <w:trPr>
          <w:trHeight w:val="212"/>
        </w:trPr>
        <w:tc>
          <w:tcPr>
            <w:tcW w:w="8500" w:type="dxa"/>
            <w:vAlign w:val="bottom"/>
          </w:tcPr>
          <w:p>
            <w:pPr>
              <w:spacing w:after="0"/>
              <w:rPr>
                <w:sz w:val="18"/>
                <w:szCs w:val="18"/>
                <w:color w:val="auto"/>
              </w:rPr>
            </w:pPr>
          </w:p>
        </w:tc>
        <w:tc>
          <w:tcPr>
            <w:tcW w:w="222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per-share amounts)</w:t>
            </w:r>
          </w:p>
        </w:tc>
        <w:tc>
          <w:tcPr>
            <w:tcW w:w="520" w:type="dxa"/>
            <w:vAlign w:val="bottom"/>
          </w:tcPr>
          <w:p>
            <w:pPr>
              <w:spacing w:after="0"/>
              <w:rPr>
                <w:sz w:val="18"/>
                <w:szCs w:val="18"/>
                <w:color w:val="auto"/>
              </w:rPr>
            </w:pPr>
          </w:p>
        </w:tc>
      </w:tr>
      <w:tr>
        <w:trPr>
          <w:trHeight w:val="266"/>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for basic and diluted EPS:</w:t>
            </w: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3"/>
        </w:trPr>
        <w:tc>
          <w:tcPr>
            <w:tcW w:w="8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w:t>
            </w:r>
          </w:p>
        </w:tc>
      </w:tr>
      <w:tr>
        <w:trPr>
          <w:trHeight w:val="233"/>
        </w:trPr>
        <w:tc>
          <w:tcPr>
            <w:tcW w:w="8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Subsidiary Series A Preferred Units</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Series A Preferred Stock</w:t>
            </w: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w:t>
            </w:r>
          </w:p>
        </w:tc>
      </w:tr>
      <w:tr>
        <w:trPr>
          <w:trHeight w:val="23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Net loss attributable to noncontrolling interest</w:t>
            </w: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r>
      <w:tr>
        <w:trPr>
          <w:trHeight w:val="24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Summit Midstream Corporation</w:t>
            </w: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r>
      <w:tr>
        <w:trPr>
          <w:trHeight w:val="253"/>
        </w:trPr>
        <w:tc>
          <w:tcPr>
            <w:tcW w:w="8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for basic and diluted EPS:</w:t>
            </w: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outstanding – basic</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12,329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11,767</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nonvested restricted stock units</w:t>
            </w:r>
          </w:p>
        </w:tc>
        <w:tc>
          <w:tcPr>
            <w:tcW w:w="8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assumed conversion and elimination of noncontrolling interest and net income</w:t>
            </w:r>
          </w:p>
        </w:tc>
        <w:tc>
          <w:tcPr>
            <w:tcW w:w="8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8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outstanding – diluted</w:t>
            </w: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12,329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 basic</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20"/>
                <w:szCs w:val="20"/>
                <w:color w:val="auto"/>
              </w:rPr>
            </w:pPr>
          </w:p>
        </w:tc>
        <w:tc>
          <w:tcPr>
            <w:tcW w:w="80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 diluted</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4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 - basic and diluted</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85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anti-dilutive restricted shares excluded from the calculation of diluted EPS</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w:t>
            </w: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SUPPLEMENTAL CASH FLOW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9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8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41,328</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trade accounts payable (period-end accruals)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7,807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Subsidiary Series A Preferred Units, net of issuance cost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1,930</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consideration for Moonrise Acquisition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COMPENSATION</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SMC Long-Term Incentive Plan. </w:t>
      </w:r>
      <w:r>
        <w:rPr>
          <w:rFonts w:ascii="Times New Roman" w:cs="Times New Roman" w:eastAsia="Times New Roman" w:hAnsi="Times New Roman"/>
          <w:sz w:val="18"/>
          <w:szCs w:val="18"/>
          <w:color w:val="auto"/>
        </w:rPr>
        <w:t>In connection with the consummation of the Corporate Reorganization, the Company assumed SMLP’s 2022 Long-Term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as amended by the First Amendment, effective as of March 16, 2022 (the “SMLP LTIP”), and all the obligations of SMLP thereunder. The SMLP LTIP units were exchanged on a one-for-one basis 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to note:</w:t>
      </w:r>
    </w:p>
    <w:p>
      <w:pPr>
        <w:spacing w:after="0" w:line="117" w:lineRule="exact"/>
        <w:rPr>
          <w:sz w:val="20"/>
          <w:szCs w:val="20"/>
          <w:color w:val="auto"/>
        </w:rPr>
      </w:pPr>
    </w:p>
    <w:p>
      <w:pPr>
        <w:ind w:left="980" w:right="26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 ended March 31, 2026, the Company granted 177,854 shares of time-based restricted stock and associated dividend equivalent rights to employees in connection with the Company’s annual incentive compensation award cycle. The grant date fair value of these awards totaled $5.4 million and the awards generally vest ratably over a three-year period.</w:t>
      </w:r>
    </w:p>
    <w:p>
      <w:pPr>
        <w:spacing w:after="0" w:line="67" w:lineRule="exact"/>
        <w:rPr>
          <w:rFonts w:ascii="Times New Roman" w:cs="Times New Roman" w:eastAsia="Times New Roman" w:hAnsi="Times New Roman"/>
          <w:sz w:val="18"/>
          <w:szCs w:val="18"/>
          <w:color w:val="auto"/>
        </w:rPr>
      </w:pPr>
    </w:p>
    <w:p>
      <w:pPr>
        <w:jc w:val="both"/>
        <w:ind w:left="980" w:right="4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 ended March 31, 2026, the Company granted 120,283 shares of performance-based restricted stock and associated dividend equivalent rights to certain members of management in connection with the Company’s annual incentive compensation award cycle. The grant date fair value of these awards totaled $4.6 million and the awards vest at the end of three years.</w:t>
      </w:r>
    </w:p>
    <w:p>
      <w:pPr>
        <w:spacing w:after="0" w:line="67" w:lineRule="exact"/>
        <w:rPr>
          <w:rFonts w:ascii="Times New Roman" w:cs="Times New Roman" w:eastAsia="Times New Roman" w:hAnsi="Times New Roman"/>
          <w:sz w:val="18"/>
          <w:szCs w:val="18"/>
          <w:color w:val="auto"/>
        </w:rPr>
      </w:pPr>
    </w:p>
    <w:p>
      <w:pPr>
        <w:ind w:left="980" w:right="10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 ended March 31, 2026, the Company issued 22,398 shares of common stock to six independent directors in connection with their annual compensation plan. The grant date fair value of these awards totaled $0.7 million and became fully vested at the grant date.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approximately 0.3 million shares of common stock remained available for future issuance under the SMC LTIP, which includes the impact of 0.7 million granted but unvested restricted stock and performance-based awards, assuming the performance-based awards are settled with a 100% target payout.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Summit Midstream Corporation’s effective income tax rate for the three months ended March 31, 2026 and 2025 was 24.04% and 6.00%, respectively. Summit Midstream Corporation’s effective income tax rate for the three months ended March 31, 2026 and 2025 was different from the U.S. federal statutory income tax rate of 21% primarily due to the net income allocated to the noncontrolling interest, tax benefits related to stock-based compensation, and nondeductible executive compensation.</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SMC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March 31, 2026.</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w:t>
      </w:r>
    </w:p>
    <w:p>
      <w:pPr>
        <w:spacing w:after="0" w:line="5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Rockies </w:t>
      </w:r>
      <w:r>
        <w:rPr>
          <w:rFonts w:ascii="Times New Roman" w:cs="Times New Roman" w:eastAsia="Times New Roman" w:hAnsi="Times New Roman"/>
          <w:sz w:val="18"/>
          <w:szCs w:val="18"/>
          <w:color w:val="auto"/>
        </w:rPr>
        <w:t>– Includes the Company’s midstream assets located in the Williston Basin and the DJ Basin.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Permian </w:t>
      </w:r>
      <w:r>
        <w:rPr>
          <w:rFonts w:ascii="Times New Roman" w:cs="Times New Roman" w:eastAsia="Times New Roman" w:hAnsi="Times New Roman"/>
          <w:sz w:val="18"/>
          <w:szCs w:val="18"/>
          <w:color w:val="auto"/>
        </w:rPr>
        <w:t>– Includes the Company’s equity method investment in Double 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Mid-Con </w:t>
      </w:r>
      <w:r>
        <w:rPr>
          <w:rFonts w:ascii="Times New Roman" w:cs="Times New Roman" w:eastAsia="Times New Roman" w:hAnsi="Times New Roman"/>
          <w:sz w:val="18"/>
          <w:szCs w:val="18"/>
          <w:color w:val="auto"/>
        </w:rPr>
        <w:t>– Includes the Company’s midstream assets located in the Barnett Shale and the Arkoma Basin.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Piceance </w:t>
      </w:r>
      <w:r>
        <w:rPr>
          <w:rFonts w:ascii="Times New Roman" w:cs="Times New Roman" w:eastAsia="Times New Roman" w:hAnsi="Times New Roman"/>
          <w:sz w:val="18"/>
          <w:szCs w:val="18"/>
          <w:color w:val="auto"/>
        </w:rPr>
        <w:t>– Includes the Company’s midstream assets located in the Piceance Basin.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the Company’s reportable segments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Rockies</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Permian</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Piceance</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Mid-Con</w:t>
            </w:r>
          </w:p>
        </w:tc>
      </w:tr>
      <w:tr>
        <w:trPr>
          <w:trHeight w:val="154"/>
        </w:trPr>
        <w:tc>
          <w:tcPr>
            <w:tcW w:w="52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Revenues: </w:t>
            </w:r>
            <w:r>
              <w:rPr>
                <w:rFonts w:ascii="Times New Roman" w:cs="Times New Roman" w:eastAsia="Times New Roman" w:hAnsi="Times New Roman"/>
                <w:sz w:val="16"/>
                <w:szCs w:val="16"/>
                <w:b w:val="1"/>
                <w:bCs w:val="1"/>
                <w:color w:val="auto"/>
                <w:vertAlign w:val="superscript"/>
              </w:rPr>
              <w:t>(1)</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0"/>
        </w:trPr>
        <w:tc>
          <w:tcPr>
            <w:tcW w:w="5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Gathering services and related fees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14,718</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13,267</w:t>
            </w:r>
          </w:p>
        </w:tc>
        <w:tc>
          <w:tcPr>
            <w:tcW w:w="8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31,585</w:t>
            </w:r>
          </w:p>
        </w:tc>
      </w:tr>
      <w:tr>
        <w:trPr>
          <w:trHeight w:val="181"/>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Natural gas, NGL’s and condensate sales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w:t>
            </w:r>
          </w:p>
        </w:tc>
      </w:tr>
      <w:tr>
        <w:trPr>
          <w:trHeight w:val="17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revenues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2,230</w:t>
            </w:r>
          </w:p>
        </w:tc>
      </w:tr>
      <w:tr>
        <w:trPr>
          <w:trHeight w:val="175"/>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86,103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37,110</w:t>
            </w:r>
          </w:p>
        </w:tc>
      </w:tr>
      <w:tr>
        <w:trPr>
          <w:trHeight w:val="170"/>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Cost of natural gas and NGLs (excludes deductions for gathering, processing, and other fees)</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2"/>
        </w:trPr>
        <w:tc>
          <w:tcPr>
            <w:tcW w:w="524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Cost of natural gas and NGLs (amounts withheld from customers for the Company’s gathering,</w:t>
            </w: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81"/>
        </w:trPr>
        <w:tc>
          <w:tcPr>
            <w:tcW w:w="5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processing and other fees)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(15,479)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Employee costs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2,747</w:t>
            </w:r>
          </w:p>
        </w:tc>
      </w:tr>
      <w:tr>
        <w:trPr>
          <w:trHeight w:val="170"/>
        </w:trPr>
        <w:tc>
          <w:tcPr>
            <w:tcW w:w="5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Materials, parts, and other operating expenses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4,156</w:t>
            </w:r>
          </w:p>
        </w:tc>
      </w:tr>
      <w:tr>
        <w:trPr>
          <w:trHeight w:val="181"/>
        </w:trPr>
        <w:tc>
          <w:tcPr>
            <w:tcW w:w="52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3"/>
                <w:szCs w:val="13"/>
                <w:color w:val="auto"/>
              </w:rPr>
              <w:t xml:space="preserve">Indirect and passthrough </w:t>
            </w:r>
            <w:r>
              <w:rPr>
                <w:rFonts w:ascii="Times New Roman" w:cs="Times New Roman" w:eastAsia="Times New Roman" w:hAnsi="Times New Roman"/>
                <w:sz w:val="16"/>
                <w:szCs w:val="16"/>
                <w:color w:val="auto"/>
                <w:vertAlign w:val="superscript"/>
              </w:rPr>
              <w:t>(3)</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10,139</w:t>
            </w:r>
          </w:p>
        </w:tc>
      </w:tr>
      <w:tr>
        <w:trPr>
          <w:trHeight w:val="175"/>
        </w:trPr>
        <w:tc>
          <w:tcPr>
            <w:tcW w:w="5240" w:type="dxa"/>
            <w:vAlign w:val="bottom"/>
            <w:tcBorders>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Other segment items </w:t>
            </w:r>
            <w:r>
              <w:rPr>
                <w:rFonts w:ascii="Times New Roman" w:cs="Times New Roman" w:eastAsia="Times New Roman" w:hAnsi="Times New Roman"/>
                <w:sz w:val="16"/>
                <w:szCs w:val="16"/>
                <w:color w:val="auto"/>
                <w:vertAlign w:val="superscript"/>
              </w:rPr>
              <w:t>(2)</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(7,783)</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741</w:t>
            </w:r>
          </w:p>
        </w:tc>
      </w:tr>
      <w:tr>
        <w:trPr>
          <w:trHeight w:val="16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EBITDA</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19,327</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Rockies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Permian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Piceance</w:t>
            </w:r>
          </w:p>
        </w:tc>
        <w:tc>
          <w:tcPr>
            <w:tcW w:w="280" w:type="dxa"/>
            <w:vAlign w:val="bottom"/>
          </w:tcPr>
          <w:p>
            <w:pPr>
              <w:spacing w:after="0"/>
              <w:rPr>
                <w:sz w:val="15"/>
                <w:szCs w:val="15"/>
                <w:color w:val="auto"/>
              </w:rPr>
            </w:pPr>
          </w:p>
        </w:tc>
        <w:tc>
          <w:tcPr>
            <w:tcW w:w="116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Mid-Con</w:t>
            </w:r>
          </w:p>
        </w:tc>
      </w:tr>
      <w:tr>
        <w:trPr>
          <w:trHeight w:val="154"/>
        </w:trPr>
        <w:tc>
          <w:tcPr>
            <w:tcW w:w="52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Revenues: </w:t>
            </w:r>
            <w:r>
              <w:rPr>
                <w:rFonts w:ascii="Times New Roman" w:cs="Times New Roman" w:eastAsia="Times New Roman" w:hAnsi="Times New Roman"/>
                <w:sz w:val="16"/>
                <w:szCs w:val="16"/>
                <w:b w:val="1"/>
                <w:bCs w:val="1"/>
                <w:color w:val="auto"/>
                <w:vertAlign w:val="superscript"/>
              </w:rPr>
              <w:t>(1)</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0"/>
        </w:trPr>
        <w:tc>
          <w:tcPr>
            <w:tcW w:w="5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Gathering services and related fees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16,045</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15,743</w:t>
            </w:r>
          </w:p>
        </w:tc>
        <w:tc>
          <w:tcPr>
            <w:tcW w:w="8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32,377</w:t>
            </w:r>
          </w:p>
        </w:tc>
      </w:tr>
      <w:tr>
        <w:trPr>
          <w:trHeight w:val="181"/>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Natural gas, NGL’s and condensate sales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3,597</w:t>
            </w:r>
          </w:p>
        </w:tc>
      </w:tr>
      <w:tr>
        <w:trPr>
          <w:trHeight w:val="17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revenues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4,918</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2,193</w:t>
            </w:r>
          </w:p>
        </w:tc>
      </w:tr>
      <w:tr>
        <w:trPr>
          <w:trHeight w:val="175"/>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75,787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38,167</w:t>
            </w:r>
          </w:p>
        </w:tc>
      </w:tr>
      <w:tr>
        <w:trPr>
          <w:trHeight w:val="170"/>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Cost of natural gas and NGLs (excludes deductions for gathering, processing, and other fees)</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1"/>
        </w:trPr>
        <w:tc>
          <w:tcPr>
            <w:tcW w:w="524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Cost of natural gas and NGLs (amounts withheld from customers for the Company’s gathering,</w:t>
            </w: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81"/>
        </w:trPr>
        <w:tc>
          <w:tcPr>
            <w:tcW w:w="5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processing and other fees)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(13,280)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Employee costs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w:t>
            </w:r>
          </w:p>
        </w:tc>
      </w:tr>
      <w:tr>
        <w:trPr>
          <w:trHeight w:val="170"/>
        </w:trPr>
        <w:tc>
          <w:tcPr>
            <w:tcW w:w="5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Materials, parts, and other operating expenses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w:t>
            </w:r>
          </w:p>
        </w:tc>
      </w:tr>
      <w:tr>
        <w:trPr>
          <w:trHeight w:val="181"/>
        </w:trPr>
        <w:tc>
          <w:tcPr>
            <w:tcW w:w="52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3"/>
                <w:szCs w:val="13"/>
                <w:color w:val="auto"/>
              </w:rPr>
              <w:t xml:space="preserve">Indirect and passthrough </w:t>
            </w:r>
            <w:r>
              <w:rPr>
                <w:rFonts w:ascii="Times New Roman" w:cs="Times New Roman" w:eastAsia="Times New Roman" w:hAnsi="Times New Roman"/>
                <w:sz w:val="16"/>
                <w:szCs w:val="16"/>
                <w:color w:val="auto"/>
                <w:vertAlign w:val="superscript"/>
              </w:rPr>
              <w:t>(3)</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9,865</w:t>
            </w:r>
          </w:p>
        </w:tc>
      </w:tr>
      <w:tr>
        <w:trPr>
          <w:trHeight w:val="176"/>
        </w:trPr>
        <w:tc>
          <w:tcPr>
            <w:tcW w:w="5240" w:type="dxa"/>
            <w:vAlign w:val="bottom"/>
            <w:tcBorders>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Other segment items </w:t>
            </w:r>
            <w:r>
              <w:rPr>
                <w:rFonts w:ascii="Times New Roman" w:cs="Times New Roman" w:eastAsia="Times New Roman" w:hAnsi="Times New Roman"/>
                <w:sz w:val="16"/>
                <w:szCs w:val="16"/>
                <w:color w:val="auto"/>
                <w:vertAlign w:val="superscript"/>
              </w:rPr>
              <w:t>(2)</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2,866</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w:t>
            </w:r>
          </w:p>
        </w:tc>
      </w:tr>
      <w:tr>
        <w:trPr>
          <w:trHeight w:val="16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EBITDA</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24,869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22,457</w:t>
            </w:r>
          </w:p>
        </w:tc>
      </w:tr>
    </w:tbl>
    <w:p>
      <w:pPr>
        <w:spacing w:after="0" w:line="164" w:lineRule="exact"/>
        <w:rPr>
          <w:sz w:val="20"/>
          <w:szCs w:val="20"/>
          <w:color w:val="auto"/>
        </w:rPr>
      </w:pPr>
    </w:p>
    <w:p>
      <w:pPr>
        <w:ind w:left="260" w:hanging="171"/>
        <w:spacing w:after="0"/>
        <w:tabs>
          <w:tab w:leader="none" w:pos="26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Company’s revenues are attributable solely to external customers located within the U.S.</w:t>
      </w:r>
    </w:p>
    <w:p>
      <w:pPr>
        <w:spacing w:after="0" w:line="82" w:lineRule="exact"/>
        <w:rPr>
          <w:rFonts w:ascii="Times New Roman" w:cs="Times New Roman" w:eastAsia="Times New Roman" w:hAnsi="Times New Roman"/>
          <w:sz w:val="21"/>
          <w:szCs w:val="21"/>
          <w:color w:val="auto"/>
          <w:vertAlign w:val="superscript"/>
        </w:rPr>
      </w:pPr>
    </w:p>
    <w:p>
      <w:pPr>
        <w:ind w:left="280" w:hanging="191"/>
        <w:spacing w:after="0" w:line="219" w:lineRule="auto"/>
        <w:tabs>
          <w:tab w:leader="none" w:pos="2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2026 and 2025, other segment items consist primarily of the following:</w:t>
      </w:r>
    </w:p>
    <w:p>
      <w:pPr>
        <w:spacing w:after="0" w:line="90" w:lineRule="exact"/>
        <w:rPr>
          <w:rFonts w:ascii="Times New Roman" w:cs="Times New Roman" w:eastAsia="Times New Roman" w:hAnsi="Times New Roman"/>
          <w:sz w:val="23"/>
          <w:szCs w:val="23"/>
          <w:color w:val="auto"/>
          <w:vertAlign w:val="superscript"/>
        </w:rPr>
      </w:pPr>
    </w:p>
    <w:p>
      <w:pPr>
        <w:ind w:left="660" w:right="240" w:hanging="328"/>
        <w:spacing w:after="0" w:line="282" w:lineRule="auto"/>
        <w:tabs>
          <w:tab w:leader="none" w:pos="6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Rockies - includes general and administrative expenses, operations and maintenance expenses and adjustments related to capital reimbursement activity;</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Permian - includes general and administrative expenses and the Company’s proportional adjusted EBITDA from its equity method investment in Double E;</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Piceance - includes general and administrative expenses, operations and maintenance expenses and adjustments related to capital reimbursement activity;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20" w:hanging="328"/>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Mid-Con - includes general and administrative expenses, operations and maintenance expenses, adjustments related to capital reimbursement activity, the amortization expense associated with the Company’s favorable and unfavorable gas gathering contracts.</w:t>
      </w:r>
    </w:p>
    <w:p>
      <w:pPr>
        <w:spacing w:after="0" w:line="23" w:lineRule="exact"/>
        <w:rPr>
          <w:rFonts w:ascii="Times New Roman" w:cs="Times New Roman" w:eastAsia="Times New Roman" w:hAnsi="Times New Roman"/>
          <w:sz w:val="18"/>
          <w:szCs w:val="18"/>
          <w:color w:val="auto"/>
        </w:rPr>
      </w:pPr>
    </w:p>
    <w:p>
      <w:pPr>
        <w:ind w:left="280" w:hanging="191"/>
        <w:spacing w:after="0"/>
        <w:tabs>
          <w:tab w:leader="none" w:pos="2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Indirect and passthrough consist primarily of electricity expense incurred by the Company of which a portion is passed through to its customers.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by reportable segment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84"/>
        </w:trPr>
        <w:tc>
          <w:tcPr>
            <w:tcW w:w="8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4"/>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9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Assets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Rockies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983,074</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283,090</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753,517</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Piceance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341,957</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2,361,638</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r>
      <w:tr>
        <w:trPr>
          <w:trHeight w:val="248"/>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2,387,609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Company’s long-lived assets are located within the U.S.</w:t>
      </w:r>
    </w:p>
    <w:p>
      <w:pPr>
        <w:spacing w:after="0" w:line="90"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Depreciation and amortization, including the amortization expense associated with the Company’s favorable and unfavorable gas gathering contracts as reported in other revenues, by reportable segment follow:</w:t>
      </w:r>
    </w:p>
    <w:p>
      <w:pPr>
        <w:jc w:val="center"/>
        <w:ind w:left="8260"/>
        <w:spacing w:after="0" w:line="228"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4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Rockies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10,757</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Mid-Con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Piceance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 depreciation and amortization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26,615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26,943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80" w:firstLine="8"/>
        <w:spacing w:after="0" w:line="365" w:lineRule="auto"/>
        <w:tabs>
          <w:tab w:leader="none" w:pos="18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amortization expense associated with the Company’s favorable and unfavorable gas gathering contracts as reported in Other revenues. Cash paid for capital expenditures by reportable segment follow:</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229"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paid for capital expenditures: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Rockies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Mid-Con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Piceance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10,976</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373"/>
        </w:trPr>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7,320</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34"/>
        </w:trPr>
        <w:tc>
          <w:tcPr>
            <w:tcW w:w="4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-530860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-145415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560" w:space="720"/>
            <w:col w:w="29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reportable segment capital expenditures</w:t>
            </w: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paid for capital expenditures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20,606</w:t>
            </w:r>
          </w:p>
        </w:tc>
      </w:tr>
      <w:tr>
        <w:trPr>
          <w:trHeight w:val="21"/>
        </w:trPr>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the purpose of evaluating segment performance, the Company excludes the effect of Corporate and Other revenues and expenses, such as certain general and administrative expenses (including compensation-related expenses and professional</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services fees), certain natural gas and crude oil marketing services, transaction costs, interest expense, and income tax expense or benefit from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of reportable segments’ measure of profit to income or loss before income taxes and income from equity method investees follow: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5"/>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8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 to income (loss) before income taxes: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64,002</w:t>
            </w:r>
          </w:p>
        </w:tc>
        <w:tc>
          <w:tcPr>
            <w:tcW w:w="580" w:type="dxa"/>
            <w:vAlign w:val="bottom"/>
            <w:tcBorders>
              <w:bottom w:val="single" w:sz="8" w:color="CFF0FC"/>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67,382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Corporate and Other expense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10,955</w:t>
            </w:r>
          </w:p>
        </w:tc>
        <w:tc>
          <w:tcPr>
            <w:tcW w:w="8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(5,237)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25,013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w:t>
            </w: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(2)</w:t>
            </w:r>
          </w:p>
        </w:tc>
        <w:tc>
          <w:tcPr>
            <w:tcW w:w="8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26,943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w:t>
            </w: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Proportional adjusted EBITDA for equity method investees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Adjustments related to capital reimbursement activity </w:t>
            </w:r>
            <w:r>
              <w:rPr>
                <w:rFonts w:ascii="Times New Roman" w:cs="Times New Roman" w:eastAsia="Times New Roman" w:hAnsi="Times New Roman"/>
                <w:sz w:val="23"/>
                <w:szCs w:val="23"/>
                <w:color w:val="auto"/>
                <w:vertAlign w:val="superscript"/>
              </w:rPr>
              <w:t>(3)</w:t>
            </w:r>
          </w:p>
        </w:tc>
        <w:tc>
          <w:tcPr>
            <w:tcW w:w="8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(2,825)</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asset sales, net</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and other</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(4,168)</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includes results that are not specifically attributable to a reportable segment or that have not been allocated to the Company’s reportable segments, including certain general and administrative expense items, transaction costs,</w:t>
      </w:r>
    </w:p>
    <w:p>
      <w:pPr>
        <w:spacing w:after="0" w:line="62" w:lineRule="exact"/>
        <w:rPr>
          <w:rFonts w:ascii="Times New Roman" w:cs="Times New Roman" w:eastAsia="Times New Roman" w:hAnsi="Times New Roman"/>
          <w:sz w:val="11"/>
          <w:szCs w:val="11"/>
          <w:color w:val="auto"/>
        </w:rPr>
      </w:pPr>
    </w:p>
    <w:p>
      <w:pPr>
        <w:ind w:left="260" w:right="20"/>
        <w:spacing w:after="0" w:line="27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acquisition integration costs, and interest expense. For the three months ended March 31, 2026, other expense consisted primarily of loss on the fair value remeasurement of the Tall Oak earn-out. For the three months ended March 31, 2025, other expense consisted primarily of a gain on the fair value remeasurement of the Tall Oak earn-out.</w:t>
      </w:r>
    </w:p>
    <w:p>
      <w:pPr>
        <w:ind w:left="240" w:hanging="232"/>
        <w:spacing w:after="0"/>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amortization expense associated with the Company’s favorable gas gathering contracts as reported in other revenues.</w:t>
      </w:r>
    </w:p>
    <w:p>
      <w:pPr>
        <w:spacing w:after="0" w:line="7" w:lineRule="exact"/>
        <w:rPr>
          <w:rFonts w:ascii="Times New Roman" w:cs="Times New Roman" w:eastAsia="Times New Roman" w:hAnsi="Times New Roman"/>
          <w:sz w:val="12"/>
          <w:szCs w:val="12"/>
          <w:color w:val="auto"/>
        </w:rPr>
      </w:pPr>
    </w:p>
    <w:p>
      <w:pPr>
        <w:ind w:left="260" w:right="260" w:hanging="252"/>
        <w:spacing w:after="0" w:line="258" w:lineRule="auto"/>
        <w:tabs>
          <w:tab w:leader="none" w:pos="24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inform the reader about matters affecting the financial condition and results of operations of the Company and its subsidiaries for the periods since December 31, 2025. As a result, the following discussion should be read in conjunction with the Company’s unaudited condensed consolidated financial statements and notes thereto included in this report and the MD&amp;A and the audited consolidated financial statements and related notes that are included in the Company’s 2025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the section “Forward-Looking Statements.” Actual results may differ materially from those contained in any forward-looking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 value-oriented company focused on developing, owning, and operating midstream energy infrastructure assets that are strategically located in the core producing areas of unconventional resource basins, primarily shale formations, in the continental U.S.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consolidated and reportable segment financial data. For additional information on our reportable segments, see the “Segment Overview for the Three Months Ended March 31, 2026 and 2025” section included herein.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r>
      <w:tr>
        <w:trPr>
          <w:trHeight w:val="26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Rockies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w:t>
            </w: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Permian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Mid-Con</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w:t>
            </w: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Piceance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r>
      <w:tr>
        <w:trPr>
          <w:trHeight w:val="256"/>
        </w:trPr>
        <w:tc>
          <w:tcPr>
            <w:tcW w:w="8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r>
      <w:tr>
        <w:trPr>
          <w:trHeight w:val="257"/>
        </w:trPr>
        <w:tc>
          <w:tcPr>
            <w:tcW w:w="8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consideration paid for the acquisition of Moonrise,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(69,997)</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equity method investee - Double E</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8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New Permian Transmission Facility</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repayments - Legacy Permian Transmission Term Loan</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7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on Amended and Restated ABL Facility</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repayments - Amended and Restated ABL Facility</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7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and redemption of Subsidiary Series A Preferred Units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(143,226)</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on Series A Preferred Stock</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7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shares issued for cash, net</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41,459</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settlement of Tall Oak earn-out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Additional 2029 Secured Notes</w:t>
            </w: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258,438</w:t>
            </w:r>
          </w:p>
        </w:tc>
      </w:tr>
    </w:tbl>
    <w:p>
      <w:pPr>
        <w:spacing w:after="0" w:line="4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“Liquidity and Capital Resources” herein for additional information on capital expenditures.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has been, and we expect our future business to continue to be, affected by the following key trends:</w:t>
      </w:r>
    </w:p>
    <w:p>
      <w:pPr>
        <w:spacing w:after="0" w:line="117" w:lineRule="exact"/>
        <w:rPr>
          <w:sz w:val="20"/>
          <w:szCs w:val="20"/>
          <w:color w:val="auto"/>
        </w:rPr>
      </w:pPr>
    </w:p>
    <w:p>
      <w:pPr>
        <w:ind w:left="980" w:right="100" w:hanging="486"/>
        <w:spacing w:after="0" w:line="26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 of political and economic conditions and events in foreign oil and natural gas producing countries on commodity prices, including the ongoing U.S. military operation in Iran, and the threatened and actual closing of oil shipping routes, including the Strait of Hormuz, by Iran and affiliated groups, the current Russia-Ukraine conflict, international sanctions against Russia, the U.S. military operation in Venezuela, and other sustained military campaigns;</w:t>
      </w:r>
    </w:p>
    <w:p>
      <w:pPr>
        <w:spacing w:after="0" w:line="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NGL, and crude oil supply and demand dynamics;</w:t>
      </w:r>
    </w:p>
    <w:p>
      <w:pPr>
        <w:spacing w:after="0" w:line="117" w:lineRule="exact"/>
        <w:rPr>
          <w:rFonts w:ascii="Times New Roman" w:cs="Times New Roman" w:eastAsia="Times New Roman" w:hAnsi="Times New Roman"/>
          <w:sz w:val="18"/>
          <w:szCs w:val="18"/>
          <w:color w:val="auto"/>
        </w:rPr>
      </w:pPr>
    </w:p>
    <w:p>
      <w:pPr>
        <w:ind w:left="980" w:right="36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OPEC and its allies, including the ability and willingness of the members of OPEC and other exporting nations to agree to and maintain oil price and production controls;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from U.S. shale plays;</w:t>
      </w:r>
    </w:p>
    <w:p>
      <w:pPr>
        <w:spacing w:after="0" w:line="117" w:lineRule="exact"/>
        <w:rPr>
          <w:rFonts w:ascii="Times New Roman" w:cs="Times New Roman" w:eastAsia="Times New Roman" w:hAnsi="Times New Roman"/>
          <w:sz w:val="18"/>
          <w:szCs w:val="18"/>
          <w:color w:val="auto"/>
        </w:rPr>
      </w:pPr>
    </w:p>
    <w:p>
      <w:pPr>
        <w:ind w:left="980" w:right="2440" w:hanging="486"/>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whether internationally, nationally, or in the regional and local market areas in which we do business, including any future economic downturn, the imposition of tariffs or trade or other economic sanctions, and political instability;</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availability and cost of capital;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shifts in operating costs.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2025 Annual Report.</w:t>
      </w:r>
    </w:p>
    <w:p>
      <w:pPr>
        <w:spacing w:after="0" w:line="64"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2026 capital structure transactions. </w:t>
      </w:r>
      <w:r>
        <w:rPr>
          <w:rFonts w:ascii="Times New Roman" w:cs="Times New Roman" w:eastAsia="Times New Roman" w:hAnsi="Times New Roman"/>
          <w:sz w:val="18"/>
          <w:szCs w:val="18"/>
          <w:color w:val="auto"/>
        </w:rPr>
        <w:t>During the quarterly period ended March 31, 2026, we completed several transactions with counterparties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impacted our financial position and quarterly cash flows and will also impact future cash outflows for interest expense, dividends, and operating and financing activities.</w:t>
      </w:r>
    </w:p>
    <w:p>
      <w:pPr>
        <w:spacing w:after="0" w:line="67" w:lineRule="exact"/>
        <w:rPr>
          <w:sz w:val="20"/>
          <w:szCs w:val="20"/>
          <w:color w:val="auto"/>
        </w:rPr>
      </w:pPr>
    </w:p>
    <w:p>
      <w:pPr>
        <w:ind w:left="660" w:right="180" w:hanging="328"/>
        <w:spacing w:after="0" w:line="277" w:lineRule="auto"/>
        <w:tabs>
          <w:tab w:leader="none" w:pos="655"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u w:val="single" w:color="auto"/>
          <w:color w:val="auto"/>
        </w:rPr>
        <w:t>Legacy Permian Transmission Credit Facilities Refinancing.</w:t>
      </w:r>
      <w:r>
        <w:rPr>
          <w:rFonts w:ascii="Times New Roman" w:cs="Times New Roman" w:eastAsia="Times New Roman" w:hAnsi="Times New Roman"/>
          <w:sz w:val="17"/>
          <w:szCs w:val="17"/>
          <w:color w:val="auto"/>
        </w:rPr>
        <w:t xml:space="preserve"> In March 2026, we completed a $440.0 million refinancing of our Legacy Permian Transmission Credit Facilities in the form of the New Permian Transmission Facility having a maturity in March 2031, bearing interest at SOFR plus 4.00% per annum. The New Permian Transmission Facility consists of $340.0 million in initial term loan commitments, $50.0 million in delayed draw commitments (with a commitment fee of 1.00% per annum) and a $50.0 million uncommitted incremental facility. In connection with the New Permian Transmission Facility, Summit Permian Transmission entered into a $7.0 million letter of credit arrangement.</w:t>
      </w:r>
    </w:p>
    <w:p>
      <w:pPr>
        <w:spacing w:after="0" w:line="59" w:lineRule="exact"/>
        <w:rPr>
          <w:rFonts w:ascii="Times New Roman" w:cs="Times New Roman" w:eastAsia="Times New Roman" w:hAnsi="Times New Roman"/>
          <w:sz w:val="17"/>
          <w:szCs w:val="17"/>
          <w:b w:val="1"/>
          <w:bCs w:val="1"/>
          <w:i w:val="1"/>
          <w:iCs w:val="1"/>
          <w:color w:val="auto"/>
        </w:rPr>
      </w:pPr>
    </w:p>
    <w:p>
      <w:pPr>
        <w:ind w:left="660" w:right="7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of Subsidiary Series A Preferred Units.</w:t>
      </w:r>
      <w:r>
        <w:rPr>
          <w:rFonts w:ascii="Times New Roman" w:cs="Times New Roman" w:eastAsia="Times New Roman" w:hAnsi="Times New Roman"/>
          <w:sz w:val="18"/>
          <w:szCs w:val="18"/>
          <w:color w:val="auto"/>
        </w:rPr>
        <w:t xml:space="preserve"> In March 2026, in connection with the Legacy Permian Transmission Credit Facility Refinancing, we redeemed in full all outstanding Subsidiary Series A Preferred Units for $143.2 million.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settlement of unpaid dividends for Series A Preferred Units.</w:t>
      </w:r>
      <w:r>
        <w:rPr>
          <w:rFonts w:ascii="Times New Roman" w:cs="Times New Roman" w:eastAsia="Times New Roman" w:hAnsi="Times New Roman"/>
          <w:sz w:val="18"/>
          <w:szCs w:val="18"/>
          <w:color w:val="auto"/>
        </w:rPr>
        <w:t xml:space="preserve"> In March 2026, we made a cash dividend payment to the holders of our Series A Preferred Units which included $46.3 million for accrued and unpaid dividends owed from March 15, 2020 to December 14, 2024.</w:t>
      </w:r>
    </w:p>
    <w:p>
      <w:pPr>
        <w:spacing w:after="0" w:line="53" w:lineRule="exact"/>
        <w:rPr>
          <w:rFonts w:ascii="Times New Roman" w:cs="Times New Roman" w:eastAsia="Times New Roman" w:hAnsi="Times New Roman"/>
          <w:sz w:val="18"/>
          <w:szCs w:val="18"/>
          <w:color w:val="auto"/>
        </w:rPr>
      </w:pPr>
    </w:p>
    <w:p>
      <w:pPr>
        <w:ind w:left="660" w:hanging="328"/>
        <w:spacing w:after="0" w:line="277"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issuance with a related party.</w:t>
      </w:r>
      <w:r>
        <w:rPr>
          <w:rFonts w:ascii="Times New Roman" w:cs="Times New Roman" w:eastAsia="Times New Roman" w:hAnsi="Times New Roman"/>
          <w:sz w:val="17"/>
          <w:szCs w:val="17"/>
          <w:color w:val="auto"/>
        </w:rPr>
        <w:t xml:space="preserve"> On March 31, 2026, pursuant to a Securities Purchase Agreement (the “Purchase Agreement”), by and among the Company, SMLP and Tall Oak Parent, and solely for purposes of modifying certain existing registration rights as detailed in the Purchase Agreement, Connect Midstream, LLC, we issued and sold to Tall Oak Parent 1,351,351 shares of common stock of the Company in exchange for $41.5 million of cash proceeds, net of $0.5 million of issuance costs. The shares were issued at a price of $31.08 per share, which represented the “Minimum Price” in accordance with NYSE regulations. The shares are subject to a 6-month lock up period and other terms and conditions.</w:t>
      </w:r>
    </w:p>
    <w:p>
      <w:pPr>
        <w:spacing w:after="0" w:line="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Capital structure optimization and portfolio management</w:t>
      </w:r>
      <w:r>
        <w:rPr>
          <w:rFonts w:ascii="Times New Roman" w:cs="Times New Roman" w:eastAsia="Times New Roman" w:hAnsi="Times New Roman"/>
          <w:sz w:val="18"/>
          <w:szCs w:val="18"/>
          <w:color w:val="auto"/>
        </w:rPr>
        <w:t>. We intend to continue to improve our capital structure in the future by reducing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indebtedness with free cash flow, and when appropriate, we may pursue opportunistic transactions with the objective of increasing long-term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New Permian Transmission Facility, and access to debt or equity capital markets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Ongoing impact of political and economic conditions and events in foreign oil and natural gas producing countries on commodity prices. </w:t>
      </w:r>
      <w:r>
        <w:rPr>
          <w:rFonts w:ascii="Times New Roman" w:cs="Times New Roman" w:eastAsia="Times New Roman" w:hAnsi="Times New Roman"/>
          <w:sz w:val="18"/>
          <w:szCs w:val="18"/>
          <w:color w:val="auto"/>
        </w:rPr>
        <w:t>Although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solely in the U.S., certain events and conditions in foreign oil and natural gas producing countries, such as the ongoing U.S. military operation in Iran, and the threatened and actual closing of oil shipping routes, including the Strait of Hormuz, by Iran and affiliated groups, Russia’s invasion of Ukraine, and the recent change in Venezuela’s political leadership,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NGL, and crude oil supply and demand dynamics. </w:t>
      </w:r>
      <w:r>
        <w:rPr>
          <w:rFonts w:ascii="Times New Roman" w:cs="Times New Roman" w:eastAsia="Times New Roman" w:hAnsi="Times New Roman"/>
          <w:sz w:val="18"/>
          <w:szCs w:val="18"/>
          <w:color w:val="auto"/>
        </w:rPr>
        <w:t>Natural gas continues to be a critical component of energy supply and demand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spacing w:after="0" w:line="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certain of our gathering systems are directly affected by crude oil supply and demand dynamics.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Despite improving fundamentals that should support additional development activities, we note that over the last several years there has been an increasing societal opposition to the production of hydrocarbons generally, which may be reflected 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legislation, executive orders or regulations that may significantly restrict the domestic production of fossil fuels, including natural gas.</w:t>
      </w:r>
    </w:p>
    <w:p>
      <w:pPr>
        <w:spacing w:after="0" w:line="11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Growth in production from U.S. shale plays. </w:t>
      </w:r>
      <w:r>
        <w:rPr>
          <w:rFonts w:ascii="Times New Roman" w:cs="Times New Roman" w:eastAsia="Times New Roman" w:hAnsi="Times New Roman"/>
          <w:sz w:val="18"/>
          <w:szCs w:val="18"/>
          <w:color w:val="auto"/>
        </w:rPr>
        <w:t>Over the past several years, natural gas production from unconventional shale resources has increased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Rate of growth in production from U.S. shale plays. </w:t>
      </w:r>
      <w:r>
        <w:rPr>
          <w:rFonts w:ascii="Times New Roman" w:cs="Times New Roman" w:eastAsia="Times New Roman" w:hAnsi="Times New Roman"/>
          <w:sz w:val="18"/>
          <w:szCs w:val="18"/>
          <w:color w:val="auto"/>
        </w:rPr>
        <w:t>Some of our producer customers have adjusted their drilling and completion activities and schedules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spacing w:after="0" w:line="7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markets availability and cost of capital. </w:t>
      </w:r>
      <w:r>
        <w:rPr>
          <w:rFonts w:ascii="Times New Roman" w:cs="Times New Roman" w:eastAsia="Times New Roman" w:hAnsi="Times New Roman"/>
          <w:sz w:val="18"/>
          <w:szCs w:val="18"/>
          <w:color w:val="auto"/>
        </w:rPr>
        <w:t>Capital markets conditions, including but not limited to availability and higher borrowing costs,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our 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spacing w:after="0" w:line="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and operating costs. </w:t>
      </w:r>
      <w:r>
        <w:rPr>
          <w:rFonts w:ascii="Times New Roman" w:cs="Times New Roman" w:eastAsia="Times New Roman" w:hAnsi="Times New Roman"/>
          <w:sz w:val="18"/>
          <w:szCs w:val="18"/>
          <w:color w:val="auto"/>
        </w:rPr>
        <w:t>The annual rate of inflation in the U.S. hit 6.5% in December 2022, one of the highest increases in more than three decades,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measured by the Consumer Price Index. While inflation has declined since the second half of 2022, further increases in inflation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w:t>
      </w:r>
    </w:p>
    <w:p>
      <w:pPr>
        <w:spacing w:after="0" w:line="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increases in interest rates. </w:t>
      </w:r>
      <w:r>
        <w:rPr>
          <w:rFonts w:ascii="Times New Roman" w:cs="Times New Roman" w:eastAsia="Times New Roman" w:hAnsi="Times New Roman"/>
          <w:sz w:val="18"/>
          <w:szCs w:val="18"/>
          <w:color w:val="auto"/>
        </w:rPr>
        <w:t>Increases in interest rates could adversely affect our future ability to obtain financing or materially increase the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existing and any additional financing. Since March 2022, the Federal Reserve has raised its target range for the federal funds rate multiple times and the timing of any potential further increases or decreases remains uncertain. As of March 31, 2026, we had approximately $825.0 million principal of fixed-rate debt, $116.0 million outstanding under our variable rate Amended and Restated ABL Facility and $340.0 million outstanding under the variable rate New Permian Transmission Facility. (See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xml:space="preserve"> for additional information.) As of March 31, 2026, we had $100.0 million of interest rate exposure hedged to offset the impact of changes in interest rates on our New Permian Transmission Facility.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Overview for the Three Months Ended March 31, 2026 and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certain consolidated financial and operating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4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8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64,165</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NGLs and condensate sales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59,327</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r>
      <w:tr>
        <w:trPr>
          <w:trHeight w:val="237"/>
        </w:trPr>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139,142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132,697</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natural gas and NGLs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33,530</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 costs</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asset sales, net</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4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118,118</w:t>
            </w:r>
          </w:p>
        </w:tc>
      </w:tr>
      <w:tr>
        <w:trPr>
          <w:trHeight w:val="237"/>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8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Volume throughput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throughput - natural gas (MMcf/d)</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throughput - liquids (Mbbl/d)</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ind w:left="340" w:right="200" w:hanging="332"/>
        <w:spacing w:after="0" w:line="302" w:lineRule="auto"/>
        <w:tabs>
          <w:tab w:leader="none" w:pos="327"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volume throughput for Double E. For additional information, see the Permian section herein under the caption “Segment Overview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Volumes – Gas. </w:t>
      </w:r>
      <w:r>
        <w:rPr>
          <w:rFonts w:ascii="Times New Roman" w:cs="Times New Roman" w:eastAsia="Times New Roman" w:hAnsi="Times New Roman"/>
          <w:sz w:val="18"/>
          <w:szCs w:val="18"/>
          <w:color w:val="auto"/>
        </w:rPr>
        <w:t>Natural gas throughput volumes decreased 13 MMcf/d for the three months ended March 31, 2026 compared to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2025, reflecting:</w:t>
      </w:r>
    </w:p>
    <w:p>
      <w:pPr>
        <w:spacing w:after="0" w:line="51"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volume throughput increase of 38 MMcf/d for the Rockies segment.</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volume throughput decrease of 12 MMcf/d for the Mid-Con segment.</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volume throughput decrease of 39 MMcf/d for the Piceance segment.</w:t>
      </w:r>
    </w:p>
    <w:p>
      <w:pPr>
        <w:spacing w:after="0" w:line="113"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Volumes – Liquids. </w:t>
      </w:r>
      <w:r>
        <w:rPr>
          <w:rFonts w:ascii="Times New Roman" w:cs="Times New Roman" w:eastAsia="Times New Roman" w:hAnsi="Times New Roman"/>
          <w:sz w:val="18"/>
          <w:szCs w:val="18"/>
          <w:color w:val="auto"/>
        </w:rPr>
        <w:t>Crude oil and produced water throughput volumes at the Rockies segment decreased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three months ended March 31, 2025, primarily due to natural production declines, offset by 11 new well connections that came online subsequent to March 31, 2025.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volumes, see the “Segment Overview for the Three Months Ended March 31, 2026 and 2025” section herein.</w:t>
      </w:r>
    </w:p>
    <w:p>
      <w:pPr>
        <w:spacing w:after="0" w:line="11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increased $6.4 million during the three months ended March 31, 2026 compared to the three months ended March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a $14.3 million increase in natural gas, NGLs and condensate sales, a $4.6 million decrease in gathering services and related fees and a $3.3 million decrease in other revenue.</w:t>
      </w:r>
    </w:p>
    <w:p>
      <w:pPr>
        <w:spacing w:after="0" w:line="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auto"/>
        </w:rPr>
        <w:t>Gathering Services and Related Fees</w:t>
      </w:r>
      <w:r>
        <w:rPr>
          <w:rFonts w:ascii="Times New Roman" w:cs="Times New Roman" w:eastAsia="Times New Roman" w:hAnsi="Times New Roman"/>
          <w:sz w:val="18"/>
          <w:szCs w:val="18"/>
          <w:color w:val="auto"/>
        </w:rPr>
        <w:t>. Gathering services and related fees decreased $4.6 million compared to the three months ended March 31, 2025, primarily reflecting:</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the Rockies;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the Mid-Con;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decrease in the Piceance, primarily due to decreased volume throughput.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Natural Gas, NGLs and Condensate Sales</w:t>
      </w:r>
      <w:r>
        <w:rPr>
          <w:rFonts w:ascii="Times New Roman" w:cs="Times New Roman" w:eastAsia="Times New Roman" w:hAnsi="Times New Roman"/>
          <w:sz w:val="18"/>
          <w:szCs w:val="18"/>
          <w:color w:val="auto"/>
        </w:rPr>
        <w:t>. Natural gas, NGLs and condensate revenues increased $14.3 million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primarily reflecting:</w:t>
      </w:r>
    </w:p>
    <w:p>
      <w:pPr>
        <w:spacing w:after="0" w:line="99" w:lineRule="exact"/>
        <w:rPr>
          <w:sz w:val="20"/>
          <w:szCs w:val="20"/>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increase in the Rockies, primarily reflecting new well connections and additional throughput in connection with the Moonrise Acquisition, partially offset by natural production declines.</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Costs and Expenses. </w:t>
      </w:r>
      <w:r>
        <w:rPr>
          <w:rFonts w:ascii="Times New Roman" w:cs="Times New Roman" w:eastAsia="Times New Roman" w:hAnsi="Times New Roman"/>
          <w:sz w:val="18"/>
          <w:szCs w:val="18"/>
          <w:color w:val="auto"/>
        </w:rPr>
        <w:t>Total costs and expenses increased $4.7 million during the three months ended March 31, 2026 compared to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w:t>
      </w:r>
    </w:p>
    <w:p>
      <w:pPr>
        <w:spacing w:after="0" w:line="5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Cost of Natural Gas and NGLs</w:t>
      </w:r>
      <w:r>
        <w:rPr>
          <w:rFonts w:ascii="Times New Roman" w:cs="Times New Roman" w:eastAsia="Times New Roman" w:hAnsi="Times New Roman"/>
          <w:sz w:val="18"/>
          <w:szCs w:val="18"/>
          <w:color w:val="auto"/>
        </w:rPr>
        <w:t>. Cost of natural gas and NGLs increased $3.9 million for the three months ended March 31, 2026, compared to the three months ended March 31, 2025 primarily related to the Moonrise Acquisition in late March 2025.</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Operation and Maintenance</w:t>
      </w:r>
      <w:r>
        <w:rPr>
          <w:rFonts w:ascii="Times New Roman" w:cs="Times New Roman" w:eastAsia="Times New Roman" w:hAnsi="Times New Roman"/>
          <w:sz w:val="18"/>
          <w:szCs w:val="18"/>
          <w:color w:val="auto"/>
        </w:rPr>
        <w:t>. Operation and maintenance expense increased $4.7 million for the three months ended March 31, 2026, compared to the three months ended March 31, 2025 primarily as a result of the Moonrise Acquisition which closed in March 2025.</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General and administrative expense increased $1.3 million for the three months ended March 31, 2026, compared to the three months ended March 31, 2025 primarily as a result of increased employee salaries and benefits expense and a $2.0 million expense related to the settlement of an outstanding commercial dispute. These increases were partially offset by lower contract labor expense. For the three months ended March 31, 2026 and 2025, general and administrative expenses include $3.0 million and $2.4 million of noncash stock-based compensation, respectively.</w:t>
      </w:r>
    </w:p>
    <w:p>
      <w:pPr>
        <w:spacing w:after="0" w:line="5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Depreciation and amortization expense decreased $1.8 million for the three months ended March 31, 2026, compared to the three months ended March 31, 2025, primarily due to certain Piceance segment assets that were disposed of during the quarterly period ended September 30,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During the three months ended March 31, 2025, transaction costs primarily relate to the Moonrise Acquisition and Tall Oak Acquisition.</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integration costs</w:t>
      </w:r>
      <w:r>
        <w:rPr>
          <w:rFonts w:ascii="Times New Roman" w:cs="Times New Roman" w:eastAsia="Times New Roman" w:hAnsi="Times New Roman"/>
          <w:sz w:val="18"/>
          <w:szCs w:val="18"/>
          <w:color w:val="auto"/>
        </w:rPr>
        <w:t>. Acquisition and integration costs during the three months ended March 31, 2025 primarily relate to fees paid to third-party service providers to integrate the Tall Oak Acquisition and the Moonrise Acquisition into the Company’s operational platform.</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increased $2.5 million for the three months ended March 31, 2026, compared to the three months ended March 31, 2025 primarily related to $1.6 million of increased debt issuance cost amortization, primarily related to the write off of the remaining unamortized debt issuance costs on the Legacy Permian Transmission Credit Facilities and $1.1 million of increased interest expense related to the issuance of the Additional 2029 Secured Notes.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For the three months ended March 31, 2026, the Company recorded a tax benefit of $1.0 million. Our effective tax rate was different from the U.S. federal statutory income tax rate primarily due to the net income allocated to the noncontrolling interest, tax benefits related to stock-based compensation, and nondeductible executive compensation.</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Overview for the Three Months Ended March 31, 2026 and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Rockies.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throughput for our Rockies reportable segment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Rockies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60" w:type="dxa"/>
            <w:vAlign w:val="bottom"/>
          </w:tcPr>
          <w:p>
            <w:pPr>
              <w:spacing w:after="0"/>
              <w:rPr>
                <w:sz w:val="16"/>
                <w:szCs w:val="16"/>
                <w:color w:val="auto"/>
              </w:rPr>
            </w:pPr>
          </w:p>
        </w:tc>
        <w:tc>
          <w:tcPr>
            <w:tcW w:w="27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6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16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throughput - natural gas (MMcf/d)</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throughput - liquids (Mbbl/d)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21"/>
                <w:szCs w:val="21"/>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u w:val="single" w:color="auto"/>
          <w:color w:val="auto"/>
        </w:rPr>
        <w:t>Natural gas</w:t>
      </w:r>
      <w:r>
        <w:rPr>
          <w:rFonts w:ascii="Times New Roman" w:cs="Times New Roman" w:eastAsia="Times New Roman" w:hAnsi="Times New Roman"/>
          <w:sz w:val="18"/>
          <w:szCs w:val="18"/>
          <w:color w:val="auto"/>
        </w:rPr>
        <w:t>. Natural gas volume throughput increased 29% for the three months ended March 31, 2026, compared to the three months ended March 31, 2025, primarily reflecting 100 new well connections that came online subsequent to March 31, 2025 and additional throughput in connection with the Moonrise Acquisition, partially offset by natural production declines.</w:t>
      </w:r>
    </w:p>
    <w:p>
      <w:pPr>
        <w:spacing w:after="0" w:line="6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u w:val="single" w:color="auto"/>
          <w:color w:val="auto"/>
        </w:rPr>
        <w:t>Liquids</w:t>
      </w:r>
      <w:r>
        <w:rPr>
          <w:rFonts w:ascii="Times New Roman" w:cs="Times New Roman" w:eastAsia="Times New Roman" w:hAnsi="Times New Roman"/>
          <w:sz w:val="18"/>
          <w:szCs w:val="18"/>
          <w:color w:val="auto"/>
        </w:rPr>
        <w:t>. Liquids volume throughput decreased 14% for the three months ended March 31, 2026, compared to the three months ended March 31, 2025, primarily due to natural production declines, partially offset by 11 new well connections that came online subsequent to March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our Rockies reportable segment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Rockies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NGLs and condensate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37"/>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75,787</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natural gas and NGLs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35,142</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asset sales,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19%</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related to capital reimbursement activity</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asset sales,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considered meaningful</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Three months ended March 31, 2026</w:t>
      </w:r>
      <w:r>
        <w:rPr>
          <w:rFonts w:ascii="Times New Roman" w:cs="Times New Roman" w:eastAsia="Times New Roman" w:hAnsi="Times New Roman"/>
          <w:sz w:val="18"/>
          <w:szCs w:val="18"/>
          <w:color w:val="auto"/>
        </w:rPr>
        <w:t>. Segment adjusted EBITDA increased $1.5 million, compared to the three months ended March 31, 2025, primarily as a result of increased throughput described above, partially offset by lower freshwater sales.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the below additional financial and operational details for its liquids related activities within its Rockies segment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Rockies liquids</w:t>
            </w: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MVC shortfall (payments) in gathering services and related fees</w:t>
            </w: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services and related fees included in costs of goods sold</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related to capital reimbursement activity</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 providing the below additional financial and operational details for its natural gas and other related activities within its Rockies segment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Rockies natural gas and other</w:t>
            </w: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MVC shortfall (payments) in gathering services and related fees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services and related fees included in costs of goods sold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related to capital reimbursement activity</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throughput for our Permian reportable segment follow:</w:t>
      </w:r>
    </w:p>
    <w:p>
      <w:pPr>
        <w:spacing w:after="0" w:line="16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Permian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41910</wp:posOffset>
            </wp:positionV>
            <wp:extent cx="26403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2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42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throughput (MMcf/d) (Double E)</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Volume throughput for Double E increased 21% for the three months ended March 31, 2026, compared to the three months ended March 31, 2025, as a result of increased throughput volumes from its customers.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MVC quantities (i) that Double E’s shippers have contracted for under firm transportation service agreements and related negotiated rate agreements and (ii) three new precedent agreements for projects not yet placed in service. These precedent agreements are expected to require between $45.0 and $50.0 million of capital investment by Summit Permian Transmission, all of which is expected to be funded with the New Permian Transmission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MVC’s - Active Contracts</w:t>
            </w:r>
          </w:p>
        </w:tc>
        <w:tc>
          <w:tcPr>
            <w:tcW w:w="202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MVC’s - Executed</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 MVC</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Precedent Agreements</w:t>
            </w: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Dth/day)</w:t>
            </w:r>
          </w:p>
        </w:tc>
        <w:tc>
          <w:tcPr>
            <w:tcW w:w="2320" w:type="dxa"/>
            <w:vAlign w:val="bottom"/>
            <w:tcBorders>
              <w:bottom w:val="single" w:sz="8" w:color="CCEEFF"/>
            </w:tcBorders>
          </w:tcPr>
          <w:p>
            <w:pPr>
              <w:spacing w:after="0"/>
              <w:rPr>
                <w:sz w:val="17"/>
                <w:szCs w:val="17"/>
                <w:color w:val="auto"/>
              </w:rPr>
            </w:pPr>
          </w:p>
        </w:tc>
        <w:tc>
          <w:tcPr>
            <w:tcW w:w="5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MVC quantities for the year ended December 31,</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1,115,000</w:t>
            </w:r>
          </w:p>
        </w:tc>
        <w:tc>
          <w:tcPr>
            <w:tcW w:w="2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14,438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1,129,438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1,115,000</w:t>
            </w:r>
          </w:p>
        </w:tc>
        <w:tc>
          <w:tcPr>
            <w:tcW w:w="2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178,493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1,293,493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1,115,000</w:t>
            </w:r>
          </w:p>
        </w:tc>
        <w:tc>
          <w:tcPr>
            <w:tcW w:w="2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335,301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1,450,301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1,115,000</w:t>
            </w:r>
          </w:p>
        </w:tc>
        <w:tc>
          <w:tcPr>
            <w:tcW w:w="2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519,315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1,634,315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1,115,000</w:t>
            </w:r>
          </w:p>
        </w:tc>
        <w:tc>
          <w:tcPr>
            <w:tcW w:w="2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540,000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1,009,521</w:t>
            </w:r>
          </w:p>
        </w:tc>
        <w:tc>
          <w:tcPr>
            <w:tcW w:w="2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540,000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1,549,521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4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240,000</w:t>
            </w:r>
          </w:p>
        </w:tc>
        <w:tc>
          <w:tcPr>
            <w:tcW w:w="2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540,000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4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240,000</w:t>
            </w:r>
          </w:p>
        </w:tc>
        <w:tc>
          <w:tcPr>
            <w:tcW w:w="2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540,000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4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105,753</w:t>
            </w:r>
          </w:p>
        </w:tc>
        <w:tc>
          <w:tcPr>
            <w:tcW w:w="2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540,000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645,753</w:t>
            </w: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4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9,863</w:t>
            </w:r>
          </w:p>
        </w:tc>
        <w:tc>
          <w:tcPr>
            <w:tcW w:w="2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540,000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549,863</w:t>
            </w:r>
          </w:p>
        </w:tc>
        <w:tc>
          <w:tcPr>
            <w:tcW w:w="0" w:type="dxa"/>
            <w:vAlign w:val="bottom"/>
          </w:tcPr>
          <w:p>
            <w:pPr>
              <w:spacing w:after="0"/>
              <w:rPr>
                <w:sz w:val="1"/>
                <w:szCs w:val="1"/>
                <w:color w:val="auto"/>
              </w:rPr>
            </w:pPr>
          </w:p>
        </w:tc>
      </w:tr>
      <w:tr>
        <w:trPr>
          <w:trHeight w:val="886"/>
        </w:trPr>
        <w:tc>
          <w:tcPr>
            <w:tcW w:w="34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our Permian reportable segment follow: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7"/>
              </w:rPr>
              <w:t>Permian</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74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740" w:type="dxa"/>
            <w:vAlign w:val="bottom"/>
            <w:gridSpan w:val="5"/>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7"/>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8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Proportional adjusted EBITDA for Double E</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6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EBITDA</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Three months ended March 31, 2026</w:t>
      </w:r>
      <w:r>
        <w:rPr>
          <w:rFonts w:ascii="Times New Roman" w:cs="Times New Roman" w:eastAsia="Times New Roman" w:hAnsi="Times New Roman"/>
          <w:sz w:val="18"/>
          <w:szCs w:val="18"/>
          <w:color w:val="auto"/>
        </w:rPr>
        <w:t>. Segment adjusted EBITDA increased $0.5 million, compared to the three months ended March 31, 2025, primarily as a result of an increase in proportional adjusted EBITDA from our equity method investment in Double 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Mid-Con.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throughput for our Mid-Con reportable segment follow:</w:t>
      </w:r>
    </w:p>
    <w:p>
      <w:pPr>
        <w:spacing w:after="0" w:line="15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Mid-Con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41910</wp:posOffset>
            </wp:positionV>
            <wp:extent cx="2640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4"/>
        </w:trPr>
        <w:tc>
          <w:tcPr>
            <w:tcW w:w="7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80" w:type="dxa"/>
            <w:vAlign w:val="bottom"/>
            <w:gridSpan w:val="2"/>
            <w:shd w:val="clear" w:color="auto" w:fill="CCEEFF"/>
          </w:tcPr>
          <w:p>
            <w:pPr>
              <w:jc w:val="right"/>
              <w:ind w:right="5288"/>
              <w:spacing w:after="0"/>
              <w:rPr>
                <w:sz w:val="20"/>
                <w:szCs w:val="20"/>
                <w:color w:val="auto"/>
              </w:rPr>
            </w:pPr>
            <w:r>
              <w:rPr>
                <w:rFonts w:ascii="Times New Roman" w:cs="Times New Roman" w:eastAsia="Times New Roman" w:hAnsi="Times New Roman"/>
                <w:sz w:val="18"/>
                <w:szCs w:val="18"/>
                <w:color w:val="auto"/>
                <w:w w:val="99"/>
              </w:rPr>
              <w:t>Average daily throughput (MMcf/d)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Volume throughput decreased for the three months ended March 31, 2026, compared to the three months ended March 31, 2025, primarily as a result of natural production declines, partially offset by 33 new well connections that came online subsequent to March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our Mid-Con reportable segment follow: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Mid-Con</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NGLs and condensate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7"/>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44%</w:t>
            </w:r>
          </w:p>
        </w:tc>
        <w:tc>
          <w:tcPr>
            <w:tcW w:w="0" w:type="dxa"/>
            <w:vAlign w:val="bottom"/>
          </w:tcPr>
          <w:p>
            <w:pPr>
              <w:spacing w:after="0"/>
              <w:rPr>
                <w:sz w:val="1"/>
                <w:szCs w:val="1"/>
                <w:color w:val="auto"/>
              </w:rPr>
            </w:pPr>
          </w:p>
        </w:tc>
      </w:tr>
      <w:tr>
        <w:trPr>
          <w:trHeight w:val="27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(97%)</w:t>
            </w:r>
          </w:p>
        </w:tc>
        <w:tc>
          <w:tcPr>
            <w:tcW w:w="0" w:type="dxa"/>
            <w:vAlign w:val="bottom"/>
          </w:tcPr>
          <w:p>
            <w:pPr>
              <w:spacing w:after="0"/>
              <w:rPr>
                <w:sz w:val="1"/>
                <w:szCs w:val="1"/>
                <w:color w:val="auto"/>
              </w:rPr>
            </w:pPr>
          </w:p>
        </w:tc>
      </w:tr>
      <w:tr>
        <w:trPr>
          <w:trHeight w:val="237"/>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24,031</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related to capital reimbursement activity</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ind w:left="160" w:hanging="152"/>
        <w:spacing w:after="0" w:line="202"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amortization expense associated with our favorable gas gathering contracts as reported in Other revenues.</w:t>
      </w:r>
    </w:p>
    <w:p>
      <w:pPr>
        <w:spacing w:after="0" w:line="10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Three months ended March 31, 2026</w:t>
      </w:r>
      <w:r>
        <w:rPr>
          <w:rFonts w:ascii="Times New Roman" w:cs="Times New Roman" w:eastAsia="Times New Roman" w:hAnsi="Times New Roman"/>
          <w:sz w:val="18"/>
          <w:szCs w:val="18"/>
          <w:color w:val="auto"/>
        </w:rPr>
        <w:t>. Segment adjusted EBITDA decreased $3.1 million, compared to the three months ended March 31, 2025, primarily as a result of lower volume throughput discussed above as well as a temporary increase in field compression equipment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Piceance.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throughput for our Piceance reportable segment follow:</w:t>
      </w:r>
    </w:p>
    <w:p>
      <w:pPr>
        <w:spacing w:after="0" w:line="15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Piceance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41910</wp:posOffset>
            </wp:positionV>
            <wp:extent cx="26403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4"/>
        </w:trPr>
        <w:tc>
          <w:tcPr>
            <w:tcW w:w="7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80" w:type="dxa"/>
            <w:vAlign w:val="bottom"/>
            <w:gridSpan w:val="2"/>
            <w:shd w:val="clear" w:color="auto" w:fill="CCEEFF"/>
          </w:tcPr>
          <w:p>
            <w:pPr>
              <w:jc w:val="right"/>
              <w:ind w:right="4528"/>
              <w:spacing w:after="0"/>
              <w:rPr>
                <w:sz w:val="20"/>
                <w:szCs w:val="20"/>
                <w:color w:val="auto"/>
              </w:rPr>
            </w:pPr>
            <w:r>
              <w:rPr>
                <w:rFonts w:ascii="Times New Roman" w:cs="Times New Roman" w:eastAsia="Times New Roman" w:hAnsi="Times New Roman"/>
                <w:sz w:val="18"/>
                <w:szCs w:val="18"/>
                <w:color w:val="auto"/>
              </w:rPr>
              <w:t>Aggregate average daily throughput (MMcf/d)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Volume throughput decreased 15% for the three months ended March 31, 2026, compared to the three months ended March 31, 2025, primarily as a result of natural production declines and an 8MMcf/d decrease from shut-in impacts during the quarter ended March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our Piceance reportable segment follow: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Piceance</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services and related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NGLs and condensate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7"/>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natural gas and NGLs</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(35)%</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asset sales,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related to capital reimbursement activity</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asset sales,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considered meaningful</w:t>
      </w:r>
    </w:p>
    <w:p>
      <w:pPr>
        <w:spacing w:after="0" w:line="1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Three months ended March 31, 2026</w:t>
      </w:r>
      <w:r>
        <w:rPr>
          <w:rFonts w:ascii="Times New Roman" w:cs="Times New Roman" w:eastAsia="Times New Roman" w:hAnsi="Times New Roman"/>
          <w:sz w:val="18"/>
          <w:szCs w:val="18"/>
          <w:color w:val="auto"/>
        </w:rPr>
        <w:t>. Segment adjusted EBITDA decreased $2.2 million, compared to the three months ended March 31, 2025 primarily as a result of lower volume throughput discussed above as well as contractual step-downs of existing commercial agreements.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Other Overview for the Three Months Ended March 31, 2026 and 2025</w:t>
      </w:r>
    </w:p>
    <w:p>
      <w:pPr>
        <w:spacing w:after="0" w:line="13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7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 costs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0" w:type="dxa"/>
            <w:vAlign w:val="bottom"/>
          </w:tcPr>
          <w:p>
            <w:pPr>
              <w:spacing w:after="0"/>
              <w:rPr>
                <w:sz w:val="1"/>
                <w:szCs w:val="1"/>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25,013</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For the three months ended March 31, 2026, general and administrative expenses attributable to Corporate and Other decreased by $1.3 million compared to the three months ended March 31, 2025, primarily due to lower fees associated with transition services incurred in 2025 for the Tall Oak acquisition, offset by increased employee salaries and benefit expense. For the three months ended March 31, 2026 and 2025, general and administrative expenses included $3.0 million and $2.4 million of noncash stock-based compensation,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Transaction costs during the three months ended March 31, 2025 primarily relate to the Moonrise Acquisition and Tall Oak Acquisition.</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integration costs.</w:t>
      </w:r>
      <w:r>
        <w:rPr>
          <w:rFonts w:ascii="Times New Roman" w:cs="Times New Roman" w:eastAsia="Times New Roman" w:hAnsi="Times New Roman"/>
          <w:sz w:val="18"/>
          <w:szCs w:val="18"/>
          <w:color w:val="auto"/>
        </w:rPr>
        <w:t xml:space="preserve"> Acquisition and integration costs during the three months ended March 31, 2025, primarily relate to fees paid to third-party service providers to integrate the Tall Oak Acquisition and the Moonrise Acquisition into the Company’s operational platform.</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increased $2.5 million for the three months ended March 31, 2026, compared to three months ended March 31, 2025, primarily related to $1.6 million of increased debt issuance cost amortization, primarily related to the write off of the remaining unamortized debt issuance costs on the Legacy Permian Transmission Credit Facilities and $1.1 million of increased interest expense related to the issuance of the Additional 2029 Secured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currently conduct and report our operations in the midstream energy industry through four reportable segments: Rockies, Permian, Mid-Con, and Piceance. Each of our reportable segments provides midstream services in a specific geographic area and our reportable segments reflect the way in which we internally report the financial information used to make decisions and allocate resources in connection with our operations (See </w:t>
      </w:r>
      <w:r>
        <w:rPr>
          <w:rFonts w:ascii="Times New Roman" w:cs="Times New Roman" w:eastAsia="Times New Roman" w:hAnsi="Times New Roman"/>
          <w:sz w:val="18"/>
          <w:szCs w:val="18"/>
          <w:i w:val="1"/>
          <w:iCs w:val="1"/>
          <w:color w:val="auto"/>
        </w:rPr>
        <w:t>Note 15 -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to the consolidated financial statements). Our management uses a variety of financial and operational metrics to analyze our consolidated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performance, and we view these metrics as important factors in evaluating our profitability. These metrics include (i) throughput volume, (ii) revenues, (iii) operation and maintenance expenses, (iv) capital expenditures, and (v) segment adjusted EBITDA.</w:t>
      </w:r>
    </w:p>
    <w:p>
      <w:pPr>
        <w:spacing w:after="0" w:line="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review these metrics on a regular basis for consistency and trend analysis. There have been no changes in the composition or characteristics of these metrics during the three months ended March 31,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Summit Midstream Corporation Tax Structure. </w:t>
      </w:r>
      <w:r>
        <w:rPr>
          <w:rFonts w:ascii="Times New Roman" w:cs="Times New Roman" w:eastAsia="Times New Roman" w:hAnsi="Times New Roman"/>
          <w:sz w:val="18"/>
          <w:szCs w:val="18"/>
          <w:color w:val="auto"/>
        </w:rPr>
        <w:t>We operate the Company in an Up-C tax structure whereby the Company owned 68% of SMLP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and Tall Oak Parent owned the remaining 32% of SMLP as a noncontrolling interest. If on March 31, 2026, Tall Oak Parent converted their 6.5 million SMLP Partnership Common Units and 6.5 million Class B shares for the Company’s common stock, the following adjustments would occur to the Company’s balance sheet and common shares outstanding.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Hypothetical Conversion</w:t>
            </w:r>
          </w:p>
        </w:tc>
        <w:tc>
          <w:tcPr>
            <w:tcW w:w="280" w:type="dxa"/>
            <w:vAlign w:val="bottom"/>
          </w:tcPr>
          <w:p>
            <w:pPr>
              <w:spacing w:after="0"/>
              <w:rPr>
                <w:sz w:val="20"/>
                <w:szCs w:val="20"/>
                <w:color w:val="auto"/>
              </w:rPr>
            </w:pP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Post Conversion</w:t>
            </w:r>
          </w:p>
        </w:tc>
      </w:tr>
      <w:tr>
        <w:trPr>
          <w:trHeight w:val="223"/>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2,406,393</w:t>
            </w: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2,406,393</w:t>
            </w:r>
          </w:p>
        </w:tc>
      </w:tr>
      <w:tr>
        <w:trPr>
          <w:trHeight w:val="49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Share Summary</w:t>
            </w:r>
          </w:p>
        </w:tc>
        <w:tc>
          <w:tcPr>
            <w:tcW w:w="320" w:type="dxa"/>
            <w:vAlign w:val="bottom"/>
          </w:tcPr>
          <w:p>
            <w:pPr>
              <w:spacing w:after="0"/>
              <w:rPr>
                <w:sz w:val="24"/>
                <w:szCs w:val="24"/>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4"/>
                <w:szCs w:val="2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Hypothetical Conversion</w:t>
            </w:r>
          </w:p>
        </w:tc>
        <w:tc>
          <w:tcPr>
            <w:tcW w:w="280" w:type="dxa"/>
            <w:vAlign w:val="bottom"/>
          </w:tcPr>
          <w:p>
            <w:pPr>
              <w:spacing w:after="0"/>
              <w:rPr>
                <w:sz w:val="24"/>
                <w:szCs w:val="24"/>
                <w:color w:val="auto"/>
              </w:rPr>
            </w:pP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Post Conversion</w:t>
            </w: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13,814,286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6,524,467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20,338,753</w:t>
            </w: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6,524,467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(6,524,467)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Information. </w:t>
      </w:r>
      <w:r>
        <w:rPr>
          <w:rFonts w:ascii="Times New Roman" w:cs="Times New Roman" w:eastAsia="Times New Roman" w:hAnsi="Times New Roman"/>
          <w:sz w:val="18"/>
          <w:szCs w:val="18"/>
          <w:color w:val="auto"/>
        </w:rPr>
        <w:t>For additional information, see the “Results of Operations” section herein and the notes to the unaudited condensed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financial statements. For additional information on how these metrics help us manage our business, see the “How We Evaluate Our Operations” section of MD&amp;A included in the 2025 Annual Report. For information on impending accounting changes that are expected to materially impact our financial results reported in future periods. (See </w:t>
      </w:r>
      <w:r>
        <w:rPr>
          <w:rFonts w:ascii="Times New Roman" w:cs="Times New Roman" w:eastAsia="Times New Roman" w:hAnsi="Times New Roman"/>
          <w:sz w:val="18"/>
          <w:szCs w:val="18"/>
          <w:i w:val="1"/>
          <w:iCs w:val="1"/>
          <w:color w:val="auto"/>
        </w:rPr>
        <w:t>2 - Summary of Significant Accounting Policies and Recently Issued Accounting Standards Applicable to the Company</w:t>
      </w:r>
      <w:r>
        <w:rPr>
          <w:rFonts w:ascii="Times New Roman" w:cs="Times New Roman" w:eastAsia="Times New Roman" w:hAnsi="Times New Roman"/>
          <w:sz w:val="18"/>
          <w:szCs w:val="18"/>
          <w:color w:val="auto"/>
        </w:rPr>
        <w:t xml:space="preserve">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rely primarily on internally generated cash flows as well as our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New Permian Transmission Facility,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may enter into off-balance sheet arrangements and transactions that can give rise to material off-balance sheet obligations. As of March 31, 2026, our material off-balance sheet arrangements and transactions include (i) letters of credit outstanding against our Amended and Restated ABL Facility aggregating to $2.7 million, and (ii) letters of credit outstanding against our New Permian Transmission Facility aggregating to $7.0 million. There are no other transactions, arrangements or other relationships with unconsolidated entities or other persons that are reasonably likely to materially affect our liquidity or availability of our capital resources.</w:t>
      </w:r>
    </w:p>
    <w:p>
      <w:pPr>
        <w:spacing w:after="0" w:line="7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are in compliance with all covenants contained in the indenture governing the 2029 Secured Notes, the Amended and Restated ABL Facility and the New Permian Transmission Facility.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March 31, 2026, the First Lien Net Leverage Ratio (as defined in the Amended and Restated ABL Agreement) and the Interest Coverage Ratio were 0.35:1.00 and 2.74:1.00,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ABL Facility. </w:t>
      </w:r>
      <w:r>
        <w:rPr>
          <w:rFonts w:ascii="Times New Roman" w:cs="Times New Roman" w:eastAsia="Times New Roman" w:hAnsi="Times New Roman"/>
          <w:sz w:val="18"/>
          <w:szCs w:val="18"/>
          <w:color w:val="auto"/>
        </w:rPr>
        <w:t>As of March 31, 2026, the Amended and Restated ABL Facility will mature on the earliest of (a) July 26, 2029,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As of March 31, 2026, there was $116.0 million outstanding under the Amended and Restated ABL Facility and the available borrowing capacity totaled $381.3 million after giving effect to the issuance thereunder of $2.7 million of outstanding but undrawn irrevocable standby letters of credit.</w:t>
      </w:r>
    </w:p>
    <w:p>
      <w:pPr>
        <w:spacing w:after="0" w:line="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Permian Transmission Facility. </w:t>
      </w:r>
      <w:r>
        <w:rPr>
          <w:rFonts w:ascii="Times New Roman" w:cs="Times New Roman" w:eastAsia="Times New Roman" w:hAnsi="Times New Roman"/>
          <w:sz w:val="18"/>
          <w:szCs w:val="18"/>
          <w:color w:val="auto"/>
        </w:rPr>
        <w:t>On March 16, 2026, Summit Permian Transmission completed a $440.0 million refinancing of the Legacy Permian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Transmission Credit Facilities in the form of a new term loan facility (the “New Permian Transmission Facility”) bearing interest at SOFR plus 4.00% per annum and with a maturity in March 2031. The New Permian Transmission Facility consists of $340.0 million in initial term loan commitments, $50.0 million in delayed draw commitments (with a commitment fee of 1.00% per annum) and a $50.0 million uncommitted incremental facility.</w:t>
      </w:r>
    </w:p>
    <w:p>
      <w:pPr>
        <w:spacing w:after="0" w:line="5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Transactions Impacting Liquidity. </w:t>
      </w:r>
      <w:r>
        <w:rPr>
          <w:rFonts w:ascii="Times New Roman" w:cs="Times New Roman" w:eastAsia="Times New Roman" w:hAnsi="Times New Roman"/>
          <w:sz w:val="18"/>
          <w:szCs w:val="18"/>
          <w:color w:val="auto"/>
        </w:rPr>
        <w:t>As discussed elsewhere in Item 2 of this document, we completed the following material transactions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2026 that impacted, or will impact, our current and future liquidity and payment obligations.</w:t>
      </w:r>
    </w:p>
    <w:p>
      <w:pPr>
        <w:spacing w:after="0" w:line="63" w:lineRule="exact"/>
        <w:rPr>
          <w:sz w:val="20"/>
          <w:szCs w:val="20"/>
          <w:color w:val="auto"/>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Legacy Permian Transmission Credit Facilities.</w:t>
      </w:r>
      <w:r>
        <w:rPr>
          <w:rFonts w:ascii="Times New Roman" w:cs="Times New Roman" w:eastAsia="Times New Roman" w:hAnsi="Times New Roman"/>
          <w:sz w:val="18"/>
          <w:szCs w:val="18"/>
          <w:color w:val="auto"/>
        </w:rPr>
        <w:t xml:space="preserve"> In March 2026, we completed a $440.0 million refinancing of our Legacy Permian Transmission Credit Facilities in the form of the New Permian Transmission Facility.</w:t>
      </w:r>
    </w:p>
    <w:p>
      <w:pPr>
        <w:spacing w:after="0" w:line="53"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 of Subsidiary Series A Preferred Units.</w:t>
      </w:r>
      <w:r>
        <w:rPr>
          <w:rFonts w:ascii="Times New Roman" w:cs="Times New Roman" w:eastAsia="Times New Roman" w:hAnsi="Times New Roman"/>
          <w:sz w:val="17"/>
          <w:szCs w:val="17"/>
          <w:color w:val="auto"/>
        </w:rPr>
        <w:t xml:space="preserve"> In March 2026, in connection with the refinancing of our Legacy Permian Transmission Credit Facilities, we redeemed in full all outstanding Subsidiary Series A Preferred Units with a cash payment of $143.2 million.</w:t>
      </w:r>
    </w:p>
    <w:p>
      <w:pPr>
        <w:spacing w:after="0" w:line="31" w:lineRule="exact"/>
        <w:rPr>
          <w:rFonts w:ascii="Times New Roman" w:cs="Times New Roman" w:eastAsia="Times New Roman" w:hAnsi="Times New Roman"/>
          <w:sz w:val="17"/>
          <w:szCs w:val="17"/>
          <w:color w:val="auto"/>
        </w:rPr>
      </w:pPr>
    </w:p>
    <w:p>
      <w:pPr>
        <w:jc w:val="both"/>
        <w:ind w:left="660" w:right="2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settlement of unpaid dividends for Series A Preferred Units.</w:t>
      </w:r>
      <w:r>
        <w:rPr>
          <w:rFonts w:ascii="Times New Roman" w:cs="Times New Roman" w:eastAsia="Times New Roman" w:hAnsi="Times New Roman"/>
          <w:sz w:val="17"/>
          <w:szCs w:val="17"/>
          <w:color w:val="auto"/>
        </w:rPr>
        <w:t xml:space="preserve"> In March 2026, we made a cash dividend payment to the holders of our Series A Preferred Units which included a $46.3 million cash payment for accrued and unpaid dividends owed from March 15, 2020 to December 14, 2024.</w:t>
      </w:r>
    </w:p>
    <w:p>
      <w:pPr>
        <w:spacing w:after="0" w:line="31" w:lineRule="exact"/>
        <w:rPr>
          <w:rFonts w:ascii="Times New Roman" w:cs="Times New Roman" w:eastAsia="Times New Roman" w:hAnsi="Times New Roman"/>
          <w:sz w:val="17"/>
          <w:szCs w:val="17"/>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issuance with a related party.</w:t>
      </w:r>
      <w:r>
        <w:rPr>
          <w:rFonts w:ascii="Times New Roman" w:cs="Times New Roman" w:eastAsia="Times New Roman" w:hAnsi="Times New Roman"/>
          <w:sz w:val="18"/>
          <w:szCs w:val="18"/>
          <w:color w:val="auto"/>
        </w:rPr>
        <w:t xml:space="preserve"> In March 2026, we issued and sold to Tall Oak Parent 1,351,351 shares of common stock of the Company in exchange for $41.5 million of cash proceeds, net of $0.5 million of issuance costs.</w:t>
      </w:r>
    </w:p>
    <w:p>
      <w:pPr>
        <w:spacing w:after="0" w:line="94" w:lineRule="exact"/>
        <w:rPr>
          <w:rFonts w:ascii="Times New Roman" w:cs="Times New Roman" w:eastAsia="Times New Roman" w:hAnsi="Times New Roman"/>
          <w:sz w:val="18"/>
          <w:szCs w:val="18"/>
          <w:color w:val="auto"/>
        </w:rPr>
      </w:pPr>
    </w:p>
    <w:p>
      <w:pPr>
        <w:ind w:left="660" w:right="12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Payment of Related party – Tall Oak deferred earn-out</w:t>
      </w:r>
      <w:r>
        <w:rPr>
          <w:rFonts w:ascii="Times New Roman" w:cs="Times New Roman" w:eastAsia="Times New Roman" w:hAnsi="Times New Roman"/>
          <w:sz w:val="18"/>
          <w:szCs w:val="18"/>
          <w:color w:val="auto"/>
        </w:rPr>
        <w:t>. In March 2026, we settled our deferred earn-out obligation to Tall Oak Parent in full for a cash payment of $22.0 million.</w:t>
      </w:r>
    </w:p>
    <w:p>
      <w:pPr>
        <w:spacing w:after="0" w:line="8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may in the future use a combination of cash, secured or unsecured borrowings and issuances of our common stock or other securities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asset sales to retire or refinance our outstanding debt or Series A Preferred Stock through privately negotiated transactions, open market repurchases, redemptions, exchange offers, tender offers or otherwise, but we are under no obligation to do so.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change in cash and cash equivalents were as follow: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7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81,466</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4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Details of operating cash flows follow: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activity cash flows during the three months ended March 31, 2026 primarily reflected:</w:t>
      </w:r>
    </w:p>
    <w:p>
      <w:pPr>
        <w:spacing w:after="0" w:line="117"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$3.2 million plus positive adjustments of $35.7 million for non-cash operating items;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$25.6 million outflow due to changes in working capital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activity cash flows during the three months ended March 31, 2025 primarily reflected:</w:t>
      </w:r>
    </w:p>
    <w:p>
      <w:pPr>
        <w:spacing w:after="0" w:line="117"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income of $4.6 million plus adjustments of $29.4 million for non-cash operating items;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$18.0 million outflow due to changes in working capital accounts.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Details of investing cash flows follow: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activity cash flows during the three months ended March 31, 2026 primarily reflected:</w:t>
      </w:r>
    </w:p>
    <w:p>
      <w:pPr>
        <w:spacing w:after="0" w:line="117"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million of cash outflows for capital expenditures.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activity cash flows during the three months ended March 31, 2025 primarily reflected:</w:t>
      </w:r>
    </w:p>
    <w:p>
      <w:pPr>
        <w:spacing w:after="0" w:line="117"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of cash outflows from cash consideration paid for the acquisition of Moonrise, net of cash acquired in the transaction;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million of cash outflows for capital expenditures.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Details of financing activities follow: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activity cash flows during the three months ended March 31, 2026 primarily reflected:</w:t>
      </w:r>
    </w:p>
    <w:p>
      <w:pPr>
        <w:spacing w:after="0" w:line="117"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$340.0 million of cash inflows for borrowings under the New Permian Transmission Credit Facility;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 million of cash inflows for borrowings on the Amended and Restated ABL Facility;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 million of cash inflows for proceeds from related party shares issued for cash; partially offset by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 million of cash outflows for redemption of our Subsidiary Series A Preferred Units;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$117.0 million of cash outflows for repayments on the Legacy Permian Transmission Term Loan;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cash outflows for repayments on the Amended and Restated ABL Facility;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 million of cash outflows for Distributions on Series A Preferred Stock;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million of cash outflows for the related party settlement of the Tall Oak earn-out.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activity cash flows during the three months ended March 31, 2025 primarily reflected:</w:t>
      </w:r>
    </w:p>
    <w:p>
      <w:pPr>
        <w:spacing w:after="0" w:line="117"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million of cash outflows for repayments on the Amended and Restated ABL Facility;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of cash outflows for repayments on the Legacy Permian Transmission Term Loan;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$258.4 million of cash inflows from the issuance of the Additional 2029 Secured Notes;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 million of cash inflows from borrowings on the Amended and Restated ABL Facility.</w:t>
      </w:r>
    </w:p>
    <w:p>
      <w:pPr>
        <w:spacing w:after="0" w:line="10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Capital Requirements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spacing w:after="0" w:line="68" w:lineRule="exact"/>
        <w:rPr>
          <w:sz w:val="20"/>
          <w:szCs w:val="20"/>
          <w:color w:val="auto"/>
        </w:rPr>
      </w:pPr>
    </w:p>
    <w:p>
      <w:pPr>
        <w:ind w:left="980" w:hanging="486"/>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67"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cash paid for capital expenditures totaled $19.3 million which included $3.7 million of maintenance capital expenditures. For the three months ended March 31, 2026, we did not make any contributions to Double E.</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New Permian Transmission Facility, and access to debt or equity capital markets, will be adequate to finance our operations for the next twelve months without adversely impacting our liquidity.</w:t>
      </w:r>
    </w:p>
    <w:p>
      <w:pPr>
        <w:spacing w:after="0" w:line="7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NGL industries and markets, and (iii) our ability to obtain financing from commercial banks, the capital markets, or other financing sources.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and Counterparty Concentration Risks</w:t>
      </w:r>
    </w:p>
    <w:p>
      <w:pPr>
        <w:spacing w:after="0" w:line="11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the off-balance sheet obligations disclosed in our 2025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1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2025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72"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whether to pay, or our ability to grow, our cash dividends;</w:t>
      </w:r>
    </w:p>
    <w:p>
      <w:pPr>
        <w:spacing w:after="0" w:line="117"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natural gas, NGLs and crude oil prices, including as a result of political or economic measures taken by various countries or OPEC and the threatened and actual closing of oil shipping routes, including the Strait of Hormuz, by Iran and affiliated groups;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success of our customers’ drilling and completion efforts, as well as the quantity of natural gas, crude oil, freshwater deliveries, and produced water volumes produced within proximity of our assets;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by our customers in achieving expected production in their natural gas, crude oil and produced water projects;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our industry and their impact on our ability to connect hydrocarbon supplies to our gathering and processing assets or systems;</w:t>
      </w:r>
    </w:p>
    <w:p>
      <w:pPr>
        <w:spacing w:after="0" w:line="53" w:lineRule="exact"/>
        <w:rPr>
          <w:rFonts w:ascii="Times New Roman" w:cs="Times New Roman" w:eastAsia="Times New Roman" w:hAnsi="Times New Roman"/>
          <w:sz w:val="18"/>
          <w:szCs w:val="18"/>
          <w:color w:val="auto"/>
        </w:rPr>
      </w:pPr>
    </w:p>
    <w:p>
      <w:pPr>
        <w:ind w:left="980" w:right="180" w:hanging="486"/>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71"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management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bank and capital market conditions and the potential impact of changes or disruptions in the credit and/or capital markets;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cost of capital and the results of our financing efforts, including availability of funds in the credit and/or capital markets;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placed on us by the agreements governing our debt and preferred equity instruments;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 of downstream transportation and processing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accidents, weather-related delays, casualty losses, and other matters beyond our control;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potential future impact of pandemics on our business, results of operations, financial position, or cash flows;</w:t>
      </w:r>
    </w:p>
    <w:p>
      <w:pPr>
        <w:spacing w:after="0" w:line="117"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and hazards inherent in the transmission, gathering, compression, treating, and/or processing of natural gas, crude oil and produced water;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the agreements comprising the Global Settlement;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terrain in certain areas in which we operate;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financial risks associated with climate change;</w:t>
      </w:r>
    </w:p>
    <w:p>
      <w:pPr>
        <w:spacing w:after="0" w:line="117"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issues that can result in deficiencies in the design, installation, or operation of our transmission, gathering, compression, treating, processing, and freshwater facilities;</w:t>
      </w:r>
    </w:p>
    <w:p>
      <w:pPr>
        <w:spacing w:after="0" w:line="53"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53"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53"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discussed elsewhere in this report.</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Developments in any of these areas could cause actual results to differ materially from those anticipated or projected or cause a significant reduction in the market price of our common stock, Series A Preferred Stock and 2029 Secured Notes.</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 or revise any forward-looking statements as a result of new information, future events or otherwise, except as otherwise required by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About Us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Our interest rate risk exposure, which is largely related to our indebtedness, has not changed materially since December 31, 2025, except for the following. In connection with the refinancing of the Legacy Permian Transmission Credit Facilities, our variable rate indebtedness increased by $223.0 million. Additionally, as of March 31, 2026, the notional amount of our interest rate swaps remained at approximately $100.0 million. As of March 31, 2026, we had approximately $825.0 million principal of fixed-rate debt, $116.0 million outstanding under our variable rate Amended and Restated ABL Facility and $340.0 million outstanding under the variable rate New Permian Transmission Facility. (See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xml:space="preserve"> for additional information.)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three months ended March 31, 2026, a hypothetical 1% increase (decrease) in interest rates on our variable rate debt would have increased (decreased) our interest expense by approximately $0.7 million, assuming no changes in amounts drawn or other variables under our Amended and Restated ABL Facility, Legacy Permian Transmission Term Loan, and New Permian Transmission Facility. For additional information, see the “Interest Rate Risk” section included in Item 7A. Quantitative and Qualitative Disclosures About Market Risk of the 2025 Annual Report and updates to our risk factors included herein.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Piceance and Mid-Con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2025. For additional information, see the “Commodity Price Risk” section included in Item 7A. Quantitative and Qualitative Disclosures About Market Risk of the 2025 Annual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direction of our Chief Executive Officer and Chief Financial Officer, we evaluated our disclosure controls and procedures and internal control over financial reporting and concluded that (i) our disclosure controls and procedures were effective as of March 31, 2026 and (ii) no change in internal control over financial reporting occurred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w:t>
      </w:r>
    </w:p>
    <w:p>
      <w:pPr>
        <w:spacing w:after="0" w:line="5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Settlement. </w:t>
      </w:r>
      <w:r>
        <w:rPr>
          <w:rFonts w:ascii="Times New Roman" w:cs="Times New Roman" w:eastAsia="Times New Roman" w:hAnsi="Times New Roman"/>
          <w:sz w:val="18"/>
          <w:szCs w:val="18"/>
          <w:color w:val="auto"/>
        </w:rPr>
        <w:t>On August 4, 2021, SMLP and several of its subsidiaries entered into agreements to resolve government investigations into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U.S., by and through the U.S. Attorney for the District of North Dakota, and the Environmental Crimes Section of the DOJ; and (iii) a Consent Agreement with the North Dakota Industrial Commission (together, the “Global Settlement”).</w:t>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spacing w:after="0" w:line="75"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w:t>
      </w:r>
    </w:p>
    <w:p>
      <w:pPr>
        <w:spacing w:after="0" w:line="2" w:lineRule="exact"/>
        <w:rPr>
          <w:sz w:val="20"/>
          <w:szCs w:val="20"/>
          <w:color w:val="auto"/>
        </w:rPr>
      </w:pPr>
    </w:p>
    <w:p>
      <w:pPr>
        <w:ind w:right="340" w:firstLine="8"/>
        <w:spacing w:after="0" w:line="260"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probation for a minimum period of three years from sentencing on December 6, 2021, which will include payment in full of certain components of the fines and penalty amounts; and (iv) compliance with the remedial measures in the Consent Decree.</w:t>
      </w:r>
    </w:p>
    <w:p>
      <w:pPr>
        <w:spacing w:after="0" w:line="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6, 2021, the U.S. District Court accepted the Plea Agreement. This Global Settlement resulted in losses amounting to $36.3 million and will be paid over five to six years. As of March 31, 2026, we have paid principal amounts totaling $28.0 million and we intend to fully satisfy all monetary obligations by December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risk factors contained in Item 1A. Risk Factors of the 2025 Annual Report are incorporated herein by reference except to the extent they address risks arising from or relating to the failure of events described therein to occur, which events have since occurred.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than the shares of common stock issued to Tall Oak Parent for cash on March 31, 2026, we did not sell any unregistered equity securities during the quarter ended March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following officer (as defined in Rule 16a-1(f) under the Exchange Act) of the Company adopted a Rule 10b5-1 trading arrangement as defined in Item 408(a) of Regulation S-K.</w:t>
      </w:r>
    </w:p>
    <w:p>
      <w:pPr>
        <w:spacing w:after="0" w:line="5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James D. Johnston, the Company’s Executive Vice President, General Counsel and Chief Compliance Officer, entered into a Rule 10b5-1 trading arrangement adopted March 23, 2026 (the “Adoption Date”) providing for the sale from time to time of an aggregate of up to 10,400 shares of our common stock subject to limit price, no-sale periods, monthly quantity limits, and a selling start date the later of (i) July 2, 2026, (ii) the 91st day after the Adoption Date, or the earlier of (iii) the third business day following issuance of the financial results in this Form 10-Q or the 121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after the Adoption Date. No transactions have occurred under the trading arrangement. The trading arrangement is intended to satisfy the affirmative defense in Rule 10b5-1(c). The duration of the trading arrangement is until April 5, 2027, or earlier expiration if all transactions under the trading arrangement are completed.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880" w:type="dxa"/>
            <w:vAlign w:val="bottom"/>
            <w:gridSpan w:val="4"/>
            <w:shd w:val="clear" w:color="auto" w:fill="CCEEFF"/>
          </w:tcPr>
          <w:p>
            <w:pPr>
              <w:jc w:val="center"/>
              <w:ind w:left="450"/>
              <w:spacing w:after="0" w:line="182"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80" w:type="dxa"/>
            <w:vAlign w:val="bottom"/>
            <w:gridSpan w:val="29"/>
            <w:shd w:val="clear" w:color="auto" w:fill="CCEEFF"/>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and Restated Certificate of Incorporation of Summit Midstream Corporation (Incorporated herein by reference to</w:t>
              </w:r>
            </w:hyperlink>
          </w:p>
        </w:tc>
        <w:tc>
          <w:tcPr>
            <w:tcW w:w="0" w:type="dxa"/>
            <w:vAlign w:val="bottom"/>
          </w:tcPr>
          <w:p>
            <w:pPr>
              <w:spacing w:after="0"/>
              <w:rPr>
                <w:sz w:val="1"/>
                <w:szCs w:val="1"/>
                <w:color w:val="auto"/>
              </w:rPr>
            </w:pPr>
          </w:p>
        </w:tc>
      </w:tr>
      <w:tr>
        <w:trPr>
          <w:trHeight w:val="155"/>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0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Exhibit 3.1 to SMC’s Current Report on Form 8-K12B filed August 1, 2024 (Commission File No. 001-35666)).</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9"/>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Bylaws of Summit Midstream Corporation (Incorporated herein by reference to Exhibit 3.2 to SMC’s</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Current Report on Form 8-K12B filed August 1, 2024 (Commission File No. 001-35666)).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Designation of Series A Floating Rate Cumulative Redeemable Perpetual Preferred Stock of Summit Midstream</w:t>
              </w:r>
            </w:hyperlink>
          </w:p>
        </w:tc>
        <w:tc>
          <w:tcPr>
            <w:tcW w:w="0" w:type="dxa"/>
            <w:vAlign w:val="bottom"/>
          </w:tcPr>
          <w:p>
            <w:pPr>
              <w:spacing w:after="0"/>
              <w:rPr>
                <w:sz w:val="1"/>
                <w:szCs w:val="1"/>
                <w:color w:val="auto"/>
              </w:rPr>
            </w:pPr>
          </w:p>
        </w:tc>
      </w:tr>
      <w:tr>
        <w:trPr>
          <w:trHeight w:val="156"/>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Corporation (Incorporated herein by reference to Exhibit 3.3 to SMC’s Current Report on Form 8-K12B filed August 1, 2024</w:t>
              </w:r>
            </w:hyperlink>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(Commission File No. 001-35666)).</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9"/>
          </w:tcPr>
          <w:p>
            <w:pPr>
              <w:spacing w:after="0" w:line="18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 xml:space="preserve">Certificate of Designation of Class B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of Summit Midstream Corporation</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(Incorporated herein by reference to Exhibit 3.1 to SMC’s Current Report on Form 8-K filed December 3, 2024</w:t>
              </w:r>
            </w:hyperlink>
          </w:p>
        </w:tc>
        <w:tc>
          <w:tcPr>
            <w:tcW w:w="1020" w:type="dxa"/>
            <w:vAlign w:val="bottom"/>
            <w:gridSpan w:val="18"/>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(Commission</w:t>
              </w:r>
            </w:hyperlink>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File No. 001-42201)).</w:t>
              </w:r>
            </w:hyperlink>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Third Supplemental Indenture, dated May 9, 2025, among Summit Midstream Holdings, LLC, Moonrise Midstream, LLC,</w:t>
              </w:r>
            </w:hyperlink>
          </w:p>
        </w:tc>
        <w:tc>
          <w:tcPr>
            <w:tcW w:w="0" w:type="dxa"/>
            <w:vAlign w:val="bottom"/>
          </w:tcPr>
          <w:p>
            <w:pPr>
              <w:spacing w:after="0"/>
              <w:rPr>
                <w:sz w:val="1"/>
                <w:szCs w:val="1"/>
                <w:color w:val="auto"/>
              </w:rPr>
            </w:pPr>
          </w:p>
        </w:tc>
      </w:tr>
      <w:tr>
        <w:trPr>
          <w:trHeight w:val="155"/>
        </w:trPr>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84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Mountaineer Midstream Company, LLC, Centennial Water Pipelines, LLC, Summit Midstream Finance Corp. and Regions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gridSpan w:val="11"/>
            <w:vMerge w:val="restart"/>
            <w:shd w:val="clear" w:color="auto" w:fill="CCEEFF"/>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K</w:t>
              </w:r>
            </w:hyperlink>
          </w:p>
        </w:tc>
        <w:tc>
          <w:tcPr>
            <w:tcW w:w="0" w:type="dxa"/>
            <w:vAlign w:val="bottom"/>
          </w:tcPr>
          <w:p>
            <w:pPr>
              <w:spacing w:after="0"/>
              <w:rPr>
                <w:sz w:val="1"/>
                <w:szCs w:val="1"/>
                <w:color w:val="auto"/>
              </w:rPr>
            </w:pPr>
          </w:p>
        </w:tc>
      </w:tr>
      <w:tr>
        <w:trPr>
          <w:trHeight w:val="169"/>
        </w:trPr>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80" w:type="dxa"/>
            <w:vAlign w:val="bottom"/>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Bank, as trustee and collateral agent (Incorporated herein by reference to Exhibit 4.5</w:t>
              </w:r>
            </w:hyperlink>
          </w:p>
        </w:tc>
        <w:tc>
          <w:tcPr>
            <w:tcW w:w="2820" w:type="dxa"/>
            <w:vAlign w:val="bottom"/>
            <w:gridSpan w:val="11"/>
            <w:shd w:val="clear" w:color="auto" w:fill="CCEEFF"/>
          </w:tcPr>
          <w:p>
            <w:pPr>
              <w:ind w:left="40"/>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to SMC’s Annual Report on Form 10-</w:t>
              </w:r>
            </w:hyperlink>
          </w:p>
        </w:tc>
        <w:tc>
          <w:tcPr>
            <w:tcW w:w="380" w:type="dxa"/>
            <w:vAlign w:val="bottom"/>
            <w:gridSpan w:val="11"/>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filed March 16, 2026 (Commission File No. 001-42201)).</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5"/>
          </w:tcPr>
          <w:p>
            <w:pPr>
              <w:jc w:val="cente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9"/>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Securities Purchase Agreement, by and among Summit Midstream Corporation, Summit Midstream Partners, LP, Tall Oak</w:t>
              </w:r>
            </w:hyperlink>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Midstream Holdings, LLC and Connect Midstream, LLC, dated as of March 31, 2026 (Incorporated herein by reference to</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Exhibit 10.1 to SMC’s Current Report on Form 8-K filed April 2, 2026 (Commission File No. 001-42201)).</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5"/>
            <w:shd w:val="clear" w:color="auto" w:fill="CCEEFF"/>
          </w:tcPr>
          <w:p>
            <w:pPr>
              <w:jc w:val="center"/>
              <w:spacing w:after="0" w:line="18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9820" w:type="dxa"/>
            <w:vAlign w:val="bottom"/>
            <w:gridSpan w:val="31"/>
            <w:shd w:val="clear" w:color="auto" w:fill="CCEEFF"/>
          </w:tcPr>
          <w:p>
            <w:pPr>
              <w:ind w:left="4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0000FF"/>
                </w:rPr>
                <w:t>Credit Agreement, dated as of March 16, 2026, among Summit Permian Transmission, LLC, as borrower, EPIC Administration,</w:t>
              </w:r>
            </w:hyperlink>
          </w:p>
        </w:tc>
        <w:tc>
          <w:tcPr>
            <w:tcW w:w="0" w:type="dxa"/>
            <w:vAlign w:val="bottom"/>
          </w:tcPr>
          <w:p>
            <w:pPr>
              <w:spacing w:after="0"/>
              <w:rPr>
                <w:sz w:val="1"/>
                <w:szCs w:val="1"/>
                <w:color w:val="auto"/>
              </w:rPr>
            </w:pPr>
          </w:p>
        </w:tc>
      </w:tr>
      <w:tr>
        <w:trPr>
          <w:trHeight w:val="175"/>
        </w:trPr>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LLC, as administrative agent, the lenders party thereto from time to time and Nuveen Alternative Advisors, LLC, as sole lead</w:t>
              </w:r>
            </w:hyperlink>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900" w:type="dxa"/>
            <w:vAlign w:val="bottom"/>
            <w:tcBorders>
              <w:top w:val="single" w:sz="8" w:color="0000FF"/>
            </w:tcBorders>
            <w:gridSpan w:val="6"/>
            <w:shd w:val="clear" w:color="auto" w:fill="CCEEFF"/>
          </w:tcPr>
          <w:p>
            <w:pPr>
              <w:spacing w:after="0" w:line="149"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arranger (Incorporated herein by reference to Exhibit 10.15 to SMC’s</w:t>
              </w:r>
            </w:hyperlink>
          </w:p>
        </w:tc>
        <w:tc>
          <w:tcPr>
            <w:tcW w:w="4160" w:type="dxa"/>
            <w:vAlign w:val="bottom"/>
            <w:tcBorders>
              <w:top w:val="single" w:sz="8" w:color="0000FF"/>
            </w:tcBorders>
            <w:gridSpan w:val="19"/>
            <w:shd w:val="clear" w:color="auto" w:fill="CCEEFF"/>
          </w:tcPr>
          <w:p>
            <w:pPr>
              <w:ind w:left="140"/>
              <w:spacing w:after="0" w:line="149"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Annual Report on Form 10-K filed March 16, 2026</w:t>
              </w:r>
            </w:hyperlink>
          </w:p>
        </w:tc>
        <w:tc>
          <w:tcPr>
            <w:tcW w:w="220" w:type="dxa"/>
            <w:vAlign w:val="bottom"/>
            <w:tcBorders>
              <w:top w:val="single" w:sz="8" w:color="CCEEFF"/>
            </w:tcBorders>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8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(Commission File No. 001-42201)).</w:t>
              </w:r>
            </w:hyperlink>
          </w:p>
        </w:tc>
        <w:tc>
          <w:tcPr>
            <w:tcW w:w="614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20" w:type="dxa"/>
            <w:vAlign w:val="bottom"/>
            <w:gridSpan w:val="31"/>
          </w:tcPr>
          <w:p>
            <w:pPr>
              <w:ind w:left="40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Rule 13a-14(a)/15d-14(a) Certification, executed by Heath Deneke, President, Chief Executive Officer and Director</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20" w:type="dxa"/>
            <w:vAlign w:val="bottom"/>
            <w:gridSpan w:val="31"/>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Rule 13a-14(a)/15d-14(a) Certification, executed by William J. Mault, Executive Vice President and Chief Financial Officer</w:t>
            </w: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820" w:type="dxa"/>
            <w:vAlign w:val="bottom"/>
            <w:gridSpan w:val="31"/>
          </w:tcPr>
          <w:p>
            <w:pPr>
              <w:ind w:left="40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Certifications required by Rule 13a-14(b) or Rule 15d-14(b) and Section 1350 of Chapter 63 of Title 18 of the United States</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Code (18 U.S.C. 1350), executed by Heath Deneke, President, Chief Executive Officer and Director, and William J. Mault,</w:t>
            </w:r>
          </w:p>
        </w:tc>
        <w:tc>
          <w:tcPr>
            <w:tcW w:w="3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Executive Vice President and Chief Financial Officer</w:t>
            </w:r>
          </w:p>
        </w:tc>
        <w:tc>
          <w:tcPr>
            <w:tcW w:w="4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9820" w:type="dxa"/>
            <w:vAlign w:val="bottom"/>
            <w:gridSpan w:val="31"/>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43"/>
        </w:trPr>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0" w:type="dxa"/>
            <w:vAlign w:val="bottom"/>
          </w:tcPr>
          <w:p>
            <w:pPr>
              <w:spacing w:after="0"/>
              <w:rPr>
                <w:sz w:val="1"/>
                <w:szCs w:val="1"/>
                <w:color w:val="auto"/>
              </w:rPr>
            </w:pPr>
          </w:p>
        </w:tc>
      </w:tr>
      <w:tr>
        <w:trPr>
          <w:trHeight w:val="230"/>
        </w:trPr>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9820" w:type="dxa"/>
            <w:vAlign w:val="bottom"/>
            <w:gridSpan w:val="31"/>
          </w:tcPr>
          <w:p>
            <w:pPr>
              <w:ind w:left="420"/>
              <w:spacing w:after="0"/>
              <w:rPr>
                <w:sz w:val="20"/>
                <w:szCs w:val="20"/>
                <w:color w:val="auto"/>
              </w:rPr>
            </w:pPr>
            <w:r>
              <w:rPr>
                <w:rFonts w:ascii="Times New Roman" w:cs="Times New Roman" w:eastAsia="Times New Roman" w:hAnsi="Times New Roman"/>
                <w:sz w:val="18"/>
                <w:szCs w:val="18"/>
                <w:color w:val="auto"/>
              </w:rPr>
              <w:t>* Inline XBRL Taxonomy Extension Schema</w:t>
            </w:r>
          </w:p>
        </w:tc>
        <w:tc>
          <w:tcPr>
            <w:tcW w:w="0" w:type="dxa"/>
            <w:vAlign w:val="bottom"/>
          </w:tcPr>
          <w:p>
            <w:pPr>
              <w:spacing w:after="0"/>
              <w:rPr>
                <w:sz w:val="1"/>
                <w:szCs w:val="1"/>
                <w:color w:val="auto"/>
              </w:rPr>
            </w:pPr>
          </w:p>
        </w:tc>
      </w:tr>
      <w:tr>
        <w:trPr>
          <w:trHeight w:val="230"/>
        </w:trPr>
        <w:tc>
          <w:tcPr>
            <w:tcW w:w="14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31"/>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Inline XBRL Taxonomy Extension Calculation Linkbase</w:t>
            </w:r>
          </w:p>
        </w:tc>
        <w:tc>
          <w:tcPr>
            <w:tcW w:w="0" w:type="dxa"/>
            <w:vAlign w:val="bottom"/>
          </w:tcPr>
          <w:p>
            <w:pPr>
              <w:spacing w:after="0"/>
              <w:rPr>
                <w:sz w:val="1"/>
                <w:szCs w:val="1"/>
                <w:color w:val="auto"/>
              </w:rPr>
            </w:pPr>
          </w:p>
        </w:tc>
      </w:tr>
      <w:tr>
        <w:trPr>
          <w:trHeight w:val="230"/>
        </w:trPr>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31"/>
          </w:tcPr>
          <w:p>
            <w:pPr>
              <w:ind w:left="420"/>
              <w:spacing w:after="0"/>
              <w:rPr>
                <w:sz w:val="20"/>
                <w:szCs w:val="20"/>
                <w:color w:val="auto"/>
              </w:rPr>
            </w:pPr>
            <w:r>
              <w:rPr>
                <w:rFonts w:ascii="Times New Roman" w:cs="Times New Roman" w:eastAsia="Times New Roman" w:hAnsi="Times New Roman"/>
                <w:sz w:val="18"/>
                <w:szCs w:val="18"/>
                <w:color w:val="auto"/>
              </w:rPr>
              <w:t>* Inline XBRL Taxonomy Extension Definition Linkbase</w:t>
            </w:r>
          </w:p>
        </w:tc>
        <w:tc>
          <w:tcPr>
            <w:tcW w:w="0" w:type="dxa"/>
            <w:vAlign w:val="bottom"/>
          </w:tcPr>
          <w:p>
            <w:pPr>
              <w:spacing w:after="0"/>
              <w:rPr>
                <w:sz w:val="1"/>
                <w:szCs w:val="1"/>
                <w:color w:val="auto"/>
              </w:rPr>
            </w:pPr>
          </w:p>
        </w:tc>
      </w:tr>
      <w:tr>
        <w:trPr>
          <w:trHeight w:val="229"/>
        </w:trPr>
        <w:tc>
          <w:tcPr>
            <w:tcW w:w="14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31"/>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Inline XBRL Taxonomy Extension Label Linkbase</w:t>
            </w:r>
          </w:p>
        </w:tc>
        <w:tc>
          <w:tcPr>
            <w:tcW w:w="0" w:type="dxa"/>
            <w:vAlign w:val="bottom"/>
          </w:tcPr>
          <w:p>
            <w:pPr>
              <w:spacing w:after="0"/>
              <w:rPr>
                <w:sz w:val="1"/>
                <w:szCs w:val="1"/>
                <w:color w:val="auto"/>
              </w:rPr>
            </w:pPr>
          </w:p>
        </w:tc>
      </w:tr>
      <w:tr>
        <w:trPr>
          <w:trHeight w:val="234"/>
        </w:trPr>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9820" w:type="dxa"/>
            <w:vAlign w:val="bottom"/>
            <w:gridSpan w:val="31"/>
          </w:tcPr>
          <w:p>
            <w:pPr>
              <w:ind w:left="420"/>
              <w:spacing w:after="0"/>
              <w:rPr>
                <w:sz w:val="20"/>
                <w:szCs w:val="20"/>
                <w:color w:val="auto"/>
              </w:rPr>
            </w:pPr>
            <w:r>
              <w:rPr>
                <w:rFonts w:ascii="Times New Roman" w:cs="Times New Roman" w:eastAsia="Times New Roman" w:hAnsi="Times New Roman"/>
                <w:sz w:val="18"/>
                <w:szCs w:val="18"/>
                <w:color w:val="auto"/>
              </w:rPr>
              <w:t>* 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40" w:hanging="1258"/>
        <w:spacing w:after="0"/>
        <w:tabs>
          <w:tab w:leader="none" w:pos="18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and contained in Exhibit 101).</w:t>
      </w:r>
    </w:p>
    <w:p>
      <w:pPr>
        <w:spacing w:after="0" w:line="2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8"/>
        <w:spacing w:after="0" w:line="261"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 The financial information contained in the XBRL (eXtensible Business Reporting Language)-related documents is unaudited and unreviewed.</w:t>
      </w:r>
    </w:p>
    <w:p>
      <w:pPr>
        <w:spacing w:after="0" w:line="72" w:lineRule="exact"/>
        <w:rPr>
          <w:sz w:val="20"/>
          <w:szCs w:val="20"/>
          <w:color w:val="auto"/>
        </w:rPr>
      </w:pPr>
    </w:p>
    <w:p>
      <w:pPr>
        <w:ind w:firstLine="8"/>
        <w:spacing w:after="0" w:line="282" w:lineRule="auto"/>
        <w:tabs>
          <w:tab w:leader="none" w:pos="1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have been omitted pursuant to Item 601(a)(5), Item 601(b)(2) or Item 601(b)(10) of Regulation S-K. The Company agrees to furnish an unredacted, supplemental copy (including any omitted schedule or attachment) to the SEC upon request.</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747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(Registrant)</w:t>
      </w:r>
    </w:p>
    <w:p>
      <w:pPr>
        <w:spacing w:after="0" w:line="237"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18415</wp:posOffset>
            </wp:positionV>
            <wp:extent cx="38747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8" w:lineRule="exact"/>
        <w:rPr>
          <w:sz w:val="20"/>
          <w:szCs w:val="20"/>
          <w:color w:val="auto"/>
        </w:rPr>
      </w:pPr>
    </w:p>
    <w:p>
      <w:pPr>
        <w:ind w:left="5160" w:right="160"/>
        <w:spacing w:after="0" w:line="237" w:lineRule="auto"/>
        <w:rPr>
          <w:sz w:val="20"/>
          <w:szCs w:val="20"/>
          <w:color w:val="auto"/>
        </w:rPr>
      </w:pPr>
      <w:r>
        <w:rPr>
          <w:rFonts w:ascii="Times New Roman" w:cs="Times New Roman" w:eastAsia="Times New Roman" w:hAnsi="Times New Roman"/>
          <w:sz w:val="18"/>
          <w:szCs w:val="18"/>
          <w:color w:val="auto"/>
        </w:rPr>
        <w:t>William J. Mault, Executive Vice President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229"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44"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Corporation;</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6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460" w:right="120" w:hanging="318"/>
        <w:spacing w:after="0" w:line="268" w:lineRule="auto"/>
        <w:tabs>
          <w:tab w:leader="none" w:pos="1448"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460" w:right="380" w:hanging="318"/>
        <w:spacing w:after="0" w:line="291" w:lineRule="auto"/>
        <w:tabs>
          <w:tab w:leader="none" w:pos="1448" w:val="left"/>
        </w:tabs>
        <w:numPr>
          <w:ilvl w:val="2"/>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460" w:right="140" w:hanging="318"/>
        <w:spacing w:after="0" w:line="268" w:lineRule="auto"/>
        <w:tabs>
          <w:tab w:leader="none" w:pos="1451" w:val="left"/>
        </w:tabs>
        <w:numPr>
          <w:ilvl w:val="2"/>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460" w:right="220" w:hanging="318"/>
        <w:spacing w:after="0" w:line="291" w:lineRule="auto"/>
        <w:tabs>
          <w:tab w:leader="none" w:pos="1448" w:val="left"/>
        </w:tabs>
        <w:numPr>
          <w:ilvl w:val="2"/>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7"/>
          <w:szCs w:val="17"/>
          <w:color w:val="auto"/>
        </w:rPr>
      </w:pPr>
    </w:p>
    <w:p>
      <w:pPr>
        <w:ind w:left="820" w:right="120" w:hanging="326"/>
        <w:spacing w:after="0" w:line="268" w:lineRule="auto"/>
        <w:tabs>
          <w:tab w:leader="none" w:pos="8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right="280" w:hanging="318"/>
        <w:spacing w:after="0" w:line="268" w:lineRule="auto"/>
        <w:tabs>
          <w:tab w:leader="none" w:pos="144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right="620" w:hanging="318"/>
        <w:spacing w:after="0" w:line="287" w:lineRule="auto"/>
        <w:tabs>
          <w:tab w:leader="none" w:pos="144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2400" w:val="left"/>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2026</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66522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Heath Deneke</w:t>
      </w:r>
    </w:p>
    <w:p>
      <w:pPr>
        <w:ind w:left="6480"/>
        <w:spacing w:after="0" w:line="219" w:lineRule="auto"/>
        <w:rPr>
          <w:sz w:val="20"/>
          <w:szCs w:val="20"/>
          <w:color w:val="auto"/>
        </w:rPr>
      </w:pPr>
      <w:r>
        <w:rPr>
          <w:rFonts w:ascii="Arial" w:cs="Arial" w:eastAsia="Arial" w:hAnsi="Arial"/>
          <w:sz w:val="18"/>
          <w:szCs w:val="18"/>
          <w:color w:val="auto"/>
        </w:rPr>
        <w:t>President, Chief Executive Officer and Director (Principal</w:t>
      </w:r>
    </w:p>
    <w:p>
      <w:pPr>
        <w:ind w:left="648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w:t>
      </w:r>
    </w:p>
    <w:p>
      <w:pPr>
        <w:sectPr>
          <w:pgSz w:w="11900" w:h="16838" w:orient="portrait"/>
          <w:cols w:equalWidth="0" w:num="1">
            <w:col w:w="11240"/>
          </w:cols>
          <w:pgMar w:left="320" w:top="93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William J. Mault, certify that:</w:t>
      </w:r>
    </w:p>
    <w:p>
      <w:pPr>
        <w:spacing w:after="0" w:line="144"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Corporation;</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460" w:right="120" w:hanging="318"/>
        <w:spacing w:after="0" w:line="268" w:lineRule="auto"/>
        <w:tabs>
          <w:tab w:leader="none" w:pos="1448"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460" w:right="380" w:hanging="318"/>
        <w:spacing w:after="0" w:line="291" w:lineRule="auto"/>
        <w:tabs>
          <w:tab w:leader="none" w:pos="1448" w:val="left"/>
        </w:tabs>
        <w:numPr>
          <w:ilvl w:val="2"/>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460" w:right="140" w:hanging="318"/>
        <w:spacing w:after="0" w:line="268" w:lineRule="auto"/>
        <w:tabs>
          <w:tab w:leader="none" w:pos="1451" w:val="left"/>
        </w:tabs>
        <w:numPr>
          <w:ilvl w:val="2"/>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460" w:right="220" w:hanging="318"/>
        <w:spacing w:after="0" w:line="291" w:lineRule="auto"/>
        <w:tabs>
          <w:tab w:leader="none" w:pos="1448" w:val="left"/>
        </w:tabs>
        <w:numPr>
          <w:ilvl w:val="2"/>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7"/>
          <w:szCs w:val="17"/>
          <w:color w:val="auto"/>
        </w:rPr>
      </w:pPr>
    </w:p>
    <w:p>
      <w:pPr>
        <w:ind w:left="820" w:right="120" w:hanging="326"/>
        <w:spacing w:after="0" w:line="268" w:lineRule="auto"/>
        <w:tabs>
          <w:tab w:leader="none" w:pos="8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right="280" w:hanging="318"/>
        <w:spacing w:after="0" w:line="268" w:lineRule="auto"/>
        <w:tabs>
          <w:tab w:leader="none" w:pos="144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right="620" w:hanging="318"/>
        <w:spacing w:after="0" w:line="287" w:lineRule="auto"/>
        <w:tabs>
          <w:tab w:leader="none" w:pos="144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2380" w:val="left"/>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2026</w:t>
      </w:r>
      <w:r>
        <w:rPr>
          <w:sz w:val="20"/>
          <w:szCs w:val="20"/>
          <w:color w:val="auto"/>
        </w:rPr>
        <w:tab/>
      </w:r>
      <w:r>
        <w:rPr>
          <w:rFonts w:ascii="Arial" w:cs="Arial" w:eastAsia="Arial" w:hAnsi="Arial"/>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17780</wp:posOffset>
            </wp:positionV>
            <wp:extent cx="65747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William J. Mault</w:t>
      </w:r>
    </w:p>
    <w:p>
      <w:pPr>
        <w:ind w:left="6140"/>
        <w:spacing w:after="0" w:line="219" w:lineRule="auto"/>
        <w:rPr>
          <w:sz w:val="20"/>
          <w:szCs w:val="20"/>
          <w:color w:val="auto"/>
        </w:rPr>
      </w:pPr>
      <w:r>
        <w:rPr>
          <w:rFonts w:ascii="Arial" w:cs="Arial" w:eastAsia="Arial" w:hAnsi="Arial"/>
          <w:sz w:val="18"/>
          <w:szCs w:val="18"/>
          <w:color w:val="auto"/>
        </w:rPr>
        <w:t>Executive Vice President and Chief Financial Officer (Principal</w:t>
      </w:r>
    </w:p>
    <w:p>
      <w:pPr>
        <w:ind w:left="61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w:t>
      </w:r>
    </w:p>
    <w:p>
      <w:pPr>
        <w:sectPr>
          <w:pgSz w:w="11900" w:h="16838" w:orient="portrait"/>
          <w:cols w:equalWidth="0" w:num="1">
            <w:col w:w="11240"/>
          </w:cols>
          <w:pgMar w:left="320" w:top="89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Summit Midstream Corporation (the “Registrant”) for the quarterly period ended March 31, 2026,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spacing w:after="0" w:line="139" w:lineRule="exact"/>
        <w:rPr>
          <w:sz w:val="20"/>
          <w:szCs w:val="20"/>
          <w:color w:val="auto"/>
        </w:rPr>
      </w:pPr>
    </w:p>
    <w:p>
      <w:pPr>
        <w:ind w:left="820" w:right="340" w:hanging="812"/>
        <w:spacing w:after="0" w:line="287" w:lineRule="auto"/>
        <w:tabs>
          <w:tab w:leader="none" w:pos="8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2" w:lineRule="exact"/>
        <w:rPr>
          <w:rFonts w:ascii="Arial" w:cs="Arial" w:eastAsia="Arial" w:hAnsi="Arial"/>
          <w:sz w:val="18"/>
          <w:szCs w:val="18"/>
          <w:color w:val="auto"/>
        </w:rPr>
      </w:pPr>
    </w:p>
    <w:p>
      <w:pPr>
        <w:ind w:left="820" w:right="160" w:hanging="812"/>
        <w:spacing w:after="0" w:line="287" w:lineRule="auto"/>
        <w:tabs>
          <w:tab w:leader="none" w:pos="8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40"/>
              <w:spacing w:after="0"/>
              <w:rPr>
                <w:sz w:val="20"/>
                <w:szCs w:val="20"/>
                <w:color w:val="auto"/>
              </w:rPr>
            </w:pPr>
            <w:r>
              <w:rPr>
                <w:rFonts w:ascii="Arial" w:cs="Arial" w:eastAsia="Arial" w:hAnsi="Arial"/>
                <w:sz w:val="18"/>
                <w:szCs w:val="18"/>
                <w:color w:val="auto"/>
              </w:rPr>
              <w:t>Heath Deneke</w:t>
            </w:r>
          </w:p>
        </w:tc>
      </w:tr>
      <w:tr>
        <w:trPr>
          <w:trHeight w:val="247"/>
        </w:trPr>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40"/>
              <w:spacing w:after="0"/>
              <w:rPr>
                <w:sz w:val="20"/>
                <w:szCs w:val="20"/>
                <w:color w:val="auto"/>
              </w:rPr>
            </w:pPr>
            <w:r>
              <w:rPr>
                <w:rFonts w:ascii="Arial" w:cs="Arial" w:eastAsia="Arial" w:hAnsi="Arial"/>
                <w:sz w:val="18"/>
                <w:szCs w:val="18"/>
                <w:color w:val="auto"/>
              </w:rPr>
              <w:t>President, Chief Executive Officer and Director</w:t>
            </w: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40"/>
              <w:spacing w:after="0"/>
              <w:rPr>
                <w:sz w:val="20"/>
                <w:szCs w:val="20"/>
                <w:color w:val="auto"/>
              </w:rPr>
            </w:pPr>
            <w:r>
              <w:rPr>
                <w:rFonts w:ascii="Arial" w:cs="Arial" w:eastAsia="Arial" w:hAnsi="Arial"/>
                <w:sz w:val="18"/>
                <w:szCs w:val="18"/>
                <w:color w:val="auto"/>
              </w:rPr>
              <w:t>May 11, 2026</w:t>
            </w:r>
          </w:p>
        </w:tc>
      </w:tr>
      <w:tr>
        <w:trPr>
          <w:trHeight w:val="391"/>
        </w:trPr>
        <w:tc>
          <w:tcPr>
            <w:tcW w:w="20" w:type="dxa"/>
            <w:vAlign w:val="bottom"/>
          </w:tcPr>
          <w:p>
            <w:pPr>
              <w:spacing w:after="0"/>
              <w:rPr>
                <w:sz w:val="24"/>
                <w:szCs w:val="24"/>
                <w:color w:val="auto"/>
              </w:rPr>
            </w:pPr>
          </w:p>
        </w:tc>
        <w:tc>
          <w:tcPr>
            <w:tcW w:w="11180" w:type="dxa"/>
            <w:vAlign w:val="bottom"/>
            <w:gridSpan w:val="2"/>
          </w:tcPr>
          <w:p>
            <w:pPr>
              <w:spacing w:after="0"/>
              <w:rPr>
                <w:sz w:val="20"/>
                <w:szCs w:val="20"/>
                <w:color w:val="auto"/>
              </w:rPr>
            </w:pPr>
            <w:r>
              <w:rPr>
                <w:rFonts w:ascii="Arial" w:cs="Arial" w:eastAsia="Arial" w:hAnsi="Arial"/>
                <w:sz w:val="18"/>
                <w:szCs w:val="18"/>
                <w:i w:val="1"/>
                <w:iCs w:val="1"/>
                <w:color w:val="auto"/>
              </w:rPr>
              <w:t>/s/ William J. Mault</w:t>
            </w:r>
          </w:p>
        </w:tc>
      </w:tr>
      <w:tr>
        <w:trPr>
          <w:trHeight w:val="23"/>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60"/>
              <w:spacing w:after="0"/>
              <w:rPr>
                <w:sz w:val="20"/>
                <w:szCs w:val="20"/>
                <w:color w:val="auto"/>
              </w:rPr>
            </w:pPr>
            <w:r>
              <w:rPr>
                <w:rFonts w:ascii="Arial" w:cs="Arial" w:eastAsia="Arial" w:hAnsi="Arial"/>
                <w:sz w:val="18"/>
                <w:szCs w:val="18"/>
                <w:color w:val="auto"/>
              </w:rPr>
              <w:t>William J. Mault</w:t>
            </w:r>
          </w:p>
        </w:tc>
      </w:tr>
      <w:tr>
        <w:trPr>
          <w:trHeight w:val="247"/>
        </w:trPr>
        <w:tc>
          <w:tcPr>
            <w:tcW w:w="2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60"/>
              <w:spacing w:after="0"/>
              <w:rPr>
                <w:sz w:val="20"/>
                <w:szCs w:val="20"/>
                <w:color w:val="auto"/>
              </w:rPr>
            </w:pPr>
            <w:r>
              <w:rPr>
                <w:rFonts w:ascii="Arial" w:cs="Arial" w:eastAsia="Arial" w:hAnsi="Arial"/>
                <w:sz w:val="18"/>
                <w:szCs w:val="18"/>
                <w:color w:val="auto"/>
              </w:rPr>
              <w:t>May 11, 2026</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2"/>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lowerRoman"/>
      <w:start w:val="3"/>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lvl w:ilvl="1">
      <w:lvlJc w:val="left"/>
      <w:lvlText w:val="•"/>
      <w:numFmt w:val="bullet"/>
      <w:start w:val="1"/>
    </w:lvl>
  </w:abstractNum>
  <w:abstractNum w:abstractNumId="7">
    <w:nsid w:val="721DA317"/>
    <w:multiLevelType w:val="hybridMultilevel"/>
    <w:lvl w:ilvl="0">
      <w:lvlJc w:val="left"/>
      <w:lvlText w:val="(%1)"/>
      <w:numFmt w:val="decimal"/>
      <w:start w:val="2"/>
    </w:lvl>
    <w:lvl w:ilvl="1">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Roman"/>
      <w:start w:val="3"/>
    </w:lvl>
  </w:abstractNum>
  <w:abstractNum w:abstractNumId="30">
    <w:nsid w:val="3006C83E"/>
    <w:multiLevelType w:val="hybridMultilevel"/>
    <w:lvl w:ilvl="0">
      <w:lvlJc w:val="left"/>
      <w:lvlText w:val="+"/>
      <w:numFmt w:val="bullet"/>
      <w:start w:val="1"/>
    </w:lvl>
    <w:lvl w:ilvl="1">
      <w:lvlJc w:val="left"/>
      <w:lvlText w:val="%2"/>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4">
    <w:nsid w:val="440BADF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87" Type="http://schemas.openxmlformats.org/officeDocument/2006/relationships/hyperlink" Target="https://www.sec.gov/Archives/edgar/data/2024218/000101376224003515/ea021024101ex3-1_summit.htm" TargetMode="External"/><Relationship Id="rId88" Type="http://schemas.openxmlformats.org/officeDocument/2006/relationships/hyperlink" Target="https://www.sec.gov/Archives/edgar/data/2024218/000101376224003515/ea021024101ex3-2_summit.htm" TargetMode="External"/><Relationship Id="rId89" Type="http://schemas.openxmlformats.org/officeDocument/2006/relationships/hyperlink" Target="https://www.sec.gov/Archives/edgar/data/2024218/000101376224003515/ea021024101ex3-3_summit.htm" TargetMode="External"/><Relationship Id="rId90" Type="http://schemas.openxmlformats.org/officeDocument/2006/relationships/hyperlink" Target="https://www.sec.gov/Archives/edgar/data/1549922/000101376224001777/ea021008501ex4-1_summit.htm" TargetMode="External"/><Relationship Id="rId91" Type="http://schemas.openxmlformats.org/officeDocument/2006/relationships/hyperlink" Target="https://www.sec.gov/Archives/edgar/data/2024218/000202421824000041/exhibit31-summitmidstrea.htm" TargetMode="External"/><Relationship Id="rId92" Type="http://schemas.openxmlformats.org/officeDocument/2006/relationships/hyperlink" Target="https://www.sec.gov/Archives/edgar/data/2024218/000202421826000017/ex45-smcxthirdsupplemental.htm" TargetMode="External"/><Relationship Id="rId93" Type="http://schemas.openxmlformats.org/officeDocument/2006/relationships/hyperlink" Target="https://www.sec.gov/Archives/edgar/data/2024218/000202421826000062/ex101-securitiespurchaseag.htm" TargetMode="External"/><Relationship Id="rId94" Type="http://schemas.openxmlformats.org/officeDocument/2006/relationships/hyperlink" Target="https://www.sec.gov/Archives/edgar/data/2024218/000202421826000017/exibit1015-doubleexcredi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2026-05-11T15:31:46Z</dcterms:created>
  <dcterms:modified xsi:type="dcterms:W3CDTF">2026-05-11T15:31:46Z</dcterms:modified>
</cp:coreProperties>
</file>